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75343.xml.htm"/>
      <w:bookmarkStart w:id="1" w:name="kswkform4_178717534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Abrahamsen Danielle Nicole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COMMVAULT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TINTON FALLS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07724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COMMVAULT SYSTEMS INC</w:t>
              </w:r>
            </w:hyperlink>
            <w:r>
              <w:rPr/>
              <w:t xml:space="preserve"> [ </w:t>
            </w:r>
            <w:r>
              <w:rPr>
                <w:rFonts w:ascii="Times;serif" w:hAnsi="Times;serif"/>
                <w:color w:val="0000FF"/>
                <w:sz w:val="24"/>
                <w:shd w:fill="FFFFFF" w:val="clear"/>
              </w:rPr>
              <w:t>CVLT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143.98</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13,037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(2)</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143.64</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12,646</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486</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142.8</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12,160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was effected pursuant to an existing Rule 10b5-1 trading plan adopted by the Reporting Person on February 17,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automatically sold solely to satisfy tax withholding obligations of reporting person on vesting of restricted and performance stock. Proceeds from the sale were submitted to the Internal Revenue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Danielle Abrahamsen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10638" TargetMode="External"/><Relationship Id="rId5" Type="http://schemas.openxmlformats.org/officeDocument/2006/relationships/hyperlink" Target="http://www.sec.gov/cgi-bin/browse-edgar?action=getcompany&amp;CIK=000116956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3482</Characters>
  <CharactersWithSpaces>4037</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