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90713032.xml.htm"/>
      <w:bookmarkStart w:id="1" w:name="kswkform3_1790713032"/>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MORTON DAVID H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COMMVAULT WAY</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TINTON FALLS</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07724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09/22/2026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COMMVAULT SYSTEMS INC</w:t>
              </w:r>
            </w:hyperlink>
            <w:r>
              <w:rPr/>
              <w:t xml:space="preserve"> [ </w:t>
            </w:r>
            <w:r>
              <w:rPr>
                <w:rFonts w:ascii="Times;serif" w:hAnsi="Times;serif"/>
                <w:color w:val="0000FF"/>
                <w:sz w:val="24"/>
                <w:shd w:fill="FFFFFF" w:val="clear"/>
              </w:rPr>
              <w:t>CVLT</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9"/>
        <w:gridCol w:w="1961"/>
        <w:gridCol w:w="1165"/>
        <w:gridCol w:w="2650"/>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9"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1"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0"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 securities beneficially owned</w:t>
            </w:r>
          </w:p>
        </w:tc>
        <w:tc>
          <w:tcPr>
            <w:tcW w:w="19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EX-24 Power of Attorney for David H JR Morton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Danielle Abrahamsen,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16poa-davidmorton.htm"/>
      <w:bookmarkStart w:id="3" w:name="kssection16poadavidmorton"/>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 that the undersigned hereby constitutes and appoints each of Danielle Sheer, Gary Merrill, and Danielle Abrahamsen signing singly, the undersigned's true and lawful attorney-in-fact to: (1) execute for and on behalf of the undersigned, in the undersigned's capacity as an officer and/or director of Commvault Systems, Inc. (the “Company”), forms, such as Form IDs, Forms 3, 4, or 5, or other certified documents (collectively, “Forms”) to make necessary EDGAR filings in accordance with Section 16(a) of the Securities Exchange Act of 1934, as amended, and the rules thereunder; (2) do and perform any and all acts for and on behalf of the undersigned which may be necessary or desirable to complete and execute any such Forms, any amendment or amendments thereto, and timely file the respective Forms with the United States Securities and Exchange Commission and any stock exchange or similar authority; and (3)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This Power of Attorney shall remain in full force and effect until the undersigned is no longer required to file any and all such Forms with respect to the undersigned's holdings of and transactions in securities issued by the Company, unless earlier revoked by the undersigned in a signed writing delivered to the foregoing attorneys-in-fact. IN WITNESS WHEREOF, the undersigned has caused this Power of Attorney to be executed as of September 16, 2026. /s/ David Morton, Jr. Signature David Morton, Jr. Name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476070" TargetMode="External"/><Relationship Id="rId3" Type="http://schemas.openxmlformats.org/officeDocument/2006/relationships/hyperlink" Target="http://www.sec.gov/cgi-bin/browse-edgar?action=getcompany&amp;CIK=000116956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859</Words>
  <Characters>4637</Characters>
  <CharactersWithSpaces>5451</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section16poa-davidmorton</dc:title>
</cp:coreProperties>
</file>