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4507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50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Mirchandani Sanjay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COMMVAULT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COMMVAULT SYSTEMS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CVLT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20" w:space="411"/>
            <w:col w:w="334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 FALLS NJ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07724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2,805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-1999615</wp:posOffset>
            </wp:positionV>
            <wp:extent cx="29210" cy="2004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0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on May 15, 2025, represents the number of shares determined to have been earned based upon the performance criteria in excess of the target amount previously reported in Table I (25,497 shares) and that remain subject to additional time-based vesting criteria. 33% of these performance stock units ("PSUs") will vest on the first anniversary of the grant date and 8.375% will vest at the end of each successive three-month period thereafter. Each PSU represents the right to receive one share of common stock.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Danielle Abrahamsen,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5820" TargetMode="External"/><Relationship Id="rId14" Type="http://schemas.openxmlformats.org/officeDocument/2006/relationships/hyperlink" Target="http://www.sec.gov/cgi-bin/browse-edgar?action=getcompany&amp;CIK=0001169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2026-04-24T20:19:16Z</dcterms:created>
  <dcterms:modified xsi:type="dcterms:W3CDTF">2026-04-24T20:19:16Z</dcterms:modified>
</cp:coreProperties>
</file>