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2"/>
          <w:szCs w:val="132"/>
          <w:color w:val="FFFFFF"/>
        </w:rPr>
        <w:t>BRINGING</w:t>
      </w:r>
    </w:p>
    <w:p>
      <w:pPr>
        <w:jc w:val="both"/>
        <w:ind w:left="440" w:hanging="428"/>
        <w:spacing w:after="0" w:line="2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7"/>
          <w:szCs w:val="127"/>
          <w:color w:val="FFFFFF"/>
        </w:rPr>
        <w:t>RESILIENCE TO THE AGENTIC ENTERPRISE</w:t>
      </w:r>
    </w:p>
    <w:p>
      <w:pPr>
        <w:sectPr>
          <w:pgSz w:w="12240" w:h="15840" w:orient="portrait"/>
          <w:cols w:equalWidth="0" w:num="1">
            <w:col w:w="9720"/>
          </w:cols>
          <w:pgMar w:left="1260" w:top="1440" w:right="1260" w:bottom="698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color w:val="FFFFFF"/>
        </w:rPr>
        <w:t>2026 ANNUAL REPORT</w:t>
      </w:r>
    </w:p>
    <w:p>
      <w:pPr>
        <w:sectPr>
          <w:pgSz w:w="12240" w:h="15840" w:orient="portrait"/>
          <w:cols w:equalWidth="0" w:num="1">
            <w:col w:w="9720"/>
          </w:cols>
          <w:pgMar w:left="1260" w:top="1440" w:right="1260" w:bottom="69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EAEAEA"/>
              </w:rPr>
              <w:t>COMMVAULT 2026 ANNUAL REPORT</w:t>
            </w:r>
          </w:p>
        </w:tc>
        <w:tc>
          <w:tcPr>
            <w:tcW w:w="4380" w:type="dxa"/>
            <w:vAlign w:val="bottom"/>
          </w:tcPr>
          <w:p>
            <w:pPr>
              <w:ind w:left="3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INTRODUCTION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8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0"/>
          <w:szCs w:val="110"/>
          <w:color w:val="FFFFFF"/>
        </w:rPr>
        <w:t>About Us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40" w:right="420"/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Commvault (NASDAQ: CVLT) is a leader in unified resilience at enterprise scale. In a constantly evolving threat landscape, Commvault keeps customers ready by unifying data security, identity resilience, and cyber recovery, on one cloud-native, AI-enabled platform. Customers trust Commvault to conduct the fastest, most complete recoveries – not just their data, but their entire business. Purpose-built for the agentic enterprise, Commvault also enables organizations to safely embrace AI while protecting against AI-driven threats.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To learn more, visit commvault.com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FFFFFF"/>
        </w:rPr>
        <w:t>Financial Highlights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>These figures are in thousands. All data is based on fiscal years ended March 31.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4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FFFFFF"/>
              </w:rPr>
              <w:t>INCOME STATEMENT</w:t>
            </w:r>
          </w:p>
        </w:tc>
        <w:tc>
          <w:tcPr>
            <w:tcW w:w="2620" w:type="dxa"/>
            <w:vAlign w:val="bottom"/>
          </w:tcPr>
          <w:p>
            <w:pPr>
              <w:jc w:val="center"/>
              <w:ind w:left="1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BF92C7"/>
              </w:rPr>
              <w:t>2022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BF92C7"/>
              </w:rPr>
              <w:t>2023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BF92C7"/>
              </w:rPr>
              <w:t>2024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BF92C7"/>
              </w:rPr>
              <w:t>2025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FFFF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4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Revenue</w:t>
            </w:r>
          </w:p>
        </w:tc>
        <w:tc>
          <w:tcPr>
            <w:tcW w:w="2620" w:type="dxa"/>
            <w:vAlign w:val="bottom"/>
            <w:vMerge w:val="restart"/>
          </w:tcPr>
          <w:p>
            <w:pPr>
              <w:jc w:val="center"/>
              <w:ind w:left="1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  <w:w w:val="98"/>
              </w:rPr>
              <w:t>$769,591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$784,590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$839,247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  <w:w w:val="99"/>
              </w:rPr>
              <w:t>$1,183,690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$995,619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1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Subscription Revenues</w:t>
            </w:r>
          </w:p>
        </w:tc>
        <w:tc>
          <w:tcPr>
            <w:tcW w:w="26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$268,359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$347,784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$429,167</w:t>
            </w:r>
          </w:p>
        </w:tc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$589,667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$768,305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3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Non-GAAP EBIT1</w:t>
            </w:r>
          </w:p>
        </w:tc>
        <w:tc>
          <w:tcPr>
            <w:tcW w:w="2620" w:type="dxa"/>
            <w:vAlign w:val="bottom"/>
          </w:tcPr>
          <w:p>
            <w:pPr>
              <w:jc w:val="center"/>
              <w:ind w:left="1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  <w:w w:val="95"/>
              </w:rPr>
              <w:t>$161,682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$159,902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  <w:w w:val="92"/>
              </w:rPr>
              <w:t>$177,472</w:t>
            </w:r>
          </w:p>
        </w:tc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$209,729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$237,549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9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Non-GAAP EBIT Margin1</w:t>
            </w:r>
          </w:p>
        </w:tc>
        <w:tc>
          <w:tcPr>
            <w:tcW w:w="2620" w:type="dxa"/>
            <w:vAlign w:val="bottom"/>
          </w:tcPr>
          <w:p>
            <w:pPr>
              <w:jc w:val="center"/>
              <w:ind w:left="1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  <w:w w:val="92"/>
              </w:rPr>
              <w:t>21.0%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20.4%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  <w:w w:val="83"/>
              </w:rPr>
              <w:t>21.1%</w:t>
            </w:r>
          </w:p>
        </w:tc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21.1%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  <w:w w:val="92"/>
              </w:rPr>
              <w:t>20.1%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4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45"/>
        </w:trPr>
        <w:tc>
          <w:tcPr>
            <w:tcW w:w="4120" w:type="dxa"/>
            <w:vAlign w:val="bottom"/>
            <w:tcBorders>
              <w:top w:val="single" w:sz="8" w:color="9656AA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FFFFFF"/>
              </w:rPr>
              <w:t>BALANCE SHEET</w:t>
            </w:r>
          </w:p>
        </w:tc>
        <w:tc>
          <w:tcPr>
            <w:tcW w:w="2600" w:type="dxa"/>
            <w:vAlign w:val="bottom"/>
            <w:tcBorders>
              <w:top w:val="single" w:sz="8" w:color="9656AA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BF92C7"/>
              </w:rPr>
              <w:t>2022</w:t>
            </w:r>
          </w:p>
        </w:tc>
        <w:tc>
          <w:tcPr>
            <w:tcW w:w="20" w:type="dxa"/>
            <w:vAlign w:val="bottom"/>
            <w:tcBorders>
              <w:top w:val="single" w:sz="8" w:color="9656AA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9656AA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BF92C7"/>
              </w:rPr>
              <w:t>2023</w:t>
            </w:r>
          </w:p>
        </w:tc>
        <w:tc>
          <w:tcPr>
            <w:tcW w:w="40" w:type="dxa"/>
            <w:vAlign w:val="bottom"/>
            <w:tcBorders>
              <w:top w:val="single" w:sz="8" w:color="9656AA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9656AA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BF92C7"/>
              </w:rPr>
              <w:t>2024</w:t>
            </w:r>
          </w:p>
        </w:tc>
        <w:tc>
          <w:tcPr>
            <w:tcW w:w="960" w:type="dxa"/>
            <w:vAlign w:val="bottom"/>
            <w:tcBorders>
              <w:top w:val="single" w:sz="8" w:color="9656AA"/>
              <w:right w:val="single" w:sz="8" w:color="auto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BF92C7"/>
              </w:rPr>
              <w:t>2025</w:t>
            </w:r>
          </w:p>
        </w:tc>
        <w:tc>
          <w:tcPr>
            <w:tcW w:w="920" w:type="dxa"/>
            <w:vAlign w:val="bottom"/>
            <w:tcBorders>
              <w:top w:val="single" w:sz="8" w:color="9656AA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FFFF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$267,507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  <w:w w:val="95"/>
              </w:rPr>
              <w:t>$287,778</w:t>
            </w: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  <w:w w:val="98"/>
              </w:rPr>
              <w:t>$312,754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Cash and Cash Equivalents</w:t>
            </w: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$302,103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$899,987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6"/>
        </w:trPr>
        <w:tc>
          <w:tcPr>
            <w:tcW w:w="4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Total Assets</w:t>
            </w:r>
          </w:p>
        </w:tc>
        <w:tc>
          <w:tcPr>
            <w:tcW w:w="2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$816,080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  <w:w w:val="98"/>
              </w:rPr>
              <w:t>$782,574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$943,913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$1,118,266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$1,886,305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6"/>
        </w:trPr>
        <w:tc>
          <w:tcPr>
            <w:tcW w:w="4120" w:type="dxa"/>
            <w:vAlign w:val="bottom"/>
            <w:tcBorders>
              <w:bottom w:val="single" w:sz="8" w:color="9656A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9656A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656A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656A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656A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656A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656AA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656A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656A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FFFFFF"/>
              </w:rPr>
              <w:t>SELECTED ADDITIONAL INFORMATION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BF92C7"/>
              </w:rPr>
              <w:t>2022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BF92C7"/>
              </w:rPr>
              <w:t>2023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BF92C7"/>
              </w:rPr>
              <w:t>2024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BF92C7"/>
              </w:rPr>
              <w:t>2025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FFFFFF"/>
              </w:rPr>
              <w:t>2026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560"/>
          </w:cols>
          <w:pgMar w:left="820" w:top="872" w:right="860" w:bottom="40" w:gutter="0" w:footer="0" w:header="0"/>
        </w:sectPr>
      </w:pP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>Operating Cash Flow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>Share Repurchases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right"/>
        <w:ind w:right="100"/>
        <w:spacing w:after="0"/>
        <w:tabs>
          <w:tab w:leader="none" w:pos="3500" w:val="left"/>
          <w:tab w:leader="none" w:pos="2560" w:val="left"/>
          <w:tab w:leader="none" w:pos="1600" w:val="left"/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>$177,180</w:t>
        <w:tab/>
        <w:t>$170,288</w:t>
        <w:tab/>
        <w:t>$203,798</w:t>
        <w:tab/>
        <w:t>$207,382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>$244,680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3511"/>
        <w:spacing w:after="0"/>
        <w:tabs>
          <w:tab w:leader="none" w:pos="4471" w:val="left"/>
          <w:tab w:leader="none" w:pos="5411" w:val="left"/>
          <w:tab w:leader="none" w:pos="6351" w:val="left"/>
          <w:tab w:leader="none" w:pos="725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>$305,239</w:t>
        <w:tab/>
        <w:t>$150,921</w:t>
        <w:tab/>
        <w:t>$184,021</w:t>
        <w:tab/>
        <w:t>$165,015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>$446,106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1711" w:right="200" w:hanging="1711"/>
        <w:spacing w:after="0" w:line="266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DAD3D0"/>
          <w:highlight w:val="white"/>
        </w:rPr>
      </w:pPr>
      <w:r>
        <w:rPr>
          <w:rFonts w:ascii="Arial" w:cs="Arial" w:eastAsia="Arial" w:hAnsi="Arial"/>
          <w:sz w:val="14"/>
          <w:szCs w:val="14"/>
          <w:color w:val="DAD3D0"/>
          <w:highlight w:val="white"/>
        </w:rPr>
        <w:t xml:space="preserve">2026 Commvault </w:t>
      </w:r>
      <w:r>
        <w:rPr>
          <w:rFonts w:ascii="Arial" w:cs="Arial" w:eastAsia="Arial" w:hAnsi="Arial"/>
          <w:sz w:val="12"/>
          <w:szCs w:val="12"/>
          <w:color w:val="EAE3E2"/>
        </w:rPr>
        <w:t>1 Non-GAAP operating results exclude certain</w:t>
      </w:r>
      <w:r>
        <w:rPr>
          <w:rFonts w:ascii="Arial" w:cs="Arial" w:eastAsia="Arial" w:hAnsi="Arial"/>
          <w:sz w:val="12"/>
          <w:szCs w:val="12"/>
          <w:color w:val="E1D7D6"/>
        </w:rPr>
        <w:t>n</w:t>
      </w:r>
      <w:r>
        <w:rPr>
          <w:rFonts w:ascii="Arial" w:cs="Arial" w:eastAsia="Arial" w:hAnsi="Arial"/>
          <w:sz w:val="14"/>
          <w:szCs w:val="14"/>
          <w:color w:val="DAD3D0"/>
          <w:highlight w:val="white"/>
        </w:rPr>
        <w:t xml:space="preserve"> </w:t>
      </w:r>
      <w:r>
        <w:rPr>
          <w:rFonts w:ascii="Arial" w:cs="Arial" w:eastAsia="Arial" w:hAnsi="Arial"/>
          <w:sz w:val="12"/>
          <w:szCs w:val="12"/>
          <w:color w:val="EAE3E2"/>
        </w:rPr>
        <w:t>expenses,</w:t>
      </w:r>
      <w:r>
        <w:rPr>
          <w:rFonts w:ascii="Arial" w:cs="Arial" w:eastAsia="Arial" w:hAnsi="Arial"/>
          <w:sz w:val="12"/>
          <w:szCs w:val="12"/>
          <w:color w:val="E1D7D6"/>
          <w:highlight w:val="black"/>
        </w:rPr>
        <w:t>expenses,</w:t>
      </w:r>
      <w:r>
        <w:rPr>
          <w:rFonts w:ascii="Arial" w:cs="Arial" w:eastAsia="Arial" w:hAnsi="Arial"/>
          <w:sz w:val="14"/>
          <w:szCs w:val="14"/>
          <w:color w:val="DAD3D0"/>
          <w:highlight w:val="white"/>
        </w:rPr>
        <w:t xml:space="preserve"> </w:t>
      </w:r>
      <w:r>
        <w:rPr>
          <w:rFonts w:ascii="Arial" w:cs="Arial" w:eastAsia="Arial" w:hAnsi="Arial"/>
          <w:sz w:val="12"/>
          <w:szCs w:val="12"/>
          <w:color w:val="EAE3E2"/>
          <w:highlight w:val="black"/>
        </w:rPr>
        <w:t>inclu</w:t>
      </w:r>
      <w:r>
        <w:rPr>
          <w:rFonts w:ascii="Arial" w:cs="Arial" w:eastAsia="Arial" w:hAnsi="Arial"/>
          <w:sz w:val="12"/>
          <w:szCs w:val="12"/>
          <w:color w:val="E2D8D7"/>
        </w:rPr>
        <w:t>inclu</w:t>
      </w:r>
      <w:r>
        <w:rPr>
          <w:rFonts w:ascii="Arial" w:cs="Arial" w:eastAsia="Arial" w:hAnsi="Arial"/>
          <w:sz w:val="12"/>
          <w:szCs w:val="12"/>
          <w:color w:val="FFFFFF"/>
        </w:rPr>
        <w:t>ding</w:t>
      </w:r>
      <w:r>
        <w:rPr>
          <w:rFonts w:ascii="Arial" w:cs="Arial" w:eastAsia="Arial" w:hAnsi="Arial"/>
          <w:sz w:val="12"/>
          <w:szCs w:val="12"/>
          <w:color w:val="D8CBCB"/>
        </w:rPr>
        <w:t>din</w:t>
      </w:r>
      <w:r>
        <w:rPr>
          <w:rFonts w:ascii="Arial" w:cs="Arial" w:eastAsia="Arial" w:hAnsi="Arial"/>
          <w:sz w:val="12"/>
          <w:szCs w:val="12"/>
          <w:color w:val="D7CBCA"/>
        </w:rPr>
        <w:t>g</w:t>
      </w:r>
      <w:r>
        <w:rPr>
          <w:rFonts w:ascii="Arial" w:cs="Arial" w:eastAsia="Arial" w:hAnsi="Arial"/>
          <w:sz w:val="14"/>
          <w:szCs w:val="14"/>
          <w:color w:val="DAD3D0"/>
          <w:highlight w:val="white"/>
        </w:rPr>
        <w:t xml:space="preserve"> </w:t>
      </w:r>
      <w:r>
        <w:rPr>
          <w:rFonts w:ascii="Arial" w:cs="Arial" w:eastAsia="Arial" w:hAnsi="Arial"/>
          <w:sz w:val="12"/>
          <w:szCs w:val="12"/>
          <w:color w:val="FFFFFF"/>
        </w:rPr>
        <w:t>non</w:t>
      </w:r>
      <w:r>
        <w:rPr>
          <w:rFonts w:ascii="Arial" w:cs="Arial" w:eastAsia="Arial" w:hAnsi="Arial"/>
          <w:sz w:val="12"/>
          <w:szCs w:val="12"/>
          <w:color w:val="D7CBCA"/>
        </w:rPr>
        <w:t>non</w:t>
      </w:r>
      <w:r>
        <w:rPr>
          <w:rFonts w:ascii="Arial" w:cs="Arial" w:eastAsia="Arial" w:hAnsi="Arial"/>
          <w:sz w:val="12"/>
          <w:szCs w:val="12"/>
          <w:color w:val="FFFFFF"/>
        </w:rPr>
        <w:t>-</w:t>
      </w:r>
      <w:r>
        <w:rPr>
          <w:rFonts w:ascii="Arial" w:cs="Arial" w:eastAsia="Arial" w:hAnsi="Arial"/>
          <w:sz w:val="12"/>
          <w:szCs w:val="12"/>
          <w:color w:val="D7CBCA"/>
        </w:rPr>
        <w:t>-</w:t>
      </w:r>
      <w:r>
        <w:rPr>
          <w:rFonts w:ascii="Arial" w:cs="Arial" w:eastAsia="Arial" w:hAnsi="Arial"/>
          <w:sz w:val="12"/>
          <w:szCs w:val="12"/>
          <w:color w:val="FFFFFF"/>
        </w:rPr>
        <w:t>cash</w:t>
      </w:r>
      <w:r>
        <w:rPr>
          <w:rFonts w:ascii="Arial" w:cs="Arial" w:eastAsia="Arial" w:hAnsi="Arial"/>
          <w:sz w:val="12"/>
          <w:szCs w:val="12"/>
          <w:color w:val="D7CBCA"/>
        </w:rPr>
        <w:t>ca</w:t>
      </w:r>
      <w:r>
        <w:rPr>
          <w:rFonts w:ascii="Arial" w:cs="Arial" w:eastAsia="Arial" w:hAnsi="Arial"/>
          <w:sz w:val="12"/>
          <w:szCs w:val="12"/>
          <w:color w:val="D8CBCB"/>
        </w:rPr>
        <w:t>sh</w:t>
      </w:r>
      <w:r>
        <w:rPr>
          <w:rFonts w:ascii="Arial" w:cs="Arial" w:eastAsia="Arial" w:hAnsi="Arial"/>
          <w:sz w:val="14"/>
          <w:szCs w:val="14"/>
          <w:color w:val="DAD3D0"/>
          <w:highlight w:val="white"/>
        </w:rPr>
        <w:t xml:space="preserve"> </w:t>
      </w:r>
      <w:r>
        <w:rPr>
          <w:rFonts w:ascii="Arial" w:cs="Arial" w:eastAsia="Arial" w:hAnsi="Arial"/>
          <w:sz w:val="12"/>
          <w:szCs w:val="12"/>
          <w:color w:val="FFFFFF"/>
          <w:highlight w:val="black"/>
        </w:rPr>
        <w:t>stock</w:t>
      </w:r>
      <w:r>
        <w:rPr>
          <w:rFonts w:ascii="Arial" w:cs="Arial" w:eastAsia="Arial" w:hAnsi="Arial"/>
          <w:sz w:val="12"/>
          <w:szCs w:val="12"/>
          <w:color w:val="CEBEBE"/>
          <w:highlight w:val="black"/>
        </w:rPr>
        <w:t>stock</w:t>
      </w:r>
      <w:r>
        <w:rPr>
          <w:rFonts w:ascii="Arial" w:cs="Arial" w:eastAsia="Arial" w:hAnsi="Arial"/>
          <w:sz w:val="12"/>
          <w:szCs w:val="12"/>
          <w:color w:val="FFFFFF"/>
          <w:highlight w:val="black"/>
        </w:rPr>
        <w:t>-</w:t>
      </w:r>
      <w:r>
        <w:rPr>
          <w:rFonts w:ascii="Arial" w:cs="Arial" w:eastAsia="Arial" w:hAnsi="Arial"/>
          <w:sz w:val="12"/>
          <w:szCs w:val="12"/>
          <w:color w:val="CEBEBE"/>
          <w:highlight w:val="black"/>
        </w:rPr>
        <w:t>-</w:t>
      </w:r>
      <w:r>
        <w:rPr>
          <w:rFonts w:ascii="Arial" w:cs="Arial" w:eastAsia="Arial" w:hAnsi="Arial"/>
          <w:sz w:val="12"/>
          <w:szCs w:val="12"/>
          <w:color w:val="FFFFFF"/>
          <w:highlight w:val="black"/>
        </w:rPr>
        <w:t>based</w:t>
      </w:r>
      <w:r>
        <w:rPr>
          <w:rFonts w:ascii="Arial" w:cs="Arial" w:eastAsia="Arial" w:hAnsi="Arial"/>
          <w:sz w:val="12"/>
          <w:szCs w:val="12"/>
          <w:color w:val="CEBEBE"/>
          <w:highlight w:val="black"/>
        </w:rPr>
        <w:t>based c</w:t>
      </w:r>
      <w:r>
        <w:rPr>
          <w:rFonts w:ascii="Arial" w:cs="Arial" w:eastAsia="Arial" w:hAnsi="Arial"/>
          <w:sz w:val="12"/>
          <w:szCs w:val="12"/>
          <w:color w:val="CDBEBD"/>
          <w:highlight w:val="black"/>
        </w:rPr>
        <w:t>o</w:t>
      </w:r>
      <w:r>
        <w:rPr>
          <w:rFonts w:ascii="Arial" w:cs="Arial" w:eastAsia="Arial" w:hAnsi="Arial"/>
          <w:sz w:val="12"/>
          <w:szCs w:val="12"/>
          <w:color w:val="AE999A"/>
          <w:highlight w:val="white"/>
        </w:rPr>
        <w:t>mpensation.</w:t>
      </w:r>
      <w:r>
        <w:rPr>
          <w:rFonts w:ascii="Arial" w:cs="Arial" w:eastAsia="Arial" w:hAnsi="Arial"/>
          <w:sz w:val="14"/>
          <w:szCs w:val="14"/>
          <w:color w:val="DAD3D0"/>
          <w:highlight w:val="white"/>
        </w:rPr>
        <w:t xml:space="preserve"> </w:t>
      </w:r>
      <w:r>
        <w:rPr>
          <w:rFonts w:ascii="Arial" w:cs="Arial" w:eastAsia="Arial" w:hAnsi="Arial"/>
          <w:sz w:val="12"/>
          <w:szCs w:val="12"/>
          <w:color w:val="E9E3E1"/>
        </w:rPr>
        <w:t>For a detailed reconciliation of GAAP and non</w:t>
      </w:r>
      <w:r>
        <w:rPr>
          <w:rFonts w:ascii="Arial" w:cs="Arial" w:eastAsia="Arial" w:hAnsi="Arial"/>
          <w:sz w:val="12"/>
          <w:szCs w:val="12"/>
          <w:color w:val="E0D6D4"/>
          <w:highlight w:val="black"/>
        </w:rPr>
        <w:t>on</w:t>
      </w:r>
      <w:r>
        <w:rPr>
          <w:rFonts w:ascii="Arial" w:cs="Arial" w:eastAsia="Arial" w:hAnsi="Arial"/>
          <w:sz w:val="12"/>
          <w:szCs w:val="12"/>
          <w:color w:val="E9E3E1"/>
          <w:highlight w:val="black"/>
        </w:rPr>
        <w:t>-</w:t>
      </w:r>
      <w:r>
        <w:rPr>
          <w:rFonts w:ascii="Arial" w:cs="Arial" w:eastAsia="Arial" w:hAnsi="Arial"/>
          <w:sz w:val="12"/>
          <w:szCs w:val="12"/>
          <w:color w:val="E0D6D4"/>
          <w:highlight w:val="black"/>
        </w:rPr>
        <w:t>-</w:t>
      </w:r>
      <w:r>
        <w:rPr>
          <w:rFonts w:ascii="Arial" w:cs="Arial" w:eastAsia="Arial" w:hAnsi="Arial"/>
          <w:sz w:val="12"/>
          <w:szCs w:val="12"/>
          <w:color w:val="E9E3E1"/>
          <w:highlight w:val="black"/>
        </w:rPr>
        <w:t>GAAP</w:t>
      </w:r>
      <w:r>
        <w:rPr>
          <w:rFonts w:ascii="Arial" w:cs="Arial" w:eastAsia="Arial" w:hAnsi="Arial"/>
          <w:sz w:val="12"/>
          <w:szCs w:val="12"/>
          <w:color w:val="E0D6D4"/>
          <w:highlight w:val="black"/>
        </w:rPr>
        <w:t>GAAP</w:t>
      </w:r>
      <w:r>
        <w:rPr>
          <w:rFonts w:ascii="Arial" w:cs="Arial" w:eastAsia="Arial" w:hAnsi="Arial"/>
          <w:sz w:val="12"/>
          <w:szCs w:val="12"/>
          <w:color w:val="E9E3E1"/>
        </w:rPr>
        <w:t xml:space="preserve"> </w:t>
      </w:r>
      <w:r>
        <w:rPr>
          <w:rFonts w:ascii="Arial" w:cs="Arial" w:eastAsia="Arial" w:hAnsi="Arial"/>
          <w:sz w:val="12"/>
          <w:szCs w:val="12"/>
          <w:color w:val="E9E3E1"/>
          <w:highlight w:val="black"/>
        </w:rPr>
        <w:t>results</w:t>
      </w:r>
      <w:r>
        <w:rPr>
          <w:rFonts w:ascii="Arial" w:cs="Arial" w:eastAsia="Arial" w:hAnsi="Arial"/>
          <w:sz w:val="12"/>
          <w:szCs w:val="12"/>
          <w:color w:val="E0D6D4"/>
        </w:rPr>
        <w:t>results</w:t>
      </w:r>
      <w:r>
        <w:rPr>
          <w:rFonts w:ascii="Arial" w:cs="Arial" w:eastAsia="Arial" w:hAnsi="Arial"/>
          <w:sz w:val="12"/>
          <w:szCs w:val="12"/>
          <w:color w:val="D5C9C7"/>
        </w:rPr>
        <w:t>,</w:t>
      </w:r>
      <w:r>
        <w:rPr>
          <w:rFonts w:ascii="Arial" w:cs="Arial" w:eastAsia="Arial" w:hAnsi="Arial"/>
          <w:sz w:val="12"/>
          <w:szCs w:val="12"/>
          <w:color w:val="E9E3E1"/>
        </w:rPr>
        <w:t xml:space="preserve"> </w:t>
      </w:r>
      <w:r>
        <w:rPr>
          <w:rFonts w:ascii="Arial" w:cs="Arial" w:eastAsia="Arial" w:hAnsi="Arial"/>
          <w:sz w:val="12"/>
          <w:szCs w:val="12"/>
          <w:color w:val="FFFFFF"/>
        </w:rPr>
        <w:t>please</w:t>
      </w:r>
      <w:r>
        <w:rPr>
          <w:rFonts w:ascii="Arial" w:cs="Arial" w:eastAsia="Arial" w:hAnsi="Arial"/>
          <w:sz w:val="12"/>
          <w:szCs w:val="12"/>
          <w:color w:val="D5C9C7"/>
        </w:rPr>
        <w:t>plea</w:t>
      </w:r>
      <w:r>
        <w:rPr>
          <w:rFonts w:ascii="Arial" w:cs="Arial" w:eastAsia="Arial" w:hAnsi="Arial"/>
          <w:sz w:val="12"/>
          <w:szCs w:val="12"/>
          <w:color w:val="D4C8C6"/>
        </w:rPr>
        <w:t>se</w:t>
      </w:r>
      <w:r>
        <w:rPr>
          <w:rFonts w:ascii="Arial" w:cs="Arial" w:eastAsia="Arial" w:hAnsi="Arial"/>
          <w:sz w:val="12"/>
          <w:szCs w:val="12"/>
          <w:color w:val="E9E3E1"/>
        </w:rPr>
        <w:t xml:space="preserve"> </w:t>
      </w:r>
      <w:r>
        <w:rPr>
          <w:rFonts w:ascii="Arial" w:cs="Arial" w:eastAsia="Arial" w:hAnsi="Arial"/>
          <w:sz w:val="12"/>
          <w:szCs w:val="12"/>
          <w:color w:val="FFFFFF"/>
        </w:rPr>
        <w:t>refer</w:t>
      </w:r>
      <w:r>
        <w:rPr>
          <w:rFonts w:ascii="Arial" w:cs="Arial" w:eastAsia="Arial" w:hAnsi="Arial"/>
          <w:sz w:val="12"/>
          <w:szCs w:val="12"/>
          <w:color w:val="D4C8C6"/>
        </w:rPr>
        <w:t>r</w:t>
      </w:r>
      <w:r>
        <w:rPr>
          <w:rFonts w:ascii="Arial" w:cs="Arial" w:eastAsia="Arial" w:hAnsi="Arial"/>
          <w:sz w:val="12"/>
          <w:szCs w:val="12"/>
          <w:color w:val="D5C9C7"/>
        </w:rPr>
        <w:t>efer</w:t>
      </w:r>
      <w:r>
        <w:rPr>
          <w:rFonts w:ascii="Arial" w:cs="Arial" w:eastAsia="Arial" w:hAnsi="Arial"/>
          <w:sz w:val="12"/>
          <w:szCs w:val="12"/>
          <w:color w:val="E9E3E1"/>
        </w:rPr>
        <w:t xml:space="preserve"> </w:t>
      </w:r>
      <w:r>
        <w:rPr>
          <w:rFonts w:ascii="Arial" w:cs="Arial" w:eastAsia="Arial" w:hAnsi="Arial"/>
          <w:sz w:val="12"/>
          <w:szCs w:val="12"/>
          <w:color w:val="FFFFFF"/>
        </w:rPr>
        <w:t>to</w:t>
      </w:r>
      <w:r>
        <w:rPr>
          <w:rFonts w:ascii="Arial" w:cs="Arial" w:eastAsia="Arial" w:hAnsi="Arial"/>
          <w:sz w:val="12"/>
          <w:szCs w:val="12"/>
          <w:color w:val="D5C9C7"/>
        </w:rPr>
        <w:t>to</w:t>
      </w:r>
      <w:r>
        <w:rPr>
          <w:rFonts w:ascii="Arial" w:cs="Arial" w:eastAsia="Arial" w:hAnsi="Arial"/>
          <w:sz w:val="12"/>
          <w:szCs w:val="12"/>
          <w:color w:val="E9E3E1"/>
        </w:rPr>
        <w:t xml:space="preserve"> </w:t>
      </w:r>
      <w:r>
        <w:rPr>
          <w:rFonts w:ascii="Arial" w:cs="Arial" w:eastAsia="Arial" w:hAnsi="Arial"/>
          <w:sz w:val="12"/>
          <w:szCs w:val="12"/>
          <w:color w:val="FFFFFF"/>
        </w:rPr>
        <w:t>our</w:t>
      </w:r>
      <w:r>
        <w:rPr>
          <w:rFonts w:ascii="Arial" w:cs="Arial" w:eastAsia="Arial" w:hAnsi="Arial"/>
          <w:sz w:val="12"/>
          <w:szCs w:val="12"/>
          <w:color w:val="CBBBBA"/>
        </w:rPr>
        <w:t>our</w:t>
      </w:r>
      <w:r>
        <w:rPr>
          <w:rFonts w:ascii="Arial" w:cs="Arial" w:eastAsia="Arial" w:hAnsi="Arial"/>
          <w:sz w:val="12"/>
          <w:szCs w:val="12"/>
          <w:color w:val="E9E3E1"/>
        </w:rPr>
        <w:t xml:space="preserve"> </w:t>
      </w:r>
      <w:r>
        <w:rPr>
          <w:rFonts w:ascii="Arial" w:cs="Arial" w:eastAsia="Arial" w:hAnsi="Arial"/>
          <w:sz w:val="12"/>
          <w:szCs w:val="12"/>
          <w:color w:val="FFFFFF"/>
        </w:rPr>
        <w:t>earnings</w:t>
      </w:r>
      <w:r>
        <w:rPr>
          <w:rFonts w:ascii="Arial" w:cs="Arial" w:eastAsia="Arial" w:hAnsi="Arial"/>
          <w:sz w:val="12"/>
          <w:szCs w:val="12"/>
          <w:color w:val="CBBBBA"/>
        </w:rPr>
        <w:t>earnings pr</w:t>
      </w:r>
      <w:r>
        <w:rPr>
          <w:rFonts w:ascii="Arial" w:cs="Arial" w:eastAsia="Arial" w:hAnsi="Arial"/>
          <w:sz w:val="12"/>
          <w:szCs w:val="12"/>
          <w:color w:val="AB9695"/>
          <w:highlight w:val="white"/>
        </w:rPr>
        <w:t>ess r</w:t>
      </w:r>
      <w:r>
        <w:rPr>
          <w:rFonts w:ascii="Arial" w:cs="Arial" w:eastAsia="Arial" w:hAnsi="Arial"/>
          <w:sz w:val="12"/>
          <w:szCs w:val="12"/>
          <w:color w:val="AC9696"/>
          <w:highlight w:val="white"/>
        </w:rPr>
        <w:t>elea</w:t>
      </w:r>
      <w:r>
        <w:rPr>
          <w:rFonts w:ascii="Arial" w:cs="Arial" w:eastAsia="Arial" w:hAnsi="Arial"/>
          <w:sz w:val="12"/>
          <w:szCs w:val="12"/>
          <w:color w:val="AB9695"/>
          <w:highlight w:val="white"/>
        </w:rPr>
        <w:t>ses</w:t>
      </w:r>
      <w:r>
        <w:rPr>
          <w:rFonts w:ascii="Arial" w:cs="Arial" w:eastAsia="Arial" w:hAnsi="Arial"/>
          <w:sz w:val="12"/>
          <w:szCs w:val="12"/>
          <w:color w:val="E9E3E1"/>
        </w:rPr>
        <w:t xml:space="preserve"> </w:t>
      </w:r>
      <w:r>
        <w:rPr>
          <w:rFonts w:ascii="Arial" w:cs="Arial" w:eastAsia="Arial" w:hAnsi="Arial"/>
          <w:sz w:val="12"/>
          <w:szCs w:val="12"/>
          <w:color w:val="E8E3DF"/>
        </w:rPr>
        <w:t>found on our website</w:t>
      </w:r>
      <w:r>
        <w:rPr>
          <w:rFonts w:ascii="Arial" w:cs="Arial" w:eastAsia="Arial" w:hAnsi="Arial"/>
          <w:sz w:val="12"/>
          <w:szCs w:val="12"/>
          <w:color w:val="E8E2DE"/>
        </w:rPr>
        <w:t>.</w:t>
      </w:r>
    </w:p>
    <w:p>
      <w:pPr>
        <w:sectPr>
          <w:pgSz w:w="12240" w:h="15840" w:orient="portrait"/>
          <w:cols w:equalWidth="0" w:num="2">
            <w:col w:w="1860" w:space="609"/>
            <w:col w:w="8091"/>
          </w:cols>
          <w:pgMar w:left="820" w:top="872" w:right="860" w:bottom="4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EAEAEA"/>
              </w:rPr>
              <w:t>COMMVAULT 2026 ANNUAL REPORT</w:t>
            </w:r>
          </w:p>
        </w:tc>
        <w:tc>
          <w:tcPr>
            <w:tcW w:w="4380" w:type="dxa"/>
            <w:vAlign w:val="bottom"/>
          </w:tcPr>
          <w:p>
            <w:pPr>
              <w:ind w:left="3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INTRODUCTION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0"/>
          <w:szCs w:val="110"/>
          <w:color w:val="FFFFFF"/>
        </w:rPr>
        <w:t>Key Figures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Total ARR1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+21% YoY Growth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Subscription ARR1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+27% YoY Growth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SaaS ARR</w:t>
      </w:r>
      <w:r>
        <w:rPr>
          <w:rFonts w:ascii="Arial" w:cs="Arial" w:eastAsia="Arial" w:hAnsi="Arial"/>
          <w:sz w:val="32"/>
          <w:szCs w:val="32"/>
          <w:color w:val="FFFFFF"/>
          <w:vertAlign w:val="superscript"/>
        </w:rPr>
        <w:t>1</w:t>
      </w:r>
    </w:p>
    <w:p>
      <w:pPr>
        <w:ind w:left="5500"/>
        <w:spacing w:after="0" w:line="2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+42% YoY Growth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Free Cash Flow1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right"/>
        <w:ind w:right="1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FFFFFF"/>
        </w:rPr>
        <w:t>Non-GAAP EBIT Margin</w:t>
      </w:r>
      <w:r>
        <w:rPr>
          <w:rFonts w:ascii="Arial" w:cs="Arial" w:eastAsia="Arial" w:hAnsi="Arial"/>
          <w:sz w:val="32"/>
          <w:szCs w:val="32"/>
          <w:color w:val="FFFFFF"/>
          <w:vertAlign w:val="superscript"/>
        </w:rPr>
        <w:t>1</w:t>
      </w:r>
    </w:p>
    <w:p>
      <w:pPr>
        <w:sectPr>
          <w:pgSz w:w="12240" w:h="15840" w:orient="portrait"/>
          <w:cols w:equalWidth="0" w:num="1">
            <w:col w:w="10520"/>
          </w:cols>
          <w:pgMar w:left="860" w:top="872" w:right="860" w:bottom="3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100" w:right="240" w:hanging="1671"/>
        <w:spacing w:after="0" w:line="284" w:lineRule="auto"/>
        <w:tabs>
          <w:tab w:leader="none" w:pos="256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EAEAEA"/>
        </w:rPr>
      </w:pPr>
      <w:r>
        <w:rPr>
          <w:rFonts w:ascii="Arial" w:cs="Arial" w:eastAsia="Arial" w:hAnsi="Arial"/>
          <w:sz w:val="14"/>
          <w:szCs w:val="14"/>
          <w:color w:val="EAEAEA"/>
        </w:rPr>
        <w:t xml:space="preserve">2026 Commvault </w:t>
      </w:r>
      <w:r>
        <w:rPr>
          <w:rFonts w:ascii="Arial" w:cs="Arial" w:eastAsia="Arial" w:hAnsi="Arial"/>
          <w:sz w:val="12"/>
          <w:szCs w:val="12"/>
          <w:color w:val="FFFFFF"/>
        </w:rPr>
        <w:t>1 Annualized Recurring Revenue (“ARR”), subscription ARR, SaaS ARR, free cash flow and non-GAAP EBIT</w:t>
      </w:r>
      <w:r>
        <w:rPr>
          <w:rFonts w:ascii="Arial" w:cs="Arial" w:eastAsia="Arial" w:hAnsi="Arial"/>
          <w:sz w:val="14"/>
          <w:szCs w:val="14"/>
          <w:color w:val="EAEAEA"/>
        </w:rPr>
        <w:t xml:space="preserve"> </w:t>
      </w:r>
      <w:r>
        <w:rPr>
          <w:rFonts w:ascii="Arial" w:cs="Arial" w:eastAsia="Arial" w:hAnsi="Arial"/>
          <w:sz w:val="12"/>
          <w:szCs w:val="12"/>
          <w:color w:val="FFFFFF"/>
        </w:rPr>
        <w:t>margin are non-GAAP measures. Reconciliations of GAAP to non-GAAP results and additional information regarding these measures are included in our earnings releases available on our website.</w:t>
      </w:r>
    </w:p>
    <w:p>
      <w:pPr>
        <w:sectPr>
          <w:pgSz w:w="12240" w:h="15840" w:orient="portrait"/>
          <w:cols w:equalWidth="0" w:num="1">
            <w:col w:w="10520"/>
          </w:cols>
          <w:pgMar w:left="860" w:top="872" w:right="860" w:bottom="33" w:gutter="0" w:footer="0" w:header="0"/>
          <w:type w:val="continuous"/>
        </w:sectPr>
      </w:pPr>
    </w:p>
    <w:bookmarkStart w:id="3" w:name="page4"/>
    <w:bookmarkEnd w:id="3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color w:val="FFFFFF"/>
        </w:rPr>
        <w:t>2026 ANNUAL REPORT</w:t>
      </w:r>
    </w:p>
    <w:p>
      <w:pPr>
        <w:sectPr>
          <w:pgSz w:w="12240" w:h="15840" w:orient="portrait"/>
          <w:cols w:equalWidth="0" w:num="1">
            <w:col w:w="9940"/>
          </w:cols>
          <w:pgMar w:left="860" w:top="1440" w:right="1440" w:bottom="39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EAEAEA"/>
        </w:rPr>
        <w:t>© 2026 Commvault</w:t>
      </w:r>
    </w:p>
    <w:p>
      <w:pPr>
        <w:sectPr>
          <w:pgSz w:w="12240" w:h="15840" w:orient="portrait"/>
          <w:cols w:equalWidth="0" w:num="1">
            <w:col w:w="9940"/>
          </w:cols>
          <w:pgMar w:left="860" w:top="1440" w:right="1440" w:bottom="398" w:gutter="0" w:footer="0" w:header="0"/>
          <w:type w:val="continuous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68580</wp:posOffset>
            </wp:positionH>
            <wp:positionV relativeFrom="page">
              <wp:posOffset>0</wp:posOffset>
            </wp:positionV>
            <wp:extent cx="7703820" cy="1005776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382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EAEAEA"/>
        </w:rPr>
        <w:t>COMMVAULT 2026 ANNUAL REPORT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FFFFFF"/>
        </w:rPr>
        <w:t>Investor Information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Annual Meeting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FFFFFF"/>
        </w:rPr>
        <w:t>Officers and Directors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-3707765</wp:posOffset>
            </wp:positionH>
            <wp:positionV relativeFrom="paragraph">
              <wp:posOffset>-1823085</wp:posOffset>
            </wp:positionV>
            <wp:extent cx="7771765" cy="1005776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6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260" w:space="720"/>
            <w:col w:w="5540"/>
          </w:cols>
          <w:pgMar w:left="860" w:top="872" w:right="860" w:bottom="398" w:gutter="0" w:footer="0" w:header="0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20" w:right="340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The annual meeting of stockholders will be held on August 6, 2026 at 10:00am ET virtually at: http://ir.commvault.com/news-and-events/annual-meeting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Stock Exchange Listing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420" w:right="1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Commvault’s common stock is traded on the Nasdaq Global Select Market under the symbol “CVLT”.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Investor Relations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Investor inquiries may be directed to: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20" w:right="1200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Michael Melnyk, CFA Head of Investor Relations mmelnyk@commvault.com 646.522.6160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420" w:right="660"/>
        <w:spacing w:after="0" w:line="2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Annual Report on Form 10-K and Other Investor Information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jc w:val="both"/>
        <w:ind w:left="420" w:right="1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A copy of our Form 10-K, filed with the Securities and Exchange Commission, is included in this report.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20" w:right="4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Additional copies of other financial information can be accessed at commvault.com.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Transfer Agent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420" w:right="600"/>
        <w:spacing w:after="0" w:line="2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Computershare Investor Services PO Box 43006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420" w:right="104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Providence, RI 02940-3006 computershare.com/investor 800.368.5948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Independent Auditors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Ernst &amp; Young LLP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99 Wood Avenue South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Iselin, NJ 08830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732.516.4200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EAEAEA"/>
        </w:rPr>
        <w:t>© 2026 Commvault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Sanjay Mirchandani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300"/>
        <w:spacing w:after="0" w:line="2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President, Chief Executive Officer, and Director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Gary Merrill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Chief Financial Officer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Danielle Sheer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 w:line="2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Chief Legal and Trust Officer, Corporate Secretary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Sarv Saravanan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Chief Customer Officer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Rajiv Kottomtharayil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Chief Product Officer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Geoff Haydon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660"/>
        <w:spacing w:after="0" w:line="2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President of Customer and Field Operations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Anna Griffin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Chief Marketing Officer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right="880"/>
        <w:spacing w:after="0" w:line="3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Martha Delehanty Chief People Officer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40"/>
        <w:spacing w:after="0" w:line="3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Danielle Abrahamsen Chief Accounting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72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Nicola Adamo Chair of the Board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Martha Bejar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 w:line="2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Chair of Nominations and Governance Committee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Keith Geeslin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Director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Vivie “YY” Lee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220"/>
        <w:spacing w:after="0" w:line="2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Chair of Compensation Committee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Chuck Moran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Director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Shane Sanders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Chair of Audit Committee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Arlen Shenkman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Chair of Operating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FFFFFF"/>
        </w:rPr>
        <w:t>Committee</w:t>
      </w:r>
    </w:p>
    <w:p>
      <w:pPr>
        <w:sectPr>
          <w:pgSz w:w="12240" w:h="15840" w:orient="portrait"/>
          <w:cols w:equalWidth="0" w:num="3">
            <w:col w:w="4260" w:space="720"/>
            <w:col w:w="2840" w:space="180"/>
            <w:col w:w="2520"/>
          </w:cols>
          <w:pgMar w:left="860" w:top="872" w:right="860" w:bottom="398" w:gutter="0" w:footer="0" w:header="0"/>
          <w:type w:val="continuous"/>
        </w:sectPr>
      </w:pPr>
    </w:p>
    <w:bookmarkStart w:id="91" w:name="page92"/>
    <w:bookmarkEnd w:id="9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1765" cy="1005776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76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>commvault.com | 888.746.3849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>ir@commvault.com</w:t>
      </w:r>
    </w:p>
    <w:p>
      <w:pPr>
        <w:sectPr>
          <w:pgSz w:w="12240" w:h="15840" w:orient="portrait"/>
          <w:cols w:equalWidth="0" w:num="1">
            <w:col w:w="9940"/>
          </w:cols>
          <w:pgMar w:left="860" w:top="1440" w:right="1440" w:bottom="3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FFFFFF"/>
        </w:rPr>
        <w:t>© 2026 Commvault</w:t>
      </w:r>
    </w:p>
    <w:sectPr>
      <w:pgSz w:w="12240" w:h="15840" w:orient="portrait"/>
      <w:cols w:equalWidth="0" w:num="1">
        <w:col w:w="9940"/>
      </w:cols>
      <w:pgMar w:left="860" w:top="1440" w:right="1440" w:bottom="37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©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©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jpe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Relationship Id="rId44" Type="http://schemas.openxmlformats.org/officeDocument/2006/relationships/image" Target="media/image37.jpeg"/><Relationship Id="rId45" Type="http://schemas.openxmlformats.org/officeDocument/2006/relationships/image" Target="media/image38.jpeg"/><Relationship Id="rId46" Type="http://schemas.openxmlformats.org/officeDocument/2006/relationships/image" Target="media/image39.jpeg"/><Relationship Id="rId47" Type="http://schemas.openxmlformats.org/officeDocument/2006/relationships/image" Target="media/image40.jpeg"/><Relationship Id="rId48" Type="http://schemas.openxmlformats.org/officeDocument/2006/relationships/image" Target="media/image41.jpeg"/><Relationship Id="rId49" Type="http://schemas.openxmlformats.org/officeDocument/2006/relationships/image" Target="media/image42.jpeg"/><Relationship Id="rId50" Type="http://schemas.openxmlformats.org/officeDocument/2006/relationships/image" Target="media/image43.jpeg"/><Relationship Id="rId51" Type="http://schemas.openxmlformats.org/officeDocument/2006/relationships/image" Target="media/image44.jpeg"/><Relationship Id="rId52" Type="http://schemas.openxmlformats.org/officeDocument/2006/relationships/image" Target="media/image45.jpeg"/><Relationship Id="rId53" Type="http://schemas.openxmlformats.org/officeDocument/2006/relationships/image" Target="media/image46.jpeg"/><Relationship Id="rId54" Type="http://schemas.openxmlformats.org/officeDocument/2006/relationships/image" Target="media/image47.jpeg"/><Relationship Id="rId55" Type="http://schemas.openxmlformats.org/officeDocument/2006/relationships/image" Target="media/image48.jpeg"/><Relationship Id="rId56" Type="http://schemas.openxmlformats.org/officeDocument/2006/relationships/image" Target="media/image49.jpeg"/><Relationship Id="rId57" Type="http://schemas.openxmlformats.org/officeDocument/2006/relationships/image" Target="media/image50.jpeg"/><Relationship Id="rId58" Type="http://schemas.openxmlformats.org/officeDocument/2006/relationships/image" Target="media/image51.jpeg"/><Relationship Id="rId59" Type="http://schemas.openxmlformats.org/officeDocument/2006/relationships/image" Target="media/image52.jpeg"/><Relationship Id="rId60" Type="http://schemas.openxmlformats.org/officeDocument/2006/relationships/image" Target="media/image53.jpeg"/><Relationship Id="rId61" Type="http://schemas.openxmlformats.org/officeDocument/2006/relationships/image" Target="media/image54.jpeg"/><Relationship Id="rId62" Type="http://schemas.openxmlformats.org/officeDocument/2006/relationships/image" Target="media/image55.jpeg"/><Relationship Id="rId63" Type="http://schemas.openxmlformats.org/officeDocument/2006/relationships/image" Target="media/image56.jpeg"/><Relationship Id="rId64" Type="http://schemas.openxmlformats.org/officeDocument/2006/relationships/image" Target="media/image57.jpeg"/><Relationship Id="rId65" Type="http://schemas.openxmlformats.org/officeDocument/2006/relationships/image" Target="media/image58.jpeg"/><Relationship Id="rId66" Type="http://schemas.openxmlformats.org/officeDocument/2006/relationships/image" Target="media/image59.jpeg"/><Relationship Id="rId67" Type="http://schemas.openxmlformats.org/officeDocument/2006/relationships/image" Target="media/image60.jpeg"/><Relationship Id="rId68" Type="http://schemas.openxmlformats.org/officeDocument/2006/relationships/image" Target="media/image61.jpeg"/><Relationship Id="rId69" Type="http://schemas.openxmlformats.org/officeDocument/2006/relationships/image" Target="media/image62.jpeg"/><Relationship Id="rId70" Type="http://schemas.openxmlformats.org/officeDocument/2006/relationships/image" Target="media/image63.jpeg"/><Relationship Id="rId71" Type="http://schemas.openxmlformats.org/officeDocument/2006/relationships/image" Target="media/image64.jpeg"/><Relationship Id="rId72" Type="http://schemas.openxmlformats.org/officeDocument/2006/relationships/image" Target="media/image65.jpeg"/><Relationship Id="rId73" Type="http://schemas.openxmlformats.org/officeDocument/2006/relationships/image" Target="media/image66.jpeg"/><Relationship Id="rId74" Type="http://schemas.openxmlformats.org/officeDocument/2006/relationships/image" Target="media/image67.jpeg"/><Relationship Id="rId75" Type="http://schemas.openxmlformats.org/officeDocument/2006/relationships/image" Target="media/image68.jpeg"/><Relationship Id="rId76" Type="http://schemas.openxmlformats.org/officeDocument/2006/relationships/image" Target="media/image69.jpeg"/><Relationship Id="rId77" Type="http://schemas.openxmlformats.org/officeDocument/2006/relationships/image" Target="media/image70.jpeg"/><Relationship Id="rId78" Type="http://schemas.openxmlformats.org/officeDocument/2006/relationships/image" Target="media/image71.jpeg"/><Relationship Id="rId79" Type="http://schemas.openxmlformats.org/officeDocument/2006/relationships/image" Target="media/image72.jpeg"/><Relationship Id="rId80" Type="http://schemas.openxmlformats.org/officeDocument/2006/relationships/image" Target="media/image73.jpeg"/><Relationship Id="rId81" Type="http://schemas.openxmlformats.org/officeDocument/2006/relationships/image" Target="media/image74.jpeg"/><Relationship Id="rId82" Type="http://schemas.openxmlformats.org/officeDocument/2006/relationships/image" Target="media/image75.jpeg"/><Relationship Id="rId83" Type="http://schemas.openxmlformats.org/officeDocument/2006/relationships/image" Target="media/image76.jpeg"/><Relationship Id="rId84" Type="http://schemas.openxmlformats.org/officeDocument/2006/relationships/image" Target="media/image77.jpeg"/><Relationship Id="rId85" Type="http://schemas.openxmlformats.org/officeDocument/2006/relationships/image" Target="media/image78.jpeg"/><Relationship Id="rId86" Type="http://schemas.openxmlformats.org/officeDocument/2006/relationships/image" Target="media/image79.jpeg"/><Relationship Id="rId87" Type="http://schemas.openxmlformats.org/officeDocument/2006/relationships/image" Target="media/image80.jpeg"/><Relationship Id="rId88" Type="http://schemas.openxmlformats.org/officeDocument/2006/relationships/image" Target="media/image81.jpeg"/><Relationship Id="rId89" Type="http://schemas.openxmlformats.org/officeDocument/2006/relationships/image" Target="media/image82.jpeg"/><Relationship Id="rId90" Type="http://schemas.openxmlformats.org/officeDocument/2006/relationships/image" Target="media/image83.jpeg"/><Relationship Id="rId91" Type="http://schemas.openxmlformats.org/officeDocument/2006/relationships/image" Target="media/image84.jpeg"/><Relationship Id="rId92" Type="http://schemas.openxmlformats.org/officeDocument/2006/relationships/image" Target="media/image85.jpeg"/><Relationship Id="rId93" Type="http://schemas.openxmlformats.org/officeDocument/2006/relationships/image" Target="media/image86.jpeg"/><Relationship Id="rId94" Type="http://schemas.openxmlformats.org/officeDocument/2006/relationships/image" Target="media/image87.jpeg"/><Relationship Id="rId95" Type="http://schemas.openxmlformats.org/officeDocument/2006/relationships/image" Target="media/image88.jpeg"/><Relationship Id="rId96" Type="http://schemas.openxmlformats.org/officeDocument/2006/relationships/image" Target="media/image89.jpeg"/><Relationship Id="rId97" Type="http://schemas.openxmlformats.org/officeDocument/2006/relationships/image" Target="media/image90.jpeg"/><Relationship Id="rId98" Type="http://schemas.openxmlformats.org/officeDocument/2006/relationships/image" Target="media/image91.png"/><Relationship Id="rId99" Type="http://schemas.openxmlformats.org/officeDocument/2006/relationships/image" Target="media/image9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2026-06-24T20:40:01Z</dcterms:created>
  <dcterms:modified xsi:type="dcterms:W3CDTF">2026-06-24T20:40:01Z</dcterms:modified>
</cp:coreProperties>
</file>