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1"/>
          <w:szCs w:val="21"/>
          <w:b w:val="1"/>
          <w:bCs w:val="1"/>
          <w:color w:val="auto"/>
        </w:rPr>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76200</wp:posOffset>
            </wp:positionV>
            <wp:extent cx="19437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242570</wp:posOffset>
            </wp:positionV>
            <wp:extent cx="1943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ind w:left="220" w:hanging="214"/>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261" w:lineRule="exact"/>
        <w:rPr>
          <w:sz w:val="24"/>
          <w:szCs w:val="24"/>
          <w:color w:val="auto"/>
        </w:rPr>
      </w:pPr>
    </w:p>
    <w:p>
      <w:pPr>
        <w:ind w:left="220" w:hanging="214"/>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225425</wp:posOffset>
            </wp:positionV>
            <wp:extent cx="19437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42"/>
          <w:szCs w:val="42"/>
          <w:b w:val="1"/>
          <w:bCs w:val="1"/>
          <w:color w:val="auto"/>
        </w:rPr>
        <w:t>Commvault Systems,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203835</wp:posOffset>
            </wp:positionV>
            <wp:extent cx="19437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tbl>
      <w:tblPr>
        <w:tblLayout w:type="fixed"/>
        <w:tblInd w:w="90" w:type="dxa"/>
        <w:tblCellMar>
          <w:top w:w="0" w:type="dxa"/>
          <w:left w:w="0" w:type="dxa"/>
          <w:bottom w:w="0" w:type="dxa"/>
          <w:right w:w="0" w:type="dxa"/>
        </w:tblCellMar>
      </w:tblPr>
      <w:tr>
        <w:trPr>
          <w:trHeight w:val="208"/>
        </w:trPr>
        <w:tc>
          <w:tcPr>
            <w:tcW w:w="3580" w:type="dxa"/>
            <w:vAlign w:val="bottom"/>
          </w:tcPr>
          <w:p>
            <w:pPr>
              <w:jc w:val="center"/>
              <w:ind w:left="1748"/>
              <w:spacing w:after="0"/>
              <w:rPr>
                <w:sz w:val="20"/>
                <w:szCs w:val="20"/>
                <w:color w:val="auto"/>
              </w:rPr>
            </w:pPr>
            <w:r>
              <w:rPr>
                <w:rFonts w:ascii="Arial" w:cs="Arial" w:eastAsia="Arial" w:hAnsi="Arial"/>
                <w:sz w:val="16"/>
                <w:szCs w:val="16"/>
                <w:b w:val="1"/>
                <w:bCs w:val="1"/>
                <w:color w:val="auto"/>
                <w:w w:val="91"/>
              </w:rPr>
              <w:t>Delaware</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tcPr>
          <w:p>
            <w:pPr>
              <w:jc w:val="center"/>
              <w:ind w:right="1348"/>
              <w:spacing w:after="0"/>
              <w:rPr>
                <w:sz w:val="20"/>
                <w:szCs w:val="20"/>
                <w:color w:val="auto"/>
              </w:rPr>
            </w:pPr>
            <w:r>
              <w:rPr>
                <w:rFonts w:ascii="Arial" w:cs="Arial" w:eastAsia="Arial" w:hAnsi="Arial"/>
                <w:sz w:val="16"/>
                <w:szCs w:val="16"/>
                <w:b w:val="1"/>
                <w:bCs w:val="1"/>
                <w:color w:val="auto"/>
                <w:w w:val="88"/>
              </w:rPr>
              <w:t>22-3447504</w:t>
            </w:r>
          </w:p>
        </w:tc>
      </w:tr>
      <w:tr>
        <w:trPr>
          <w:trHeight w:val="138"/>
        </w:trPr>
        <w:tc>
          <w:tcPr>
            <w:tcW w:w="3580" w:type="dxa"/>
            <w:vAlign w:val="bottom"/>
          </w:tcPr>
          <w:p>
            <w:pPr>
              <w:jc w:val="center"/>
              <w:ind w:left="1768"/>
              <w:spacing w:after="0"/>
              <w:rPr>
                <w:sz w:val="20"/>
                <w:szCs w:val="20"/>
                <w:color w:val="auto"/>
              </w:rPr>
            </w:pPr>
            <w:r>
              <w:rPr>
                <w:rFonts w:ascii="Arial" w:cs="Arial" w:eastAsia="Arial" w:hAnsi="Arial"/>
                <w:sz w:val="12"/>
                <w:szCs w:val="12"/>
                <w:b w:val="1"/>
                <w:bCs w:val="1"/>
                <w:color w:val="auto"/>
                <w:w w:val="93"/>
              </w:rPr>
              <w:t>(State or other jurisdiction of</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20" w:type="dxa"/>
            <w:vAlign w:val="bottom"/>
          </w:tcPr>
          <w:p>
            <w:pPr>
              <w:jc w:val="center"/>
              <w:ind w:right="1348"/>
              <w:spacing w:after="0"/>
              <w:rPr>
                <w:sz w:val="20"/>
                <w:szCs w:val="20"/>
                <w:color w:val="auto"/>
              </w:rPr>
            </w:pPr>
            <w:r>
              <w:rPr>
                <w:rFonts w:ascii="Arial" w:cs="Arial" w:eastAsia="Arial" w:hAnsi="Arial"/>
                <w:sz w:val="12"/>
                <w:szCs w:val="12"/>
                <w:b w:val="1"/>
                <w:bCs w:val="1"/>
                <w:color w:val="auto"/>
                <w:w w:val="95"/>
              </w:rPr>
              <w:t>(I.R.S. Employer</w:t>
            </w:r>
          </w:p>
        </w:tc>
      </w:tr>
      <w:tr>
        <w:trPr>
          <w:trHeight w:val="160"/>
        </w:trPr>
        <w:tc>
          <w:tcPr>
            <w:tcW w:w="3580" w:type="dxa"/>
            <w:vAlign w:val="bottom"/>
          </w:tcPr>
          <w:p>
            <w:pPr>
              <w:jc w:val="center"/>
              <w:ind w:left="1768"/>
              <w:spacing w:after="0"/>
              <w:rPr>
                <w:sz w:val="20"/>
                <w:szCs w:val="20"/>
                <w:color w:val="auto"/>
              </w:rPr>
            </w:pPr>
            <w:r>
              <w:rPr>
                <w:rFonts w:ascii="Arial" w:cs="Arial" w:eastAsia="Arial" w:hAnsi="Arial"/>
                <w:sz w:val="12"/>
                <w:szCs w:val="12"/>
                <w:b w:val="1"/>
                <w:bCs w:val="1"/>
                <w:color w:val="auto"/>
                <w:w w:val="94"/>
              </w:rPr>
              <w:t>incorporation or organization)</w:t>
            </w: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20" w:type="dxa"/>
            <w:vAlign w:val="bottom"/>
          </w:tcPr>
          <w:p>
            <w:pPr>
              <w:jc w:val="center"/>
              <w:ind w:right="1348"/>
              <w:spacing w:after="0"/>
              <w:rPr>
                <w:sz w:val="20"/>
                <w:szCs w:val="20"/>
                <w:color w:val="auto"/>
              </w:rPr>
            </w:pPr>
            <w:r>
              <w:rPr>
                <w:rFonts w:ascii="Arial" w:cs="Arial" w:eastAsia="Arial" w:hAnsi="Arial"/>
                <w:sz w:val="12"/>
                <w:szCs w:val="12"/>
                <w:b w:val="1"/>
                <w:bCs w:val="1"/>
                <w:color w:val="auto"/>
                <w:w w:val="94"/>
              </w:rPr>
              <w:t>Identification No.)</w:t>
            </w:r>
          </w:p>
        </w:tc>
      </w:tr>
      <w:tr>
        <w:trPr>
          <w:trHeight w:val="276"/>
        </w:trPr>
        <w:tc>
          <w:tcPr>
            <w:tcW w:w="3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4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2"/>
              </w:rPr>
              <w:t>1 Commvault Way</w:t>
            </w:r>
          </w:p>
        </w:tc>
        <w:tc>
          <w:tcPr>
            <w:tcW w:w="3820" w:type="dxa"/>
            <w:vAlign w:val="bottom"/>
          </w:tcPr>
          <w:p>
            <w:pPr>
              <w:spacing w:after="0"/>
              <w:rPr>
                <w:sz w:val="24"/>
                <w:szCs w:val="24"/>
                <w:color w:val="auto"/>
              </w:rPr>
            </w:pPr>
          </w:p>
        </w:tc>
      </w:tr>
      <w:tr>
        <w:trPr>
          <w:trHeight w:val="189"/>
        </w:trPr>
        <w:tc>
          <w:tcPr>
            <w:tcW w:w="3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Tinton Falls, New Jersey 07724</w:t>
            </w:r>
          </w:p>
        </w:tc>
        <w:tc>
          <w:tcPr>
            <w:tcW w:w="3820" w:type="dxa"/>
            <w:vAlign w:val="bottom"/>
          </w:tcPr>
          <w:p>
            <w:pPr>
              <w:spacing w:after="0"/>
              <w:rPr>
                <w:sz w:val="16"/>
                <w:szCs w:val="16"/>
                <w:color w:val="auto"/>
              </w:rPr>
            </w:pPr>
          </w:p>
        </w:tc>
      </w:tr>
      <w:tr>
        <w:trPr>
          <w:trHeight w:val="204"/>
        </w:trPr>
        <w:tc>
          <w:tcPr>
            <w:tcW w:w="3580" w:type="dxa"/>
            <w:vAlign w:val="bottom"/>
          </w:tcPr>
          <w:p>
            <w:pPr>
              <w:spacing w:after="0"/>
              <w:rPr>
                <w:sz w:val="17"/>
                <w:szCs w:val="17"/>
                <w:color w:val="auto"/>
              </w:rPr>
            </w:pPr>
          </w:p>
        </w:tc>
        <w:tc>
          <w:tcPr>
            <w:tcW w:w="7520" w:type="dxa"/>
            <w:vAlign w:val="bottom"/>
            <w:gridSpan w:val="6"/>
          </w:tcPr>
          <w:p>
            <w:pPr>
              <w:jc w:val="center"/>
              <w:ind w:right="3508"/>
              <w:spacing w:after="0"/>
              <w:rPr>
                <w:sz w:val="20"/>
                <w:szCs w:val="20"/>
                <w:color w:val="auto"/>
              </w:rPr>
            </w:pPr>
            <w:r>
              <w:rPr>
                <w:rFonts w:ascii="Arial" w:cs="Arial" w:eastAsia="Arial" w:hAnsi="Arial"/>
                <w:sz w:val="16"/>
                <w:szCs w:val="16"/>
                <w:color w:val="auto"/>
                <w:w w:val="92"/>
              </w:rPr>
              <w:t>(Address of principal executive offices, including zip code)</w:t>
            </w:r>
          </w:p>
        </w:tc>
      </w:tr>
      <w:tr>
        <w:trPr>
          <w:trHeight w:val="424"/>
        </w:trPr>
        <w:tc>
          <w:tcPr>
            <w:tcW w:w="3580" w:type="dxa"/>
            <w:vAlign w:val="bottom"/>
          </w:tcPr>
          <w:p>
            <w:pPr>
              <w:spacing w:after="0"/>
              <w:rPr>
                <w:sz w:val="24"/>
                <w:szCs w:val="24"/>
                <w:color w:val="auto"/>
              </w:rPr>
            </w:pPr>
          </w:p>
        </w:tc>
        <w:tc>
          <w:tcPr>
            <w:tcW w:w="2880" w:type="dxa"/>
            <w:vAlign w:val="bottom"/>
            <w:gridSpan w:val="3"/>
          </w:tcPr>
          <w:p>
            <w:pPr>
              <w:jc w:val="center"/>
              <w:ind w:left="961"/>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b w:val="1"/>
                <w:bCs w:val="1"/>
                <w:color w:val="auto"/>
                <w:w w:val="96"/>
              </w:rPr>
              <w:t>732) 870-4000</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60"/>
        </w:trPr>
        <w:tc>
          <w:tcPr>
            <w:tcW w:w="3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6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91"/>
              </w:rPr>
              <w:t>(Registrant’s telephone number, including area code)</w:t>
            </w:r>
          </w:p>
        </w:tc>
        <w:tc>
          <w:tcPr>
            <w:tcW w:w="3820" w:type="dxa"/>
            <w:vAlign w:val="bottom"/>
          </w:tcPr>
          <w:p>
            <w:pPr>
              <w:spacing w:after="0"/>
              <w:rPr>
                <w:sz w:val="13"/>
                <w:szCs w:val="13"/>
                <w:color w:val="auto"/>
              </w:rPr>
            </w:pPr>
          </w:p>
        </w:tc>
      </w:tr>
      <w:tr>
        <w:trPr>
          <w:trHeight w:val="110"/>
        </w:trPr>
        <w:tc>
          <w:tcPr>
            <w:tcW w:w="3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20" w:type="dxa"/>
            <w:vAlign w:val="bottom"/>
          </w:tcPr>
          <w:p>
            <w:pPr>
              <w:spacing w:after="0"/>
              <w:rPr>
                <w:sz w:val="9"/>
                <w:szCs w:val="9"/>
                <w:color w:val="auto"/>
              </w:rPr>
            </w:pPr>
          </w:p>
        </w:tc>
      </w:tr>
      <w:tr>
        <w:trPr>
          <w:trHeight w:val="287"/>
        </w:trPr>
        <w:tc>
          <w:tcPr>
            <w:tcW w:w="3580" w:type="dxa"/>
            <w:vAlign w:val="bottom"/>
          </w:tcPr>
          <w:p>
            <w:pPr>
              <w:spacing w:after="0"/>
              <w:rPr>
                <w:sz w:val="24"/>
                <w:szCs w:val="24"/>
                <w:color w:val="auto"/>
              </w:rPr>
            </w:pPr>
          </w:p>
        </w:tc>
        <w:tc>
          <w:tcPr>
            <w:tcW w:w="3700" w:type="dxa"/>
            <w:vAlign w:val="bottom"/>
            <w:gridSpan w:val="5"/>
          </w:tcPr>
          <w:p>
            <w:pPr>
              <w:jc w:val="center"/>
              <w:ind w:left="161"/>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3820" w:type="dxa"/>
            <w:vAlign w:val="bottom"/>
          </w:tcPr>
          <w:p>
            <w:pPr>
              <w:spacing w:after="0"/>
              <w:rPr>
                <w:sz w:val="24"/>
                <w:szCs w:val="24"/>
                <w:color w:val="auto"/>
              </w:rPr>
            </w:pPr>
          </w:p>
        </w:tc>
      </w:tr>
      <w:tr>
        <w:trPr>
          <w:trHeight w:val="117"/>
        </w:trPr>
        <w:tc>
          <w:tcPr>
            <w:tcW w:w="35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r>
      <w:tr>
        <w:trPr>
          <w:trHeight w:val="203"/>
        </w:trPr>
        <w:tc>
          <w:tcPr>
            <w:tcW w:w="3580" w:type="dxa"/>
            <w:vAlign w:val="bottom"/>
            <w:tcBorders>
              <w:left w:val="single" w:sz="8" w:color="auto"/>
              <w:bottom w:val="single" w:sz="8" w:color="auto"/>
            </w:tcBorders>
          </w:tcPr>
          <w:p>
            <w:pPr>
              <w:jc w:val="center"/>
              <w:ind w:left="888"/>
              <w:spacing w:after="0"/>
              <w:rPr>
                <w:sz w:val="20"/>
                <w:szCs w:val="20"/>
                <w:color w:val="auto"/>
              </w:rPr>
            </w:pPr>
            <w:r>
              <w:rPr>
                <w:rFonts w:ascii="Arial" w:cs="Arial" w:eastAsia="Arial" w:hAnsi="Arial"/>
                <w:sz w:val="16"/>
                <w:szCs w:val="16"/>
                <w:b w:val="1"/>
                <w:bCs w:val="1"/>
                <w:color w:val="auto"/>
                <w:w w:val="85"/>
              </w:rPr>
              <w:t>Title of each class</w:t>
            </w: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20" w:type="dxa"/>
            <w:vAlign w:val="bottom"/>
            <w:tcBorders>
              <w:bottom w:val="single" w:sz="8" w:color="auto"/>
              <w:right w:val="single" w:sz="8" w:color="auto"/>
            </w:tcBorders>
          </w:tcPr>
          <w:p>
            <w:pPr>
              <w:jc w:val="center"/>
              <w:ind w:right="788"/>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205"/>
        </w:trPr>
        <w:tc>
          <w:tcPr>
            <w:tcW w:w="3580" w:type="dxa"/>
            <w:vAlign w:val="bottom"/>
            <w:tcBorders>
              <w:left w:val="single" w:sz="8" w:color="auto"/>
              <w:bottom w:val="single" w:sz="8" w:color="auto"/>
            </w:tcBorders>
          </w:tcPr>
          <w:p>
            <w:pPr>
              <w:jc w:val="center"/>
              <w:ind w:left="888"/>
              <w:spacing w:after="0"/>
              <w:rPr>
                <w:sz w:val="20"/>
                <w:szCs w:val="20"/>
                <w:color w:val="auto"/>
              </w:rPr>
            </w:pPr>
            <w:r>
              <w:rPr>
                <w:rFonts w:ascii="Arial" w:cs="Arial" w:eastAsia="Arial" w:hAnsi="Arial"/>
                <w:sz w:val="16"/>
                <w:szCs w:val="16"/>
                <w:color w:val="auto"/>
                <w:w w:val="89"/>
              </w:rPr>
              <w:t>Common Stock</w:t>
            </w: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CVLT</w:t>
            </w:r>
          </w:p>
        </w:tc>
        <w:tc>
          <w:tcPr>
            <w:tcW w:w="820" w:type="dxa"/>
            <w:vAlign w:val="bottom"/>
            <w:tcBorders>
              <w:bottom w:val="single" w:sz="8" w:color="auto"/>
            </w:tcBorders>
            <w:gridSpan w:val="2"/>
          </w:tcPr>
          <w:p>
            <w:pPr>
              <w:spacing w:after="0"/>
              <w:rPr>
                <w:sz w:val="17"/>
                <w:szCs w:val="17"/>
                <w:color w:val="auto"/>
              </w:rPr>
            </w:pPr>
          </w:p>
        </w:tc>
        <w:tc>
          <w:tcPr>
            <w:tcW w:w="3820" w:type="dxa"/>
            <w:vAlign w:val="bottom"/>
            <w:tcBorders>
              <w:bottom w:val="single" w:sz="8" w:color="auto"/>
              <w:right w:val="single" w:sz="8" w:color="auto"/>
            </w:tcBorders>
          </w:tcPr>
          <w:p>
            <w:pPr>
              <w:jc w:val="center"/>
              <w:ind w:right="768"/>
              <w:spacing w:after="0"/>
              <w:rPr>
                <w:sz w:val="20"/>
                <w:szCs w:val="20"/>
                <w:color w:val="auto"/>
              </w:rPr>
            </w:pPr>
            <w:r>
              <w:rPr>
                <w:rFonts w:ascii="Arial" w:cs="Arial" w:eastAsia="Arial" w:hAnsi="Arial"/>
                <w:sz w:val="16"/>
                <w:szCs w:val="16"/>
                <w:color w:val="auto"/>
                <w:w w:val="89"/>
              </w:rPr>
              <w:t>The Nasdaq Stock Market</w:t>
            </w:r>
          </w:p>
        </w:tc>
      </w:tr>
    </w:tbl>
    <w:p>
      <w:pPr>
        <w:spacing w:after="0" w:line="193" w:lineRule="exact"/>
        <w:rPr>
          <w:sz w:val="24"/>
          <w:szCs w:val="24"/>
          <w:color w:val="auto"/>
        </w:rPr>
      </w:pPr>
    </w:p>
    <w:p>
      <w:pPr>
        <w:ind w:right="6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76" w:lineRule="exact"/>
        <w:rPr>
          <w:sz w:val="24"/>
          <w:szCs w:val="24"/>
          <w:color w:val="auto"/>
        </w:rPr>
      </w:pPr>
    </w:p>
    <w:p>
      <w:pPr>
        <w:ind w:right="24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202" w:lineRule="exact"/>
        <w:rPr>
          <w:sz w:val="24"/>
          <w:szCs w:val="24"/>
          <w:color w:val="auto"/>
        </w:rPr>
      </w:pPr>
    </w:p>
    <w:p>
      <w:pPr>
        <w:ind w:right="80"/>
        <w:spacing w:after="0" w:line="30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ectPr>
          <w:pgSz w:w="11900" w:h="16838" w:orient="portrait"/>
          <w:cols w:equalWidth="0" w:num="1">
            <w:col w:w="11180"/>
          </w:cols>
          <w:pgMar w:left="320" w:top="1053" w:right="399" w:bottom="1440" w:gutter="0" w:footer="0" w:header="0"/>
        </w:sectPr>
      </w:pPr>
    </w:p>
    <w:p>
      <w:pPr>
        <w:spacing w:after="0" w:line="101" w:lineRule="exact"/>
        <w:rPr>
          <w:sz w:val="24"/>
          <w:szCs w:val="24"/>
          <w:color w:val="auto"/>
        </w:rPr>
      </w:pPr>
    </w:p>
    <w:p>
      <w:pPr>
        <w:ind w:left="20"/>
        <w:spacing w:after="0" w:line="161" w:lineRule="exact"/>
        <w:tabs>
          <w:tab w:leader="none" w:pos="2720" w:val="left"/>
          <w:tab w:leader="none" w:pos="3060" w:val="left"/>
          <w:tab w:leader="none" w:pos="5060" w:val="left"/>
          <w:tab w:leader="none" w:pos="5360" w:val="left"/>
          <w:tab w:leader="none" w:pos="7360" w:val="left"/>
          <w:tab w:leader="none" w:pos="77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Smaller reporting company</w:t>
      </w:r>
    </w:p>
    <w:p>
      <w:pPr>
        <w:spacing w:after="0" w:line="48" w:lineRule="exact"/>
        <w:rPr>
          <w:sz w:val="24"/>
          <w:szCs w:val="24"/>
          <w:color w:val="auto"/>
        </w:rPr>
      </w:pPr>
    </w:p>
    <w:p>
      <w:pPr>
        <w:ind w:left="20"/>
        <w:spacing w:after="0" w:line="161" w:lineRule="exact"/>
        <w:tabs>
          <w:tab w:leader="none" w:pos="272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5" w:lineRule="exact"/>
        <w:rPr>
          <w:sz w:val="24"/>
          <w:szCs w:val="24"/>
          <w:color w:val="auto"/>
        </w:rPr>
      </w:pPr>
    </w:p>
    <w:p>
      <w:pPr>
        <w:ind w:left="20"/>
        <w:spacing w:after="0" w:line="22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w:t>
      </w:r>
    </w:p>
    <w:p>
      <w:pPr>
        <w:spacing w:after="0" w:line="191" w:lineRule="exact"/>
        <w:rPr>
          <w:sz w:val="24"/>
          <w:szCs w:val="24"/>
          <w:color w:val="auto"/>
        </w:rPr>
      </w:pPr>
    </w:p>
    <w:p>
      <w:pPr>
        <w:spacing w:after="0" w:line="196" w:lineRule="exact"/>
        <w:tabs>
          <w:tab w:leader="none" w:pos="6540" w:val="left"/>
          <w:tab w:leader="none" w:pos="71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No x</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36" w:lineRule="exact"/>
        <w:rPr>
          <w:sz w:val="24"/>
          <w:szCs w:val="24"/>
          <w:color w:val="auto"/>
        </w:rPr>
      </w:pPr>
    </w:p>
    <w:p>
      <w:pPr>
        <w:sectPr>
          <w:pgSz w:w="11900" w:h="16838" w:orient="portrait"/>
          <w:cols w:equalWidth="0" w:num="2">
            <w:col w:w="9840" w:space="220"/>
            <w:col w:w="1120"/>
          </w:cols>
          <w:pgMar w:left="320" w:top="1053" w:right="399" w:bottom="1440" w:gutter="0" w:footer="0" w:header="0"/>
          <w:type w:val="continuous"/>
        </w:sectPr>
      </w:pPr>
    </w:p>
    <w:p>
      <w:pPr>
        <w:spacing w:after="0" w:line="57" w:lineRule="exact"/>
        <w:rPr>
          <w:sz w:val="24"/>
          <w:szCs w:val="24"/>
          <w:color w:val="auto"/>
        </w:rPr>
      </w:pPr>
    </w:p>
    <w:p>
      <w:pPr>
        <w:spacing w:after="0"/>
        <w:rPr>
          <w:sz w:val="20"/>
          <w:szCs w:val="20"/>
          <w:color w:val="auto"/>
        </w:rPr>
      </w:pPr>
      <w:r>
        <w:rPr>
          <w:rFonts w:ascii="Arial" w:cs="Arial" w:eastAsia="Arial" w:hAnsi="Arial"/>
          <w:sz w:val="12"/>
          <w:szCs w:val="12"/>
          <w:color w:val="auto"/>
        </w:rPr>
        <w:t>As of January 24, 2022, there were 44,559,594 shares of the registrant’s common stock, $0.01 par value, outstanding.</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type w:val="continuous"/>
        </w:sectPr>
      </w:pPr>
    </w:p>
    <w:bookmarkStart w:id="1" w:name="page2"/>
    <w:bookmarkEnd w:id="1"/>
    <w:p>
      <w:pPr>
        <w:jc w:val="center"/>
        <w:ind w:right="-79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FORM 10-Q</w:t>
      </w:r>
    </w:p>
    <w:p>
      <w:pPr>
        <w:spacing w:after="0" w:line="19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760" w:type="dxa"/>
            <w:vAlign w:val="bottom"/>
            <w:gridSpan w:val="22"/>
            <w:vMerge w:val="restart"/>
          </w:tcPr>
          <w:p>
            <w:pPr>
              <w:spacing w:after="0"/>
              <w:rPr>
                <w:sz w:val="20"/>
                <w:szCs w:val="20"/>
                <w:color w:val="auto"/>
              </w:rPr>
            </w:pPr>
            <w:r>
              <w:rPr>
                <w:rFonts w:ascii="Arial" w:cs="Arial" w:eastAsia="Arial" w:hAnsi="Arial"/>
                <w:sz w:val="18"/>
                <w:szCs w:val="18"/>
                <w:b w:val="1"/>
                <w:bCs w:val="1"/>
                <w:color w:val="00B2A9"/>
              </w:rPr>
              <w:t>Part I – FINANCIAL INFORMATION</w:t>
            </w:r>
          </w:p>
        </w:tc>
        <w:tc>
          <w:tcPr>
            <w:tcW w:w="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04"/>
        </w:trPr>
        <w:tc>
          <w:tcPr>
            <w:tcW w:w="9760" w:type="dxa"/>
            <w:vAlign w:val="bottom"/>
            <w:gridSpan w:val="22"/>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8740" w:type="dxa"/>
            <w:vAlign w:val="bottom"/>
            <w:gridSpan w:val="21"/>
          </w:tcPr>
          <w:p>
            <w:pPr>
              <w:spacing w:after="0"/>
              <w:rPr>
                <w:sz w:val="20"/>
                <w:szCs w:val="20"/>
                <w:color w:val="auto"/>
              </w:rPr>
            </w:pPr>
            <w:r>
              <w:rPr>
                <w:rFonts w:ascii="Arial" w:cs="Arial" w:eastAsia="Arial" w:hAnsi="Arial"/>
                <w:sz w:val="18"/>
                <w:szCs w:val="18"/>
                <w:color w:val="auto"/>
              </w:rPr>
              <w:t>Financial Statements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6820" w:type="dxa"/>
            <w:vAlign w:val="bottom"/>
            <w:gridSpan w:val="15"/>
          </w:tcPr>
          <w:p>
            <w:pPr>
              <w:spacing w:after="0" w:line="187"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Unaudited Consolidated Balance Sheets as of December 31, 2021 and March 31, 2021</w:t>
              </w:r>
            </w:hyperlink>
          </w:p>
        </w:tc>
        <w:tc>
          <w:tcPr>
            <w:tcW w:w="1920" w:type="dxa"/>
            <w:vAlign w:val="bottom"/>
            <w:gridSpan w:val="6"/>
          </w:tcPr>
          <w:p>
            <w:pPr>
              <w:spacing w:after="0"/>
              <w:rPr>
                <w:sz w:val="16"/>
                <w:szCs w:val="16"/>
                <w:color w:val="auto"/>
              </w:rPr>
            </w:pPr>
          </w:p>
        </w:tc>
        <w:tc>
          <w:tcPr>
            <w:tcW w:w="520" w:type="dxa"/>
            <w:vAlign w:val="bottom"/>
            <w:gridSpan w:val="2"/>
          </w:tcPr>
          <w:p>
            <w:pPr>
              <w:spacing w:after="0"/>
              <w:rPr>
                <w:sz w:val="16"/>
                <w:szCs w:val="16"/>
                <w:color w:val="auto"/>
              </w:rPr>
            </w:pPr>
          </w:p>
        </w:tc>
        <w:tc>
          <w:tcPr>
            <w:tcW w:w="120" w:type="dxa"/>
            <w:vAlign w:val="bottom"/>
            <w:gridSpan w:val="2"/>
          </w:tcPr>
          <w:p>
            <w:pPr>
              <w:jc w:val="right"/>
              <w:ind w:right="20"/>
              <w:spacing w:after="0" w:line="187"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8740" w:type="dxa"/>
            <w:vAlign w:val="bottom"/>
            <w:gridSpan w:val="21"/>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Unaudited Consolidated Statements of Operations for the three and nine months ended December 31, 2021</w:t>
              </w:r>
            </w:hyperlink>
          </w:p>
        </w:tc>
        <w:tc>
          <w:tcPr>
            <w:tcW w:w="640" w:type="dxa"/>
            <w:vAlign w:val="bottom"/>
            <w:gridSpan w:val="4"/>
          </w:tcPr>
          <w:p>
            <w:pPr>
              <w:jc w:val="right"/>
              <w:ind w:right="20"/>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44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w:anchor="page3">
              <w:r>
                <w:rPr>
                  <w:rFonts w:ascii="Arial" w:cs="Arial" w:eastAsia="Arial" w:hAnsi="Arial"/>
                  <w:sz w:val="17"/>
                  <w:szCs w:val="17"/>
                  <w:color w:val="0000FF"/>
                </w:rPr>
                <w:t>and 2020</w:t>
              </w:r>
            </w:hyperlink>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8740" w:type="dxa"/>
            <w:vAlign w:val="bottom"/>
            <w:gridSpan w:val="21"/>
          </w:tcPr>
          <w:p>
            <w:pPr>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Unaudited Consolidated Statements of Comprehensive Income (Loss) for the three and nine months ended</w:t>
              </w:r>
            </w:hyperlink>
          </w:p>
        </w:tc>
        <w:tc>
          <w:tcPr>
            <w:tcW w:w="640" w:type="dxa"/>
            <w:vAlign w:val="bottom"/>
            <w:gridSpan w:val="4"/>
          </w:tcPr>
          <w:p>
            <w:pPr>
              <w:jc w:val="right"/>
              <w:ind w:right="20"/>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36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w:anchor="page4">
              <w:r>
                <w:rPr>
                  <w:rFonts w:ascii="Arial" w:cs="Arial" w:eastAsia="Arial" w:hAnsi="Arial"/>
                  <w:sz w:val="17"/>
                  <w:szCs w:val="17"/>
                  <w:color w:val="0000FF"/>
                </w:rPr>
                <w:t>December 31, 2021 and 2020</w:t>
              </w:r>
            </w:hyperlink>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8740" w:type="dxa"/>
            <w:vAlign w:val="bottom"/>
            <w:gridSpan w:val="21"/>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Unaudited Consolidated Statements of Stockholders’ Equity for the three and nine months ended December</w:t>
              </w:r>
            </w:hyperlink>
          </w:p>
        </w:tc>
        <w:tc>
          <w:tcPr>
            <w:tcW w:w="640" w:type="dxa"/>
            <w:vAlign w:val="bottom"/>
            <w:gridSpan w:val="4"/>
          </w:tcPr>
          <w:p>
            <w:pPr>
              <w:jc w:val="right"/>
              <w:ind w:right="20"/>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rPr>
            </w:pPr>
            <w:hyperlink w:anchor="page5">
              <w:r>
                <w:rPr>
                  <w:rFonts w:ascii="Arial" w:cs="Arial" w:eastAsia="Arial" w:hAnsi="Arial"/>
                  <w:sz w:val="17"/>
                  <w:szCs w:val="17"/>
                  <w:color w:val="0000FF"/>
                </w:rPr>
                <w:t>31, 2021 and 2020</w:t>
              </w:r>
            </w:hyperlink>
          </w:p>
        </w:tc>
        <w:tc>
          <w:tcPr>
            <w:tcW w:w="6940" w:type="dxa"/>
            <w:vAlign w:val="bottom"/>
            <w:tcBorders>
              <w:top w:val="single" w:sz="8" w:color="0000FF"/>
            </w:tcBorders>
            <w:gridSpan w:val="11"/>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8480" w:type="dxa"/>
            <w:vAlign w:val="bottom"/>
            <w:gridSpan w:val="20"/>
          </w:tcPr>
          <w:p>
            <w:pPr>
              <w:spacing w:after="0" w:line="205" w:lineRule="exact"/>
              <w:rPr>
                <w:rFonts w:ascii="Arial" w:cs="Arial" w:eastAsia="Arial" w:hAnsi="Arial"/>
                <w:sz w:val="18"/>
                <w:szCs w:val="18"/>
                <w:color w:val="0000FF"/>
                <w:w w:val="97"/>
              </w:rPr>
            </w:pPr>
            <w:hyperlink w:anchor="page7">
              <w:r>
                <w:rPr>
                  <w:rFonts w:ascii="Arial" w:cs="Arial" w:eastAsia="Arial" w:hAnsi="Arial"/>
                  <w:sz w:val="18"/>
                  <w:szCs w:val="18"/>
                  <w:color w:val="0000FF"/>
                  <w:w w:val="97"/>
                </w:rPr>
                <w:t>Unaudited Consolidated Statements of Cash Flows for the nine months ended December 31, 2021 and 2020</w:t>
              </w:r>
            </w:hyperlink>
          </w:p>
        </w:tc>
        <w:tc>
          <w:tcPr>
            <w:tcW w:w="26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120" w:type="dxa"/>
            <w:vAlign w:val="bottom"/>
            <w:gridSpan w:val="2"/>
          </w:tcPr>
          <w:p>
            <w:pPr>
              <w:jc w:val="right"/>
              <w:ind w:right="20"/>
              <w:spacing w:after="0" w:line="205"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8480" w:type="dxa"/>
            <w:vAlign w:val="bottom"/>
            <w:gridSpan w:val="20"/>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Notes to Consolidated Financial Statements (unaudited)</w:t>
              </w:r>
            </w:hyperlink>
          </w:p>
        </w:tc>
        <w:tc>
          <w:tcPr>
            <w:tcW w:w="26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120" w:type="dxa"/>
            <w:vAlign w:val="bottom"/>
            <w:gridSpan w:val="2"/>
          </w:tcPr>
          <w:p>
            <w:pPr>
              <w:jc w:val="right"/>
              <w:ind w:right="20"/>
              <w:spacing w:after="0" w:line="205"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6940" w:type="dxa"/>
            <w:vAlign w:val="bottom"/>
            <w:gridSpan w:val="16"/>
          </w:tcPr>
          <w:p>
            <w:pPr>
              <w:spacing w:after="0" w:line="205" w:lineRule="exact"/>
              <w:rPr>
                <w:rFonts w:ascii="Arial" w:cs="Arial" w:eastAsia="Arial" w:hAnsi="Arial"/>
                <w:sz w:val="18"/>
                <w:szCs w:val="18"/>
                <w:color w:val="0000FF"/>
                <w:w w:val="97"/>
              </w:rPr>
            </w:pPr>
            <w:hyperlink w:anchor="page18">
              <w:r>
                <w:rPr>
                  <w:rFonts w:ascii="Arial" w:cs="Arial" w:eastAsia="Arial" w:hAnsi="Arial"/>
                  <w:sz w:val="18"/>
                  <w:szCs w:val="18"/>
                  <w:color w:val="0000FF"/>
                  <w:w w:val="97"/>
                </w:rPr>
                <w:t>Management’s Discussion and Analysis of Financial Condition and Results of Operations</w:t>
              </w:r>
            </w:hyperlink>
          </w:p>
        </w:tc>
        <w:tc>
          <w:tcPr>
            <w:tcW w:w="180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18">
              <w:r>
                <w:rPr>
                  <w:rFonts w:ascii="Arial" w:cs="Arial" w:eastAsia="Arial" w:hAnsi="Arial"/>
                  <w:sz w:val="18"/>
                  <w:szCs w:val="18"/>
                  <w:color w:val="0000FF"/>
                  <w:w w:val="89"/>
                </w:rPr>
                <w:t>17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600" w:type="dxa"/>
            <w:vAlign w:val="bottom"/>
            <w:gridSpan w:val="13"/>
          </w:tcPr>
          <w:p>
            <w:pPr>
              <w:spacing w:after="0" w:line="205" w:lineRule="exact"/>
              <w:rPr>
                <w:rFonts w:ascii="Arial" w:cs="Arial" w:eastAsia="Arial" w:hAnsi="Arial"/>
                <w:sz w:val="18"/>
                <w:szCs w:val="18"/>
                <w:color w:val="0000FF"/>
                <w:w w:val="97"/>
              </w:rPr>
            </w:pPr>
            <w:hyperlink w:anchor="page30">
              <w:r>
                <w:rPr>
                  <w:rFonts w:ascii="Arial" w:cs="Arial" w:eastAsia="Arial" w:hAnsi="Arial"/>
                  <w:sz w:val="18"/>
                  <w:szCs w:val="18"/>
                  <w:color w:val="0000FF"/>
                  <w:w w:val="97"/>
                </w:rPr>
                <w:t>Quantitative and Qualitative Disclosures about Market Risk</w:t>
              </w:r>
            </w:hyperlink>
          </w:p>
        </w:tc>
        <w:tc>
          <w:tcPr>
            <w:tcW w:w="2340" w:type="dxa"/>
            <w:vAlign w:val="bottom"/>
            <w:gridSpan w:val="3"/>
          </w:tcPr>
          <w:p>
            <w:pPr>
              <w:spacing w:after="0"/>
              <w:rPr>
                <w:sz w:val="17"/>
                <w:szCs w:val="17"/>
                <w:color w:val="auto"/>
              </w:rPr>
            </w:pPr>
          </w:p>
        </w:tc>
        <w:tc>
          <w:tcPr>
            <w:tcW w:w="180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4600" w:type="dxa"/>
            <w:vAlign w:val="bottom"/>
            <w:gridSpan w:val="13"/>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4140" w:type="dxa"/>
            <w:vAlign w:val="bottom"/>
            <w:gridSpan w:val="8"/>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600" w:type="dxa"/>
            <w:vAlign w:val="bottom"/>
            <w:tcBorders>
              <w:bottom w:val="single" w:sz="8" w:color="0000FF"/>
            </w:tcBorders>
            <w:gridSpan w:val="9"/>
          </w:tcPr>
          <w:p>
            <w:pPr>
              <w:spacing w:after="0"/>
              <w:rPr>
                <w:rFonts w:ascii="Arial" w:cs="Arial" w:eastAsia="Arial" w:hAnsi="Arial"/>
                <w:sz w:val="18"/>
                <w:szCs w:val="18"/>
                <w:b w:val="1"/>
                <w:bCs w:val="1"/>
                <w:color w:val="0000FF"/>
                <w:w w:val="97"/>
              </w:rPr>
            </w:pPr>
            <w:hyperlink w:anchor="page31">
              <w:r>
                <w:rPr>
                  <w:rFonts w:ascii="Arial" w:cs="Arial" w:eastAsia="Arial" w:hAnsi="Arial"/>
                  <w:sz w:val="18"/>
                  <w:szCs w:val="18"/>
                  <w:b w:val="1"/>
                  <w:bCs w:val="1"/>
                  <w:color w:val="0000FF"/>
                  <w:w w:val="97"/>
                </w:rPr>
                <w:t>Part II – OTHER INFORMATION</w:t>
              </w:r>
            </w:hyperlink>
          </w:p>
        </w:tc>
        <w:tc>
          <w:tcPr>
            <w:tcW w:w="7160" w:type="dxa"/>
            <w:vAlign w:val="bottom"/>
            <w:gridSpan w:val="13"/>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1.</w:t>
            </w:r>
          </w:p>
        </w:tc>
        <w:tc>
          <w:tcPr>
            <w:tcW w:w="1460" w:type="dxa"/>
            <w:vAlign w:val="bottom"/>
            <w:gridSpan w:val="6"/>
          </w:tcPr>
          <w:p>
            <w:pPr>
              <w:spacing w:after="0" w:line="205" w:lineRule="exact"/>
              <w:rPr>
                <w:rFonts w:ascii="Arial" w:cs="Arial" w:eastAsia="Arial" w:hAnsi="Arial"/>
                <w:sz w:val="18"/>
                <w:szCs w:val="18"/>
                <w:color w:val="0000FF"/>
                <w:w w:val="96"/>
              </w:rPr>
            </w:pPr>
            <w:hyperlink w:anchor="page32">
              <w:r>
                <w:rPr>
                  <w:rFonts w:ascii="Arial" w:cs="Arial" w:eastAsia="Arial" w:hAnsi="Arial"/>
                  <w:sz w:val="18"/>
                  <w:szCs w:val="18"/>
                  <w:color w:val="0000FF"/>
                  <w:w w:val="96"/>
                </w:rPr>
                <w:t>Legal Proceedings</w:t>
              </w:r>
            </w:hyperlink>
          </w:p>
        </w:tc>
        <w:tc>
          <w:tcPr>
            <w:tcW w:w="7280" w:type="dxa"/>
            <w:vAlign w:val="bottom"/>
            <w:gridSpan w:val="15"/>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1A.</w:t>
            </w:r>
          </w:p>
        </w:tc>
        <w:tc>
          <w:tcPr>
            <w:tcW w:w="980" w:type="dxa"/>
            <w:vAlign w:val="bottom"/>
            <w:gridSpan w:val="4"/>
          </w:tcPr>
          <w:p>
            <w:pPr>
              <w:spacing w:after="0" w:line="205" w:lineRule="exact"/>
              <w:rPr>
                <w:rFonts w:ascii="Arial" w:cs="Arial" w:eastAsia="Arial" w:hAnsi="Arial"/>
                <w:sz w:val="18"/>
                <w:szCs w:val="18"/>
                <w:color w:val="0000FF"/>
                <w:w w:val="95"/>
              </w:rPr>
            </w:pPr>
            <w:hyperlink w:anchor="page32">
              <w:r>
                <w:rPr>
                  <w:rFonts w:ascii="Arial" w:cs="Arial" w:eastAsia="Arial" w:hAnsi="Arial"/>
                  <w:sz w:val="18"/>
                  <w:szCs w:val="18"/>
                  <w:color w:val="0000FF"/>
                  <w:w w:val="95"/>
                </w:rPr>
                <w:t>Risk Factors</w:t>
              </w:r>
            </w:hyperlink>
          </w:p>
        </w:tc>
        <w:tc>
          <w:tcPr>
            <w:tcW w:w="480" w:type="dxa"/>
            <w:vAlign w:val="bottom"/>
            <w:gridSpan w:val="2"/>
          </w:tcPr>
          <w:p>
            <w:pPr>
              <w:spacing w:after="0"/>
              <w:rPr>
                <w:sz w:val="17"/>
                <w:szCs w:val="17"/>
                <w:color w:val="auto"/>
              </w:rPr>
            </w:pPr>
          </w:p>
        </w:tc>
        <w:tc>
          <w:tcPr>
            <w:tcW w:w="7280" w:type="dxa"/>
            <w:vAlign w:val="bottom"/>
            <w:gridSpan w:val="15"/>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4760" w:type="dxa"/>
            <w:vAlign w:val="bottom"/>
            <w:gridSpan w:val="14"/>
          </w:tcPr>
          <w:p>
            <w:pPr>
              <w:spacing w:after="0" w:line="205" w:lineRule="exact"/>
              <w:rPr>
                <w:rFonts w:ascii="Arial" w:cs="Arial" w:eastAsia="Arial" w:hAnsi="Arial"/>
                <w:sz w:val="18"/>
                <w:szCs w:val="18"/>
                <w:color w:val="0000FF"/>
                <w:w w:val="97"/>
              </w:rPr>
            </w:pPr>
            <w:hyperlink w:anchor="page32">
              <w:r>
                <w:rPr>
                  <w:rFonts w:ascii="Arial" w:cs="Arial" w:eastAsia="Arial" w:hAnsi="Arial"/>
                  <w:sz w:val="18"/>
                  <w:szCs w:val="18"/>
                  <w:color w:val="0000FF"/>
                  <w:w w:val="97"/>
                </w:rPr>
                <w:t>Unregistered Sales of Equity Securities and Use of Proceeds</w:t>
              </w:r>
            </w:hyperlink>
          </w:p>
        </w:tc>
        <w:tc>
          <w:tcPr>
            <w:tcW w:w="398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760" w:type="dxa"/>
            <w:vAlign w:val="bottom"/>
            <w:gridSpan w:val="14"/>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Defaults Upon Senior Securities</w:t>
              </w:r>
            </w:hyperlink>
          </w:p>
        </w:tc>
        <w:tc>
          <w:tcPr>
            <w:tcW w:w="398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860" w:type="dxa"/>
            <w:vAlign w:val="bottom"/>
            <w:tcBorders>
              <w:left w:val="single" w:sz="8" w:color="0000FF"/>
            </w:tcBorders>
            <w:gridSpan w:val="1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8740" w:type="dxa"/>
            <w:vAlign w:val="bottom"/>
            <w:gridSpan w:val="21"/>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Mine Safety Disclosures</w:t>
              </w:r>
            </w:hyperlink>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860" w:type="dxa"/>
            <w:vAlign w:val="bottom"/>
            <w:gridSpan w:val="1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5.</w:t>
            </w:r>
          </w:p>
        </w:tc>
        <w:tc>
          <w:tcPr>
            <w:tcW w:w="1880" w:type="dxa"/>
            <w:vAlign w:val="bottom"/>
            <w:gridSpan w:val="9"/>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Other Information</w:t>
              </w:r>
            </w:hyperlink>
          </w:p>
        </w:tc>
        <w:tc>
          <w:tcPr>
            <w:tcW w:w="6860" w:type="dxa"/>
            <w:vAlign w:val="bottom"/>
            <w:gridSpan w:val="12"/>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6.</w:t>
            </w:r>
          </w:p>
        </w:tc>
        <w:tc>
          <w:tcPr>
            <w:tcW w:w="1360" w:type="dxa"/>
            <w:vAlign w:val="bottom"/>
            <w:gridSpan w:val="5"/>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Exhibits</w:t>
              </w:r>
            </w:hyperlink>
          </w:p>
        </w:tc>
        <w:tc>
          <w:tcPr>
            <w:tcW w:w="7380" w:type="dxa"/>
            <w:vAlign w:val="bottom"/>
            <w:gridSpan w:val="16"/>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140" w:type="dxa"/>
            <w:vAlign w:val="bottom"/>
            <w:gridSpan w:val="1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140" w:type="dxa"/>
            <w:vAlign w:val="bottom"/>
            <w:gridSpan w:val="2"/>
          </w:tcPr>
          <w:p>
            <w:pPr>
              <w:spacing w:after="0"/>
              <w:rPr>
                <w:rFonts w:ascii="Arial" w:cs="Arial" w:eastAsia="Arial" w:hAnsi="Arial"/>
                <w:sz w:val="18"/>
                <w:szCs w:val="18"/>
                <w:color w:val="0000FF"/>
                <w:w w:val="95"/>
              </w:rPr>
            </w:pPr>
            <w:hyperlink w:anchor="page33">
              <w:r>
                <w:rPr>
                  <w:rFonts w:ascii="Arial" w:cs="Arial" w:eastAsia="Arial" w:hAnsi="Arial"/>
                  <w:sz w:val="18"/>
                  <w:szCs w:val="18"/>
                  <w:color w:val="0000FF"/>
                  <w:w w:val="95"/>
                </w:rPr>
                <w:t>SIGNATURES</w:t>
              </w:r>
            </w:hyperlink>
          </w:p>
        </w:tc>
        <w:tc>
          <w:tcPr>
            <w:tcW w:w="8620" w:type="dxa"/>
            <w:vAlign w:val="bottom"/>
            <w:gridSpan w:val="20"/>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58420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400"/>
          </w:cols>
          <w:pgMar w:left="340" w:top="1031" w:right="1159" w:bottom="1440" w:gutter="0" w:footer="0" w:header="0"/>
        </w:sectPr>
      </w:pPr>
    </w:p>
    <w:bookmarkStart w:id="2" w:name="page3"/>
    <w:bookmarkEnd w:id="2"/>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6"/>
                <w:szCs w:val="16"/>
                <w:color w:val="auto"/>
              </w:rPr>
            </w:pPr>
          </w:p>
        </w:tc>
        <w:tc>
          <w:tcPr>
            <w:tcW w:w="1360" w:type="dxa"/>
            <w:vAlign w:val="bottom"/>
          </w:tcPr>
          <w:p>
            <w:pPr>
              <w:jc w:val="right"/>
              <w:ind w:right="36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2"/>
        </w:trPr>
        <w:tc>
          <w:tcPr>
            <w:tcW w:w="7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2"/>
        </w:trPr>
        <w:tc>
          <w:tcPr>
            <w:tcW w:w="7820" w:type="dxa"/>
            <w:vAlign w:val="bottom"/>
          </w:tcPr>
          <w:p>
            <w:pPr>
              <w:ind w:left="35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233,691</w:t>
            </w:r>
          </w:p>
        </w:tc>
        <w:tc>
          <w:tcPr>
            <w:tcW w:w="10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397,237</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Trade accounts receivable, net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213,040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188,126</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20,310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22,237</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467,041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607,600</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108,122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112,779</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20,778</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Deferred commissions cost</w:t>
            </w:r>
          </w:p>
        </w:tc>
        <w:tc>
          <w:tcPr>
            <w:tcW w:w="2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46,491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38,444</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112,435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112,435</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17,978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12,137</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768,559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904,173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18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106,384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112,148</w:t>
            </w:r>
          </w:p>
        </w:tc>
        <w:tc>
          <w:tcPr>
            <w:tcW w:w="0" w:type="dxa"/>
            <w:vAlign w:val="bottom"/>
          </w:tcPr>
          <w:p>
            <w:pPr>
              <w:spacing w:after="0"/>
              <w:rPr>
                <w:sz w:val="1"/>
                <w:szCs w:val="1"/>
                <w:color w:val="auto"/>
              </w:rPr>
            </w:pPr>
          </w:p>
        </w:tc>
      </w:tr>
      <w:tr>
        <w:trPr>
          <w:trHeight w:val="210"/>
        </w:trPr>
        <w:tc>
          <w:tcPr>
            <w:tcW w:w="7820" w:type="dxa"/>
            <w:vAlign w:val="bottom"/>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2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5,615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7,469</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253,527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253,211</w:t>
            </w: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365,774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373,202</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less current portion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134,856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119,231</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Deferred tax liabilities, net</w:t>
            </w:r>
          </w:p>
        </w:tc>
        <w:tc>
          <w:tcPr>
            <w:tcW w:w="2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15,419</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1,567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5)</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50,000 shares authorized, no shares issued and outstanding</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7820" w:type="dxa"/>
            <w:vAlign w:val="bottom"/>
          </w:tcPr>
          <w:p>
            <w:pPr>
              <w:ind w:left="20"/>
              <w:spacing w:after="0" w:line="175" w:lineRule="exact"/>
              <w:rPr>
                <w:sz w:val="20"/>
                <w:szCs w:val="20"/>
                <w:color w:val="auto"/>
              </w:rPr>
            </w:pPr>
            <w:r>
              <w:rPr>
                <w:rFonts w:ascii="Arial" w:cs="Arial" w:eastAsia="Arial" w:hAnsi="Arial"/>
                <w:sz w:val="16"/>
                <w:szCs w:val="16"/>
                <w:color w:val="auto"/>
              </w:rPr>
              <w:t>Common stock, $0.01 par value: 250,000 shares authorized, 44,682 shares and 46,482 shares issued and</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820" w:type="dxa"/>
            <w:vAlign w:val="bottom"/>
          </w:tcPr>
          <w:p>
            <w:pPr>
              <w:ind w:left="20"/>
              <w:spacing w:after="0"/>
              <w:rPr>
                <w:sz w:val="20"/>
                <w:szCs w:val="20"/>
                <w:color w:val="auto"/>
              </w:rPr>
            </w:pPr>
            <w:r>
              <w:rPr>
                <w:rFonts w:ascii="Arial" w:cs="Arial" w:eastAsia="Arial" w:hAnsi="Arial"/>
                <w:sz w:val="16"/>
                <w:szCs w:val="16"/>
                <w:color w:val="auto"/>
              </w:rPr>
              <w:t>outstanding at December 31, 2021 and March 31, 2021, respectively</w:t>
            </w:r>
          </w:p>
        </w:tc>
        <w:tc>
          <w:tcPr>
            <w:tcW w:w="200" w:type="dxa"/>
            <w:vAlign w:val="bottom"/>
          </w:tcPr>
          <w:p>
            <w:pPr>
              <w:spacing w:after="0"/>
              <w:rPr>
                <w:sz w:val="16"/>
                <w:szCs w:val="16"/>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1,136,899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1,069,695</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(872,257)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(665,774)</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(10,350)</w:t>
            </w:r>
          </w:p>
        </w:tc>
        <w:tc>
          <w:tcPr>
            <w:tcW w:w="0" w:type="dxa"/>
            <w:vAlign w:val="bottom"/>
          </w:tcPr>
          <w:p>
            <w:pPr>
              <w:spacing w:after="0"/>
              <w:rPr>
                <w:sz w:val="1"/>
                <w:szCs w:val="1"/>
                <w:color w:val="auto"/>
              </w:rPr>
            </w:pPr>
          </w:p>
        </w:tc>
      </w:tr>
      <w:tr>
        <w:trPr>
          <w:trHeight w:val="20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253,460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394,034</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768,559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904,173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58420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269" w:right="35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December 31,</w:t>
            </w:r>
          </w:p>
        </w:tc>
        <w:tc>
          <w:tcPr>
            <w:tcW w:w="140" w:type="dxa"/>
            <w:vAlign w:val="bottom"/>
          </w:tcPr>
          <w:p>
            <w:pPr>
              <w:spacing w:after="0"/>
              <w:rPr>
                <w:sz w:val="18"/>
                <w:szCs w:val="18"/>
                <w:color w:val="auto"/>
              </w:rPr>
            </w:pPr>
          </w:p>
        </w:tc>
        <w:tc>
          <w:tcPr>
            <w:tcW w:w="2800" w:type="dxa"/>
            <w:vAlign w:val="bottom"/>
            <w:gridSpan w:val="4"/>
          </w:tcPr>
          <w:p>
            <w:pPr>
              <w:jc w:val="right"/>
              <w:ind w:right="121"/>
              <w:spacing w:after="0"/>
              <w:rPr>
                <w:sz w:val="20"/>
                <w:szCs w:val="20"/>
                <w:color w:val="auto"/>
              </w:rPr>
            </w:pPr>
            <w:r>
              <w:rPr>
                <w:rFonts w:ascii="Arial" w:cs="Arial" w:eastAsia="Arial" w:hAnsi="Arial"/>
                <w:sz w:val="16"/>
                <w:szCs w:val="16"/>
                <w:b w:val="1"/>
                <w:bCs w:val="1"/>
                <w:color w:val="auto"/>
              </w:rPr>
              <w:t>Nine Months Ended December 31,</w:t>
            </w:r>
          </w:p>
        </w:tc>
        <w:tc>
          <w:tcPr>
            <w:tcW w:w="0" w:type="dxa"/>
            <w:vAlign w:val="bottom"/>
          </w:tcPr>
          <w:p>
            <w:pPr>
              <w:spacing w:after="0"/>
              <w:rPr>
                <w:sz w:val="1"/>
                <w:szCs w:val="1"/>
                <w:color w:val="auto"/>
              </w:rPr>
            </w:pPr>
          </w:p>
        </w:tc>
      </w:tr>
      <w:tr>
        <w:trPr>
          <w:trHeight w:val="208"/>
        </w:trPr>
        <w:tc>
          <w:tcPr>
            <w:tcW w:w="4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320"/>
              <w:spacing w:after="0"/>
              <w:rPr>
                <w:sz w:val="20"/>
                <w:szCs w:val="20"/>
                <w:color w:val="auto"/>
              </w:rPr>
            </w:pPr>
            <w:r>
              <w:rPr>
                <w:rFonts w:ascii="Arial" w:cs="Arial" w:eastAsia="Arial" w:hAnsi="Arial"/>
                <w:sz w:val="16"/>
                <w:szCs w:val="16"/>
                <w:color w:val="auto"/>
              </w:rPr>
              <w:t>Software and products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98,575</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88,625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255,998</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237,488</w:t>
            </w:r>
          </w:p>
        </w:tc>
        <w:tc>
          <w:tcPr>
            <w:tcW w:w="0" w:type="dxa"/>
            <w:vAlign w:val="bottom"/>
          </w:tcPr>
          <w:p>
            <w:pPr>
              <w:spacing w:after="0"/>
              <w:rPr>
                <w:sz w:val="1"/>
                <w:szCs w:val="1"/>
                <w:color w:val="auto"/>
              </w:rPr>
            </w:pPr>
          </w:p>
        </w:tc>
      </w:tr>
      <w:tr>
        <w:trPr>
          <w:trHeight w:val="214"/>
        </w:trPr>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Services</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103,806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99,367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307,644</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294,643</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Total revenues</w:t>
            </w:r>
          </w:p>
        </w:tc>
        <w:tc>
          <w:tcPr>
            <w:tcW w:w="10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202,381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187,992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563,642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532,131</w:t>
            </w:r>
          </w:p>
        </w:tc>
        <w:tc>
          <w:tcPr>
            <w:tcW w:w="0" w:type="dxa"/>
            <w:vAlign w:val="bottom"/>
          </w:tcPr>
          <w:p>
            <w:pPr>
              <w:spacing w:after="0"/>
              <w:rPr>
                <w:sz w:val="1"/>
                <w:szCs w:val="1"/>
                <w:color w:val="auto"/>
              </w:rPr>
            </w:pPr>
          </w:p>
        </w:tc>
      </w:tr>
      <w:tr>
        <w:trPr>
          <w:trHeight w:val="214"/>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320"/>
              <w:spacing w:after="0"/>
              <w:rPr>
                <w:sz w:val="20"/>
                <w:szCs w:val="20"/>
                <w:color w:val="auto"/>
              </w:rPr>
            </w:pPr>
            <w:r>
              <w:rPr>
                <w:rFonts w:ascii="Arial" w:cs="Arial" w:eastAsia="Arial" w:hAnsi="Arial"/>
                <w:sz w:val="16"/>
                <w:szCs w:val="16"/>
                <w:color w:val="auto"/>
              </w:rPr>
              <w:t>Software and products</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4,271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6,916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9,471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20,666</w:t>
            </w:r>
          </w:p>
        </w:tc>
        <w:tc>
          <w:tcPr>
            <w:tcW w:w="0" w:type="dxa"/>
            <w:vAlign w:val="bottom"/>
          </w:tcPr>
          <w:p>
            <w:pPr>
              <w:spacing w:after="0"/>
              <w:rPr>
                <w:sz w:val="1"/>
                <w:szCs w:val="1"/>
                <w:color w:val="auto"/>
              </w:rPr>
            </w:pPr>
          </w:p>
        </w:tc>
      </w:tr>
      <w:tr>
        <w:trPr>
          <w:trHeight w:val="214"/>
        </w:trPr>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Services</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25,692</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21,496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72,341</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59,096</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cost of revenues</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29,963</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28,412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81,812</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79,762</w:t>
            </w:r>
          </w:p>
        </w:tc>
        <w:tc>
          <w:tcPr>
            <w:tcW w:w="0" w:type="dxa"/>
            <w:vAlign w:val="bottom"/>
          </w:tcPr>
          <w:p>
            <w:pPr>
              <w:spacing w:after="0"/>
              <w:rPr>
                <w:sz w:val="1"/>
                <w:szCs w:val="1"/>
                <w:color w:val="auto"/>
              </w:rPr>
            </w:pPr>
          </w:p>
        </w:tc>
      </w:tr>
      <w:tr>
        <w:trPr>
          <w:trHeight w:val="208"/>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172,418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159,580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481,830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452,369</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89,217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84,542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248,506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245,287</w:t>
            </w:r>
          </w:p>
        </w:tc>
        <w:tc>
          <w:tcPr>
            <w:tcW w:w="0" w:type="dxa"/>
            <w:vAlign w:val="bottom"/>
          </w:tcPr>
          <w:p>
            <w:pPr>
              <w:spacing w:after="0"/>
              <w:rPr>
                <w:sz w:val="1"/>
                <w:szCs w:val="1"/>
                <w:color w:val="auto"/>
              </w:rPr>
            </w:pPr>
          </w:p>
        </w:tc>
      </w:tr>
      <w:tr>
        <w:trPr>
          <w:trHeight w:val="210"/>
        </w:trPr>
        <w:tc>
          <w:tcPr>
            <w:tcW w:w="474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39,257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35,727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113,118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97,824</w:t>
            </w:r>
          </w:p>
        </w:tc>
        <w:tc>
          <w:tcPr>
            <w:tcW w:w="0" w:type="dxa"/>
            <w:vAlign w:val="bottom"/>
          </w:tcPr>
          <w:p>
            <w:pPr>
              <w:spacing w:after="0"/>
              <w:rPr>
                <w:sz w:val="1"/>
                <w:szCs w:val="1"/>
                <w:color w:val="auto"/>
              </w:rPr>
            </w:pPr>
          </w:p>
        </w:tc>
      </w:tr>
      <w:tr>
        <w:trPr>
          <w:trHeight w:val="214"/>
        </w:trPr>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29,132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80,919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69,009</w:t>
            </w:r>
          </w:p>
        </w:tc>
        <w:tc>
          <w:tcPr>
            <w:tcW w:w="0" w:type="dxa"/>
            <w:vAlign w:val="bottom"/>
          </w:tcPr>
          <w:p>
            <w:pPr>
              <w:spacing w:after="0"/>
              <w:rPr>
                <w:sz w:val="1"/>
                <w:szCs w:val="1"/>
                <w:color w:val="auto"/>
              </w:rPr>
            </w:pPr>
          </w:p>
        </w:tc>
      </w:tr>
      <w:tr>
        <w:trPr>
          <w:trHeight w:val="210"/>
        </w:trPr>
        <w:tc>
          <w:tcPr>
            <w:tcW w:w="4740" w:type="dxa"/>
            <w:vAlign w:val="bottom"/>
          </w:tcPr>
          <w:p>
            <w:pPr>
              <w:ind w:left="320"/>
              <w:spacing w:after="0"/>
              <w:rPr>
                <w:sz w:val="20"/>
                <w:szCs w:val="20"/>
                <w:color w:val="auto"/>
              </w:rPr>
            </w:pPr>
            <w:r>
              <w:rPr>
                <w:rFonts w:ascii="Arial" w:cs="Arial" w:eastAsia="Arial" w:hAnsi="Arial"/>
                <w:sz w:val="16"/>
                <w:szCs w:val="16"/>
                <w:color w:val="auto"/>
              </w:rPr>
              <w:t>Restructuring</w:t>
            </w: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11,618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2,082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19,709</w:t>
            </w:r>
          </w:p>
        </w:tc>
        <w:tc>
          <w:tcPr>
            <w:tcW w:w="0" w:type="dxa"/>
            <w:vAlign w:val="bottom"/>
          </w:tcPr>
          <w:p>
            <w:pPr>
              <w:spacing w:after="0"/>
              <w:rPr>
                <w:sz w:val="1"/>
                <w:szCs w:val="1"/>
                <w:color w:val="auto"/>
              </w:rPr>
            </w:pPr>
          </w:p>
        </w:tc>
      </w:tr>
      <w:tr>
        <w:trPr>
          <w:trHeight w:val="214"/>
        </w:trPr>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Impairment of intangible assets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40,700</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2,451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2,323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7,084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12,441</w:t>
            </w:r>
          </w:p>
        </w:tc>
        <w:tc>
          <w:tcPr>
            <w:tcW w:w="0" w:type="dxa"/>
            <w:vAlign w:val="bottom"/>
          </w:tcPr>
          <w:p>
            <w:pPr>
              <w:spacing w:after="0"/>
              <w:rPr>
                <w:sz w:val="1"/>
                <w:szCs w:val="1"/>
                <w:color w:val="auto"/>
              </w:rPr>
            </w:pPr>
          </w:p>
        </w:tc>
      </w:tr>
      <w:tr>
        <w:trPr>
          <w:trHeight w:val="208"/>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160,057</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156,912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451,709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484,970</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Income (loss) from operations</w:t>
            </w:r>
          </w:p>
        </w:tc>
        <w:tc>
          <w:tcPr>
            <w:tcW w:w="10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12,361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2,668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30,121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(32,601)</w:t>
            </w:r>
          </w:p>
        </w:tc>
        <w:tc>
          <w:tcPr>
            <w:tcW w:w="0" w:type="dxa"/>
            <w:vAlign w:val="bottom"/>
          </w:tcPr>
          <w:p>
            <w:pPr>
              <w:spacing w:after="0"/>
              <w:rPr>
                <w:sz w:val="1"/>
                <w:szCs w:val="1"/>
                <w:color w:val="auto"/>
              </w:rPr>
            </w:pPr>
          </w:p>
        </w:tc>
      </w:tr>
      <w:tr>
        <w:trPr>
          <w:trHeight w:val="215"/>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13,026</w:t>
            </w: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2,835</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31,209</w:t>
            </w: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(31,842)</w:t>
            </w:r>
          </w:p>
        </w:tc>
        <w:tc>
          <w:tcPr>
            <w:tcW w:w="0" w:type="dxa"/>
            <w:vAlign w:val="bottom"/>
          </w:tcPr>
          <w:p>
            <w:pPr>
              <w:spacing w:after="0"/>
              <w:rPr>
                <w:sz w:val="1"/>
                <w:szCs w:val="1"/>
                <w:color w:val="auto"/>
              </w:rPr>
            </w:pPr>
          </w:p>
        </w:tc>
      </w:tr>
      <w:tr>
        <w:trPr>
          <w:trHeight w:val="214"/>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3,018</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1,162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5,573</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5,373</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10,008</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1,673</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25,636</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(37,215)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income (loss) per common share:</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32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0.22</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0.56</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tcBorders>
              <w:bottom w:val="single" w:sz="8" w:color="CCEEFF"/>
            </w:tcBorders>
            <w:shd w:val="clear" w:color="auto" w:fill="CCEEFF"/>
          </w:tcPr>
          <w:p>
            <w:pPr>
              <w:ind w:left="320"/>
              <w:spacing w:after="0" w:line="176" w:lineRule="exact"/>
              <w:rPr>
                <w:sz w:val="20"/>
                <w:szCs w:val="20"/>
                <w:color w:val="auto"/>
              </w:rPr>
            </w:pPr>
            <w:r>
              <w:rPr>
                <w:rFonts w:ascii="Arial" w:cs="Arial" w:eastAsia="Arial" w:hAnsi="Arial"/>
                <w:sz w:val="16"/>
                <w:szCs w:val="16"/>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0.21</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0.03</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0.54</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45,242</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47,013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45,720</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46,575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6"/>
                <w:szCs w:val="16"/>
                <w:color w:val="auto"/>
              </w:rPr>
              <w:t>Diluted</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4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46,719</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48,013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47,552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46,575</w:t>
            </w: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58420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20"/>
          </w:cols>
          <w:pgMar w:left="600" w:top="1031" w:right="579" w:bottom="1440" w:gutter="0" w:footer="0" w:header="0"/>
        </w:sectPr>
      </w:pPr>
    </w:p>
    <w:bookmarkStart w:id="4" w:name="page5"/>
    <w:bookmarkEnd w:id="4"/>
    <w:p>
      <w:pPr>
        <w:ind w:left="410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December 31,</w:t>
            </w:r>
          </w:p>
        </w:tc>
        <w:tc>
          <w:tcPr>
            <w:tcW w:w="140" w:type="dxa"/>
            <w:vAlign w:val="bottom"/>
          </w:tcPr>
          <w:p>
            <w:pPr>
              <w:spacing w:after="0"/>
              <w:rPr>
                <w:sz w:val="18"/>
                <w:szCs w:val="18"/>
                <w:color w:val="auto"/>
              </w:rPr>
            </w:pPr>
          </w:p>
        </w:tc>
        <w:tc>
          <w:tcPr>
            <w:tcW w:w="2740" w:type="dxa"/>
            <w:vAlign w:val="bottom"/>
            <w:gridSpan w:val="4"/>
          </w:tcPr>
          <w:p>
            <w:pPr>
              <w:jc w:val="right"/>
              <w:ind w:right="81"/>
              <w:spacing w:after="0"/>
              <w:rPr>
                <w:sz w:val="20"/>
                <w:szCs w:val="20"/>
                <w:color w:val="auto"/>
              </w:rPr>
            </w:pPr>
            <w:r>
              <w:rPr>
                <w:rFonts w:ascii="Arial" w:cs="Arial" w:eastAsia="Arial" w:hAnsi="Arial"/>
                <w:sz w:val="16"/>
                <w:szCs w:val="16"/>
                <w:b w:val="1"/>
                <w:bCs w:val="1"/>
                <w:color w:val="auto"/>
                <w:w w:val="99"/>
              </w:rPr>
              <w:t>Nine Months Ended December 31,</w:t>
            </w:r>
          </w:p>
        </w:tc>
      </w:tr>
      <w:tr>
        <w:trPr>
          <w:trHeight w:val="208"/>
        </w:trPr>
        <w:tc>
          <w:tcPr>
            <w:tcW w:w="45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5"/>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(37,215)</w:t>
            </w:r>
          </w:p>
        </w:tc>
      </w:tr>
      <w:tr>
        <w:trPr>
          <w:trHeight w:val="210"/>
        </w:trPr>
        <w:tc>
          <w:tcPr>
            <w:tcW w:w="45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4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2,285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4,023</w:t>
            </w: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10,044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3,958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24,359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(33,192)</w:t>
            </w:r>
          </w:p>
        </w:tc>
      </w:tr>
      <w:tr>
        <w:trPr>
          <w:trHeight w:val="22"/>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58420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340"/>
          </w:cols>
          <w:pgMar w:left="780" w:top="1428" w:right="779" w:bottom="1440" w:gutter="0" w:footer="0" w:header="0"/>
        </w:sectPr>
      </w:pPr>
    </w:p>
    <w:bookmarkStart w:id="5" w:name="page6"/>
    <w:bookmarkEnd w:id="5"/>
    <w:p>
      <w:pPr>
        <w:ind w:left="456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860" w:type="dxa"/>
            <w:vAlign w:val="bottom"/>
            <w:gridSpan w:val="4"/>
            <w:vMerge w:val="restart"/>
          </w:tcPr>
          <w:p>
            <w:pPr>
              <w:jc w:val="right"/>
              <w:ind w:right="34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940" w:type="dxa"/>
            <w:vAlign w:val="bottom"/>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Paid – In</w:t>
            </w:r>
          </w:p>
        </w:tc>
        <w:tc>
          <w:tcPr>
            <w:tcW w:w="180" w:type="dxa"/>
            <w:vAlign w:val="bottom"/>
          </w:tcPr>
          <w:p>
            <w:pPr>
              <w:spacing w:after="0"/>
              <w:rPr>
                <w:sz w:val="8"/>
                <w:szCs w:val="8"/>
                <w:color w:val="auto"/>
              </w:rPr>
            </w:pPr>
          </w:p>
        </w:tc>
        <w:tc>
          <w:tcPr>
            <w:tcW w:w="130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8"/>
                <w:szCs w:val="8"/>
                <w:color w:val="auto"/>
              </w:rPr>
            </w:pPr>
          </w:p>
        </w:tc>
        <w:tc>
          <w:tcPr>
            <w:tcW w:w="144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45,374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1,119,738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(808,749)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299,778</w:t>
            </w:r>
          </w:p>
        </w:tc>
        <w:tc>
          <w:tcPr>
            <w:tcW w:w="0" w:type="dxa"/>
            <w:vAlign w:val="bottom"/>
          </w:tcPr>
          <w:p>
            <w:pPr>
              <w:spacing w:after="0"/>
              <w:rPr>
                <w:sz w:val="1"/>
                <w:szCs w:val="1"/>
                <w:color w:val="auto"/>
              </w:rPr>
            </w:pPr>
          </w:p>
        </w:tc>
      </w:tr>
      <w:tr>
        <w:trPr>
          <w:trHeight w:val="210"/>
        </w:trPr>
        <w:tc>
          <w:tcPr>
            <w:tcW w:w="39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28,533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28,533</w:t>
            </w:r>
          </w:p>
        </w:tc>
        <w:tc>
          <w:tcPr>
            <w:tcW w:w="0" w:type="dxa"/>
            <w:vAlign w:val="bottom"/>
          </w:tcPr>
          <w:p>
            <w:pPr>
              <w:spacing w:after="0"/>
              <w:rPr>
                <w:sz w:val="1"/>
                <w:szCs w:val="1"/>
                <w:color w:val="auto"/>
              </w:rPr>
            </w:pPr>
          </w:p>
        </w:tc>
      </w:tr>
      <w:tr>
        <w:trPr>
          <w:trHeight w:val="177"/>
        </w:trPr>
        <w:tc>
          <w:tcPr>
            <w:tcW w:w="3940" w:type="dxa"/>
            <w:vAlign w:val="bottom"/>
            <w:shd w:val="clear" w:color="auto" w:fill="CCEEFF"/>
          </w:tcPr>
          <w:p>
            <w:pPr>
              <w:ind w:left="340"/>
              <w:spacing w:after="0" w:line="177" w:lineRule="exact"/>
              <w:rPr>
                <w:sz w:val="20"/>
                <w:szCs w:val="20"/>
                <w:color w:val="auto"/>
              </w:rPr>
            </w:pPr>
            <w:r>
              <w:rPr>
                <w:rFonts w:ascii="Arial" w:cs="Arial" w:eastAsia="Arial" w:hAnsi="Arial"/>
                <w:sz w:val="16"/>
                <w:szCs w:val="16"/>
                <w:color w:val="auto"/>
              </w:rPr>
              <w:t>Share issuances related to stock-based</w:t>
            </w:r>
          </w:p>
        </w:tc>
        <w:tc>
          <w:tcPr>
            <w:tcW w:w="84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606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
              <w:spacing w:after="0" w:line="177" w:lineRule="exact"/>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840" w:type="dxa"/>
            <w:vAlign w:val="bottom"/>
          </w:tcPr>
          <w:p>
            <w:pPr>
              <w:jc w:val="right"/>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(73,516)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(85,322)</w:t>
            </w: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10,008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10,008</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income</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1,136,899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(872,257)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253,460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820" w:type="dxa"/>
            <w:vAlign w:val="bottom"/>
            <w:gridSpan w:val="4"/>
            <w:vMerge w:val="restart"/>
          </w:tcPr>
          <w:p>
            <w:pPr>
              <w:jc w:val="right"/>
              <w:ind w:right="30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94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Paid – In</w:t>
            </w:r>
          </w:p>
        </w:tc>
        <w:tc>
          <w:tcPr>
            <w:tcW w:w="180" w:type="dxa"/>
            <w:vAlign w:val="bottom"/>
          </w:tcPr>
          <w:p>
            <w:pPr>
              <w:spacing w:after="0"/>
              <w:rPr>
                <w:sz w:val="8"/>
                <w:szCs w:val="8"/>
                <w:color w:val="auto"/>
              </w:rPr>
            </w:pPr>
          </w:p>
        </w:tc>
        <w:tc>
          <w:tcPr>
            <w:tcW w:w="1340" w:type="dxa"/>
            <w:vAlign w:val="bottom"/>
            <w:gridSpan w:val="2"/>
          </w:tcPr>
          <w:p>
            <w:pPr>
              <w:jc w:val="center"/>
              <w:ind w:right="300"/>
              <w:spacing w:after="0" w:line="93"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8"/>
                <w:szCs w:val="8"/>
                <w:color w:val="auto"/>
              </w:rPr>
            </w:pPr>
          </w:p>
        </w:tc>
        <w:tc>
          <w:tcPr>
            <w:tcW w:w="142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46,482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1,069,695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(665,774)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394,034</w:t>
            </w:r>
          </w:p>
        </w:tc>
        <w:tc>
          <w:tcPr>
            <w:tcW w:w="0" w:type="dxa"/>
            <w:vAlign w:val="bottom"/>
          </w:tcPr>
          <w:p>
            <w:pPr>
              <w:spacing w:after="0"/>
              <w:rPr>
                <w:sz w:val="1"/>
                <w:szCs w:val="1"/>
                <w:color w:val="auto"/>
              </w:rPr>
            </w:pPr>
          </w:p>
        </w:tc>
      </w:tr>
      <w:tr>
        <w:trPr>
          <w:trHeight w:val="210"/>
        </w:trPr>
        <w:tc>
          <w:tcPr>
            <w:tcW w:w="39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6"/>
                <w:szCs w:val="16"/>
                <w:color w:val="auto"/>
              </w:rPr>
              <w:t>76,793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76,793</w:t>
            </w:r>
          </w:p>
        </w:tc>
        <w:tc>
          <w:tcPr>
            <w:tcW w:w="0" w:type="dxa"/>
            <w:vAlign w:val="bottom"/>
          </w:tcPr>
          <w:p>
            <w:pPr>
              <w:spacing w:after="0"/>
              <w:rPr>
                <w:sz w:val="1"/>
                <w:szCs w:val="1"/>
                <w:color w:val="auto"/>
              </w:rPr>
            </w:pPr>
          </w:p>
        </w:tc>
      </w:tr>
      <w:tr>
        <w:trPr>
          <w:trHeight w:val="177"/>
        </w:trPr>
        <w:tc>
          <w:tcPr>
            <w:tcW w:w="3940" w:type="dxa"/>
            <w:vAlign w:val="bottom"/>
            <w:shd w:val="clear" w:color="auto" w:fill="CCEEFF"/>
          </w:tcPr>
          <w:p>
            <w:pPr>
              <w:ind w:left="340"/>
              <w:spacing w:after="0" w:line="177" w:lineRule="exact"/>
              <w:rPr>
                <w:sz w:val="20"/>
                <w:szCs w:val="20"/>
                <w:color w:val="auto"/>
              </w:rPr>
            </w:pPr>
            <w:r>
              <w:rPr>
                <w:rFonts w:ascii="Arial" w:cs="Arial" w:eastAsia="Arial" w:hAnsi="Arial"/>
                <w:sz w:val="16"/>
                <w:szCs w:val="16"/>
                <w:color w:val="auto"/>
              </w:rPr>
              <w:t>Share issuances related to stock-based</w:t>
            </w:r>
          </w:p>
        </w:tc>
        <w:tc>
          <w:tcPr>
            <w:tcW w:w="82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1,906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
              <w:spacing w:after="0" w:line="177" w:lineRule="exact"/>
              <w:rPr>
                <w:sz w:val="20"/>
                <w:szCs w:val="20"/>
                <w:color w:val="auto"/>
              </w:rPr>
            </w:pPr>
            <w:r>
              <w:rPr>
                <w:rFonts w:ascii="Arial" w:cs="Arial" w:eastAsia="Arial" w:hAnsi="Arial"/>
                <w:sz w:val="16"/>
                <w:szCs w:val="16"/>
                <w:color w:val="auto"/>
              </w:rPr>
              <w:t>23,669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23,688</w:t>
            </w: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6"/>
                <w:szCs w:val="16"/>
                <w:color w:val="auto"/>
              </w:rPr>
              <w:t>(3,706)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(232,119)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(265,414)</w:t>
            </w:r>
          </w:p>
        </w:tc>
        <w:tc>
          <w:tcPr>
            <w:tcW w:w="0" w:type="dxa"/>
            <w:vAlign w:val="bottom"/>
          </w:tcPr>
          <w:p>
            <w:pPr>
              <w:spacing w:after="0"/>
              <w:rPr>
                <w:sz w:val="1"/>
                <w:szCs w:val="1"/>
                <w:color w:val="auto"/>
              </w:rPr>
            </w:pPr>
          </w:p>
        </w:tc>
      </w:tr>
      <w:tr>
        <w:trPr>
          <w:trHeight w:val="215"/>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25,636</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loss</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1,136,899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(872,257)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253,460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type w:val="continuous"/>
        </w:sectPr>
      </w:pPr>
    </w:p>
    <w:bookmarkStart w:id="6" w:name="page7"/>
    <w:bookmarkEnd w:id="6"/>
    <w:p>
      <w:pPr>
        <w:ind w:left="456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860" w:type="dxa"/>
            <w:vAlign w:val="bottom"/>
            <w:gridSpan w:val="4"/>
            <w:vMerge w:val="restart"/>
          </w:tcPr>
          <w:p>
            <w:pPr>
              <w:jc w:val="right"/>
              <w:ind w:right="34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940" w:type="dxa"/>
            <w:vAlign w:val="bottom"/>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Paid – In</w:t>
            </w:r>
          </w:p>
        </w:tc>
        <w:tc>
          <w:tcPr>
            <w:tcW w:w="180" w:type="dxa"/>
            <w:vAlign w:val="bottom"/>
          </w:tcPr>
          <w:p>
            <w:pPr>
              <w:spacing w:after="0"/>
              <w:rPr>
                <w:sz w:val="8"/>
                <w:szCs w:val="8"/>
                <w:color w:val="auto"/>
              </w:rPr>
            </w:pPr>
          </w:p>
        </w:tc>
        <w:tc>
          <w:tcPr>
            <w:tcW w:w="130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8"/>
                <w:szCs w:val="8"/>
                <w:color w:val="auto"/>
              </w:rPr>
            </w:pPr>
          </w:p>
        </w:tc>
        <w:tc>
          <w:tcPr>
            <w:tcW w:w="144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46,685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1,023,459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(592,762)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419,476</w:t>
            </w:r>
          </w:p>
        </w:tc>
        <w:tc>
          <w:tcPr>
            <w:tcW w:w="0" w:type="dxa"/>
            <w:vAlign w:val="bottom"/>
          </w:tcPr>
          <w:p>
            <w:pPr>
              <w:spacing w:after="0"/>
              <w:rPr>
                <w:sz w:val="1"/>
                <w:szCs w:val="1"/>
                <w:color w:val="auto"/>
              </w:rPr>
            </w:pPr>
          </w:p>
        </w:tc>
      </w:tr>
      <w:tr>
        <w:trPr>
          <w:trHeight w:val="210"/>
        </w:trPr>
        <w:tc>
          <w:tcPr>
            <w:tcW w:w="39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22,037</w:t>
            </w:r>
          </w:p>
        </w:tc>
        <w:tc>
          <w:tcPr>
            <w:tcW w:w="0" w:type="dxa"/>
            <w:vAlign w:val="bottom"/>
          </w:tcPr>
          <w:p>
            <w:pPr>
              <w:spacing w:after="0"/>
              <w:rPr>
                <w:sz w:val="1"/>
                <w:szCs w:val="1"/>
                <w:color w:val="auto"/>
              </w:rPr>
            </w:pPr>
          </w:p>
        </w:tc>
      </w:tr>
      <w:tr>
        <w:trPr>
          <w:trHeight w:val="177"/>
        </w:trPr>
        <w:tc>
          <w:tcPr>
            <w:tcW w:w="3940" w:type="dxa"/>
            <w:vAlign w:val="bottom"/>
            <w:shd w:val="clear" w:color="auto" w:fill="CCEEFF"/>
          </w:tcPr>
          <w:p>
            <w:pPr>
              <w:ind w:left="340"/>
              <w:spacing w:after="0" w:line="177" w:lineRule="exact"/>
              <w:rPr>
                <w:sz w:val="20"/>
                <w:szCs w:val="20"/>
                <w:color w:val="auto"/>
              </w:rPr>
            </w:pPr>
            <w:r>
              <w:rPr>
                <w:rFonts w:ascii="Arial" w:cs="Arial" w:eastAsia="Arial" w:hAnsi="Arial"/>
                <w:sz w:val="16"/>
                <w:szCs w:val="16"/>
                <w:color w:val="auto"/>
              </w:rPr>
              <w:t>Share issuances related to stock-based</w:t>
            </w:r>
          </w:p>
        </w:tc>
        <w:tc>
          <w:tcPr>
            <w:tcW w:w="84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851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
              <w:spacing w:after="0" w:line="177" w:lineRule="exact"/>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1,723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840" w:type="dxa"/>
            <w:vAlign w:val="bottom"/>
          </w:tcPr>
          <w:p>
            <w:pPr>
              <w:jc w:val="right"/>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(26,979)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(33,132)</w:t>
            </w: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income</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2,285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46,835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1,041,073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(618,068)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414,071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860" w:type="dxa"/>
            <w:vAlign w:val="bottom"/>
            <w:gridSpan w:val="4"/>
            <w:vMerge w:val="restart"/>
          </w:tcPr>
          <w:p>
            <w:pPr>
              <w:jc w:val="right"/>
              <w:ind w:right="34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940" w:type="dxa"/>
            <w:vAlign w:val="bottom"/>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Paid – In</w:t>
            </w:r>
          </w:p>
        </w:tc>
        <w:tc>
          <w:tcPr>
            <w:tcW w:w="180" w:type="dxa"/>
            <w:vAlign w:val="bottom"/>
          </w:tcPr>
          <w:p>
            <w:pPr>
              <w:spacing w:after="0"/>
              <w:rPr>
                <w:sz w:val="8"/>
                <w:szCs w:val="8"/>
                <w:color w:val="auto"/>
              </w:rPr>
            </w:pPr>
          </w:p>
        </w:tc>
        <w:tc>
          <w:tcPr>
            <w:tcW w:w="130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8"/>
                <w:szCs w:val="8"/>
                <w:color w:val="auto"/>
              </w:rPr>
            </w:pPr>
          </w:p>
        </w:tc>
        <w:tc>
          <w:tcPr>
            <w:tcW w:w="144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80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46,011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978,659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(553,790)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411,904</w:t>
            </w:r>
          </w:p>
        </w:tc>
        <w:tc>
          <w:tcPr>
            <w:tcW w:w="0" w:type="dxa"/>
            <w:vAlign w:val="bottom"/>
          </w:tcPr>
          <w:p>
            <w:pPr>
              <w:spacing w:after="0"/>
              <w:rPr>
                <w:sz w:val="1"/>
                <w:szCs w:val="1"/>
                <w:color w:val="auto"/>
              </w:rPr>
            </w:pPr>
          </w:p>
        </w:tc>
      </w:tr>
      <w:tr>
        <w:trPr>
          <w:trHeight w:val="209"/>
        </w:trPr>
        <w:tc>
          <w:tcPr>
            <w:tcW w:w="39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61,572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61,572</w:t>
            </w:r>
          </w:p>
        </w:tc>
        <w:tc>
          <w:tcPr>
            <w:tcW w:w="0" w:type="dxa"/>
            <w:vAlign w:val="bottom"/>
          </w:tcPr>
          <w:p>
            <w:pPr>
              <w:spacing w:after="0"/>
              <w:rPr>
                <w:sz w:val="1"/>
                <w:szCs w:val="1"/>
                <w:color w:val="auto"/>
              </w:rPr>
            </w:pPr>
          </w:p>
        </w:tc>
      </w:tr>
      <w:tr>
        <w:trPr>
          <w:trHeight w:val="177"/>
        </w:trPr>
        <w:tc>
          <w:tcPr>
            <w:tcW w:w="3940" w:type="dxa"/>
            <w:vAlign w:val="bottom"/>
            <w:shd w:val="clear" w:color="auto" w:fill="CCEEFF"/>
          </w:tcPr>
          <w:p>
            <w:pPr>
              <w:ind w:left="340"/>
              <w:spacing w:after="0" w:line="177" w:lineRule="exact"/>
              <w:rPr>
                <w:sz w:val="20"/>
                <w:szCs w:val="20"/>
                <w:color w:val="auto"/>
              </w:rPr>
            </w:pPr>
            <w:r>
              <w:rPr>
                <w:rFonts w:ascii="Arial" w:cs="Arial" w:eastAsia="Arial" w:hAnsi="Arial"/>
                <w:sz w:val="16"/>
                <w:szCs w:val="16"/>
                <w:color w:val="auto"/>
              </w:rPr>
              <w:t>Share issuances related to stock-based</w:t>
            </w:r>
          </w:p>
        </w:tc>
        <w:tc>
          <w:tcPr>
            <w:tcW w:w="84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1,525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
              <w:spacing w:after="0" w:line="177" w:lineRule="exact"/>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6,988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7,003</w:t>
            </w: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940" w:type="dxa"/>
            <w:vAlign w:val="bottom"/>
          </w:tcPr>
          <w:p>
            <w:pPr>
              <w:ind w:left="340"/>
              <w:spacing w:after="0" w:line="175" w:lineRule="exact"/>
              <w:rPr>
                <w:sz w:val="20"/>
                <w:szCs w:val="20"/>
                <w:color w:val="auto"/>
              </w:rPr>
            </w:pPr>
            <w:r>
              <w:rPr>
                <w:rFonts w:ascii="Arial" w:cs="Arial" w:eastAsia="Arial" w:hAnsi="Arial"/>
                <w:sz w:val="16"/>
                <w:szCs w:val="16"/>
                <w:color w:val="auto"/>
              </w:rPr>
              <w:t>Cumulative effect change in accounting for ASU</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Arial" w:cs="Arial" w:eastAsia="Arial" w:hAnsi="Arial"/>
                <w:sz w:val="16"/>
                <w:szCs w:val="16"/>
                <w:color w:val="auto"/>
              </w:rPr>
              <w:t>(84)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94"/>
        </w:trPr>
        <w:tc>
          <w:tcPr>
            <w:tcW w:w="3940" w:type="dxa"/>
            <w:vAlign w:val="bottom"/>
          </w:tcPr>
          <w:p>
            <w:pPr>
              <w:ind w:left="340"/>
              <w:spacing w:after="0"/>
              <w:rPr>
                <w:sz w:val="20"/>
                <w:szCs w:val="20"/>
                <w:color w:val="auto"/>
              </w:rPr>
            </w:pPr>
            <w:r>
              <w:rPr>
                <w:rFonts w:ascii="Arial" w:cs="Arial" w:eastAsia="Arial" w:hAnsi="Arial"/>
                <w:sz w:val="16"/>
                <w:szCs w:val="16"/>
                <w:color w:val="auto"/>
              </w:rPr>
              <w:t>2016-13</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(33,132)</w:t>
            </w:r>
          </w:p>
        </w:tc>
        <w:tc>
          <w:tcPr>
            <w:tcW w:w="0" w:type="dxa"/>
            <w:vAlign w:val="bottom"/>
          </w:tcPr>
          <w:p>
            <w:pPr>
              <w:spacing w:after="0"/>
              <w:rPr>
                <w:sz w:val="1"/>
                <w:szCs w:val="1"/>
                <w:color w:val="auto"/>
              </w:rPr>
            </w:pPr>
          </w:p>
        </w:tc>
      </w:tr>
      <w:tr>
        <w:trPr>
          <w:trHeight w:val="209"/>
        </w:trPr>
        <w:tc>
          <w:tcPr>
            <w:tcW w:w="3940" w:type="dxa"/>
            <w:vAlign w:val="bottom"/>
          </w:tcPr>
          <w:p>
            <w:pPr>
              <w:ind w:left="340"/>
              <w:spacing w:after="0"/>
              <w:rPr>
                <w:sz w:val="20"/>
                <w:szCs w:val="20"/>
                <w:color w:val="auto"/>
              </w:rPr>
            </w:pPr>
            <w:r>
              <w:rPr>
                <w:rFonts w:ascii="Arial" w:cs="Arial" w:eastAsia="Arial" w:hAnsi="Arial"/>
                <w:sz w:val="16"/>
                <w:szCs w:val="16"/>
                <w:color w:val="auto"/>
              </w:rPr>
              <w:t>Net loss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(37,215)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(37,215)</w:t>
            </w:r>
          </w:p>
        </w:tc>
        <w:tc>
          <w:tcPr>
            <w:tcW w:w="0" w:type="dxa"/>
            <w:vAlign w:val="bottom"/>
          </w:tcPr>
          <w:p>
            <w:pPr>
              <w:spacing w:after="0"/>
              <w:rPr>
                <w:sz w:val="1"/>
                <w:szCs w:val="1"/>
                <w:color w:val="auto"/>
              </w:rPr>
            </w:pPr>
          </w:p>
        </w:tc>
      </w:tr>
      <w:tr>
        <w:trPr>
          <w:trHeight w:val="215"/>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w:t>
            </w: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4,023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4,023</w:t>
            </w:r>
          </w:p>
        </w:tc>
        <w:tc>
          <w:tcPr>
            <w:tcW w:w="0" w:type="dxa"/>
            <w:vAlign w:val="bottom"/>
          </w:tcPr>
          <w:p>
            <w:pPr>
              <w:spacing w:after="0"/>
              <w:rPr>
                <w:sz w:val="1"/>
                <w:szCs w:val="1"/>
                <w:color w:val="auto"/>
              </w:rPr>
            </w:pPr>
          </w:p>
        </w:tc>
      </w:tr>
      <w:tr>
        <w:trPr>
          <w:trHeight w:val="203"/>
        </w:trPr>
        <w:tc>
          <w:tcPr>
            <w:tcW w:w="3940" w:type="dxa"/>
            <w:vAlign w:val="bottom"/>
          </w:tcPr>
          <w:p>
            <w:pPr>
              <w:ind w:left="20"/>
              <w:spacing w:after="0"/>
              <w:rPr>
                <w:sz w:val="20"/>
                <w:szCs w:val="20"/>
                <w:color w:val="auto"/>
              </w:rPr>
            </w:pPr>
            <w:r>
              <w:rPr>
                <w:rFonts w:ascii="Arial" w:cs="Arial" w:eastAsia="Arial" w:hAnsi="Arial"/>
                <w:sz w:val="16"/>
                <w:szCs w:val="16"/>
                <w:color w:val="auto"/>
              </w:rPr>
              <w:t>Balance as of December 31, 2020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46,835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1,041,073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(618,068)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414,071</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7" w:name="page8"/>
    <w:bookmarkEnd w:id="7"/>
    <w:p>
      <w:pPr>
        <w:ind w:left="456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6"/>
                <w:szCs w:val="16"/>
                <w:b w:val="1"/>
                <w:bCs w:val="1"/>
                <w:color w:val="auto"/>
              </w:rPr>
              <w:t>Nine Months Ended December 31,</w:t>
            </w:r>
          </w:p>
        </w:tc>
      </w:tr>
      <w:tr>
        <w:trPr>
          <w:trHeight w:val="208"/>
        </w:trPr>
        <w:tc>
          <w:tcPr>
            <w:tcW w:w="7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78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25,636</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(37,215)</w:t>
            </w:r>
          </w:p>
        </w:tc>
      </w:tr>
      <w:tr>
        <w:trPr>
          <w:trHeight w:val="21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78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8,027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13,379</w:t>
            </w:r>
          </w:p>
        </w:tc>
      </w:tr>
      <w:tr>
        <w:trPr>
          <w:trHeight w:val="215"/>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stock-based compensation</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76,793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61,572</w:t>
            </w:r>
          </w:p>
        </w:tc>
      </w:tr>
      <w:tr>
        <w:trPr>
          <w:trHeight w:val="210"/>
        </w:trPr>
        <w:tc>
          <w:tcPr>
            <w:tcW w:w="7840" w:type="dxa"/>
            <w:vAlign w:val="bottom"/>
          </w:tcPr>
          <w:p>
            <w:pPr>
              <w:ind w:left="340"/>
              <w:spacing w:after="0"/>
              <w:rPr>
                <w:sz w:val="20"/>
                <w:szCs w:val="20"/>
                <w:color w:val="auto"/>
              </w:rPr>
            </w:pPr>
            <w:r>
              <w:rPr>
                <w:rFonts w:ascii="Arial" w:cs="Arial" w:eastAsia="Arial" w:hAnsi="Arial"/>
                <w:sz w:val="16"/>
                <w:szCs w:val="16"/>
                <w:color w:val="auto"/>
              </w:rPr>
              <w:t>Noncash change in fair value of equity securities</w:t>
            </w:r>
          </w:p>
        </w:tc>
        <w:tc>
          <w:tcPr>
            <w:tcW w:w="28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deferred commissions cost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13,747</w:t>
            </w:r>
          </w:p>
        </w:tc>
      </w:tr>
      <w:tr>
        <w:trPr>
          <w:trHeight w:val="209"/>
        </w:trPr>
        <w:tc>
          <w:tcPr>
            <w:tcW w:w="7840" w:type="dxa"/>
            <w:vAlign w:val="bottom"/>
          </w:tcPr>
          <w:p>
            <w:pPr>
              <w:ind w:left="340"/>
              <w:spacing w:after="0"/>
              <w:rPr>
                <w:sz w:val="20"/>
                <w:szCs w:val="20"/>
                <w:color w:val="auto"/>
              </w:rPr>
            </w:pPr>
            <w:r>
              <w:rPr>
                <w:rFonts w:ascii="Arial" w:cs="Arial" w:eastAsia="Arial" w:hAnsi="Arial"/>
                <w:sz w:val="16"/>
                <w:szCs w:val="16"/>
                <w:color w:val="auto"/>
              </w:rPr>
              <w:t>Impairment of operating lease assets</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1,304</w:t>
            </w:r>
          </w:p>
        </w:tc>
      </w:tr>
      <w:tr>
        <w:trPr>
          <w:trHeight w:val="214"/>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intangible assets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40,700</w:t>
            </w:r>
          </w:p>
        </w:tc>
      </w:tr>
      <w:tr>
        <w:trPr>
          <w:trHeight w:val="210"/>
        </w:trPr>
        <w:tc>
          <w:tcPr>
            <w:tcW w:w="784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Trade accounts receivable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(38,970)</w:t>
            </w:r>
          </w:p>
        </w:tc>
      </w:tr>
      <w:tr>
        <w:trPr>
          <w:trHeight w:val="210"/>
        </w:trPr>
        <w:tc>
          <w:tcPr>
            <w:tcW w:w="7840" w:type="dxa"/>
            <w:vAlign w:val="bottom"/>
          </w:tcPr>
          <w:p>
            <w:pPr>
              <w:ind w:left="660"/>
              <w:spacing w:after="0"/>
              <w:rPr>
                <w:sz w:val="20"/>
                <w:szCs w:val="20"/>
                <w:color w:val="auto"/>
              </w:rPr>
            </w:pPr>
            <w:r>
              <w:rPr>
                <w:rFonts w:ascii="Arial" w:cs="Arial" w:eastAsia="Arial" w:hAnsi="Arial"/>
                <w:sz w:val="16"/>
                <w:szCs w:val="16"/>
                <w:color w:val="auto"/>
              </w:rPr>
              <w:t>Operating lease assets and liabilities, net</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214"/>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current assets and Other assets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6,955</w:t>
            </w:r>
          </w:p>
        </w:tc>
      </w:tr>
      <w:tr>
        <w:trPr>
          <w:trHeight w:val="209"/>
        </w:trPr>
        <w:tc>
          <w:tcPr>
            <w:tcW w:w="7840" w:type="dxa"/>
            <w:vAlign w:val="bottom"/>
          </w:tcPr>
          <w:p>
            <w:pPr>
              <w:ind w:left="660"/>
              <w:spacing w:after="0"/>
              <w:rPr>
                <w:sz w:val="20"/>
                <w:szCs w:val="20"/>
                <w:color w:val="auto"/>
              </w:rPr>
            </w:pPr>
            <w:r>
              <w:rPr>
                <w:rFonts w:ascii="Arial" w:cs="Arial" w:eastAsia="Arial" w:hAnsi="Arial"/>
                <w:sz w:val="16"/>
                <w:szCs w:val="16"/>
                <w:color w:val="auto"/>
              </w:rPr>
              <w:t>Deferred commissions cost</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(21,852)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(15,946)</w:t>
            </w:r>
          </w:p>
        </w:tc>
      </w:tr>
      <w:tr>
        <w:trPr>
          <w:trHeight w:val="215"/>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09"/>
        </w:trPr>
        <w:tc>
          <w:tcPr>
            <w:tcW w:w="7840" w:type="dxa"/>
            <w:vAlign w:val="bottom"/>
          </w:tcPr>
          <w:p>
            <w:pPr>
              <w:ind w:left="66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14"/>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10,719</w:t>
            </w:r>
          </w:p>
        </w:tc>
      </w:tr>
      <w:tr>
        <w:trPr>
          <w:trHeight w:val="210"/>
        </w:trPr>
        <w:tc>
          <w:tcPr>
            <w:tcW w:w="7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2,964</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90,064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59,247</w:t>
            </w:r>
          </w:p>
        </w:tc>
      </w:tr>
      <w:tr>
        <w:trPr>
          <w:trHeight w:val="212"/>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maturity of short-term investments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32,800</w:t>
            </w:r>
          </w:p>
        </w:tc>
      </w:tr>
      <w:tr>
        <w:trPr>
          <w:trHeight w:val="210"/>
        </w:trPr>
        <w:tc>
          <w:tcPr>
            <w:tcW w:w="784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(5,994)</w:t>
            </w:r>
          </w:p>
        </w:tc>
      </w:tr>
      <w:tr>
        <w:trPr>
          <w:trHeight w:val="21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equity securities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26,806</w:t>
            </w:r>
          </w:p>
        </w:tc>
      </w:tr>
      <w:tr>
        <w:trPr>
          <w:trHeight w:val="212"/>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(33,132)</w:t>
            </w:r>
          </w:p>
        </w:tc>
      </w:tr>
      <w:tr>
        <w:trPr>
          <w:trHeight w:val="210"/>
        </w:trPr>
        <w:tc>
          <w:tcPr>
            <w:tcW w:w="7840" w:type="dxa"/>
            <w:vAlign w:val="bottom"/>
          </w:tcPr>
          <w:p>
            <w:pPr>
              <w:ind w:left="20"/>
              <w:spacing w:after="0"/>
              <w:rPr>
                <w:sz w:val="20"/>
                <w:szCs w:val="20"/>
                <w:color w:val="auto"/>
              </w:rPr>
            </w:pPr>
            <w:r>
              <w:rPr>
                <w:rFonts w:ascii="Arial" w:cs="Arial" w:eastAsia="Arial" w:hAnsi="Arial"/>
                <w:sz w:val="16"/>
                <w:szCs w:val="16"/>
                <w:color w:val="auto"/>
              </w:rPr>
              <w:t>Proceeds from stock-based compensation plans</w:t>
            </w:r>
          </w:p>
        </w:tc>
        <w:tc>
          <w:tcPr>
            <w:tcW w:w="28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23,688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7,003</w:t>
            </w:r>
          </w:p>
        </w:tc>
      </w:tr>
      <w:tr>
        <w:trPr>
          <w:trHeight w:val="215"/>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debt issuance costs</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(242,335)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(26,129)</w:t>
            </w:r>
          </w:p>
        </w:tc>
      </w:tr>
      <w:tr>
        <w:trPr>
          <w:trHeight w:val="215"/>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Effects of exchange rate — changes in cash</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21,563</w:t>
            </w:r>
          </w:p>
        </w:tc>
      </w:tr>
      <w:tr>
        <w:trPr>
          <w:trHeight w:val="203"/>
        </w:trPr>
        <w:tc>
          <w:tcPr>
            <w:tcW w:w="784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(163,546)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81,487</w:t>
            </w:r>
          </w:p>
        </w:tc>
      </w:tr>
      <w:tr>
        <w:trPr>
          <w:trHeight w:val="21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397,237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296,082</w:t>
            </w:r>
          </w:p>
        </w:tc>
      </w:tr>
      <w:tr>
        <w:trPr>
          <w:trHeight w:val="203"/>
        </w:trPr>
        <w:tc>
          <w:tcPr>
            <w:tcW w:w="78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233,691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377,569</w:t>
            </w:r>
          </w:p>
        </w:tc>
      </w:tr>
      <w:tr>
        <w:trPr>
          <w:trHeight w:val="22"/>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4"/>
        <w:spacing w:after="0"/>
        <w:tabs>
          <w:tab w:leader="none" w:pos="340" w:val="left"/>
        </w:tabs>
        <w:numPr>
          <w:ilvl w:val="0"/>
          <w:numId w:val="3"/>
        </w:numPr>
        <w:rPr>
          <w:rFonts w:ascii="Arial" w:cs="Arial" w:eastAsia="Arial" w:hAnsi="Arial"/>
          <w:sz w:val="18"/>
          <w:szCs w:val="18"/>
          <w:b w:val="1"/>
          <w:bCs w:val="1"/>
          <w:color w:val="00B2A9"/>
        </w:rPr>
      </w:pPr>
      <w:r>
        <w:rPr>
          <w:rFonts w:ascii="Arial" w:cs="Arial" w:eastAsia="Arial" w:hAnsi="Arial"/>
          <w:sz w:val="18"/>
          <w:szCs w:val="18"/>
          <w:b w:val="1"/>
          <w:bCs w:val="1"/>
          <w:color w:val="00B2A9"/>
        </w:rPr>
        <w:t>Basis of Presentation</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Commvault Systems, Inc. and its subsidiaries ("Commvault," "we," "us," or "our") is a provider of data protection and information management software applications and products. We develop, market and sell a suite of software applications and services, globally, that provides our customers with data protection solutions. We also provide our customers with a broad range of professional and customer support services.</w:t>
      </w:r>
    </w:p>
    <w:p>
      <w:pPr>
        <w:spacing w:after="0" w:line="234"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The consolidated financial statements of Commvault as of December 31, 2021 and for the three and nine months ended December 31, 2021 and 2020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our Annual Report on Form 10-K for fiscal 2021. The results reported in these financial statements should not necessarily be taken as indicative of results that may be expected for the entire fiscal year.</w:t>
      </w:r>
    </w:p>
    <w:p>
      <w:pPr>
        <w:spacing w:after="0" w:line="158"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judgments and estimates that affect the amounts reported in our consolidated financial statements and the accompanying notes. We base our estimates and judgments on historical experience and on various other assumptions that we believe are reasonable under the circumstances. The amount of assets and liabilities reported in our balance sheets and the amounts of revenues and expenses reported for each of our periods presented are affected by estimates and assumptions, which are used for, but not limited to, the accounting for revenue recognition, income taxes and related reserves and goodwill. Actual results could differ from those estimates.</w:t>
      </w:r>
    </w:p>
    <w:p>
      <w:pPr>
        <w:spacing w:after="0" w:line="200" w:lineRule="exact"/>
        <w:rPr>
          <w:sz w:val="20"/>
          <w:szCs w:val="20"/>
          <w:color w:val="auto"/>
        </w:rPr>
      </w:pPr>
    </w:p>
    <w:p>
      <w:pPr>
        <w:spacing w:after="0" w:line="334" w:lineRule="exact"/>
        <w:rPr>
          <w:sz w:val="20"/>
          <w:szCs w:val="20"/>
          <w:color w:val="auto"/>
        </w:rPr>
      </w:pPr>
    </w:p>
    <w:p>
      <w:pPr>
        <w:ind w:left="340" w:hanging="334"/>
        <w:spacing w:after="0"/>
        <w:tabs>
          <w:tab w:leader="none" w:pos="340" w:val="left"/>
        </w:tabs>
        <w:numPr>
          <w:ilvl w:val="0"/>
          <w:numId w:val="4"/>
        </w:numPr>
        <w:rPr>
          <w:rFonts w:ascii="Arial" w:cs="Arial" w:eastAsia="Arial" w:hAnsi="Arial"/>
          <w:sz w:val="18"/>
          <w:szCs w:val="18"/>
          <w:b w:val="1"/>
          <w:bCs w:val="1"/>
          <w:color w:val="00B2A9"/>
        </w:rPr>
      </w:pPr>
      <w:r>
        <w:rPr>
          <w:rFonts w:ascii="Arial" w:cs="Arial" w:eastAsia="Arial" w:hAnsi="Arial"/>
          <w:sz w:val="18"/>
          <w:szCs w:val="18"/>
          <w:b w:val="1"/>
          <w:bCs w:val="1"/>
          <w:color w:val="00B2A9"/>
        </w:rPr>
        <w:t>Summary of Significant Accounting Policies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Recently Adopted Accounting Standards</w:t>
      </w:r>
    </w:p>
    <w:p>
      <w:pPr>
        <w:spacing w:after="0" w:line="191" w:lineRule="exact"/>
        <w:rPr>
          <w:sz w:val="20"/>
          <w:szCs w:val="20"/>
          <w:color w:val="auto"/>
        </w:rPr>
      </w:pPr>
    </w:p>
    <w:p>
      <w:pPr>
        <w:ind w:left="740"/>
        <w:spacing w:after="0"/>
        <w:tabs>
          <w:tab w:leader="none" w:pos="3460" w:val="left"/>
          <w:tab w:leader="none" w:pos="6300" w:val="left"/>
          <w:tab w:leader="none" w:pos="8120" w:val="left"/>
        </w:tabs>
        <w:rPr>
          <w:sz w:val="20"/>
          <w:szCs w:val="20"/>
          <w:color w:val="auto"/>
        </w:rPr>
      </w:pPr>
      <w:r>
        <w:rPr>
          <w:rFonts w:ascii="Arial" w:cs="Arial" w:eastAsia="Arial" w:hAnsi="Arial"/>
          <w:sz w:val="18"/>
          <w:szCs w:val="18"/>
          <w:b w:val="1"/>
          <w:bCs w:val="1"/>
          <w:color w:val="auto"/>
        </w:rPr>
        <w:t>Standard</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Effective Date</w:t>
      </w:r>
      <w:r>
        <w:rPr>
          <w:sz w:val="20"/>
          <w:szCs w:val="20"/>
          <w:color w:val="auto"/>
        </w:rPr>
        <w:tab/>
      </w:r>
      <w:r>
        <w:rPr>
          <w:rFonts w:ascii="Arial" w:cs="Arial" w:eastAsia="Arial" w:hAnsi="Arial"/>
          <w:sz w:val="17"/>
          <w:szCs w:val="17"/>
          <w:b w:val="1"/>
          <w:bCs w:val="1"/>
          <w:color w:val="auto"/>
        </w:rPr>
        <w:t>Effect on the Consolidated Financial</w:t>
      </w:r>
    </w:p>
    <w:p>
      <w:pPr>
        <w:jc w:val="center"/>
        <w:ind w:left="8060"/>
        <w:spacing w:after="0" w:line="199" w:lineRule="auto"/>
        <w:rPr>
          <w:sz w:val="20"/>
          <w:szCs w:val="20"/>
          <w:color w:val="auto"/>
        </w:rPr>
      </w:pPr>
      <w:r>
        <w:rPr>
          <w:rFonts w:ascii="Arial" w:cs="Arial" w:eastAsia="Arial" w:hAnsi="Arial"/>
          <w:sz w:val="18"/>
          <w:szCs w:val="18"/>
          <w:b w:val="1"/>
          <w:bCs w:val="1"/>
          <w:color w:val="auto"/>
        </w:rPr>
        <w:t>Statements (or Other Significant</w:t>
      </w:r>
    </w:p>
    <w:p>
      <w:pPr>
        <w:spacing w:after="0" w:line="1" w:lineRule="exact"/>
        <w:rPr>
          <w:sz w:val="20"/>
          <w:szCs w:val="20"/>
          <w:color w:val="auto"/>
        </w:rPr>
      </w:pPr>
    </w:p>
    <w:p>
      <w:pPr>
        <w:jc w:val="center"/>
        <w:ind w:left="8060"/>
        <w:spacing w:after="0"/>
        <w:rPr>
          <w:sz w:val="20"/>
          <w:szCs w:val="20"/>
          <w:color w:val="auto"/>
        </w:rPr>
      </w:pPr>
      <w:r>
        <w:rPr>
          <w:rFonts w:ascii="Arial" w:cs="Arial" w:eastAsia="Arial" w:hAnsi="Arial"/>
          <w:sz w:val="18"/>
          <w:szCs w:val="18"/>
          <w:b w:val="1"/>
          <w:bCs w:val="1"/>
          <w:color w:val="auto"/>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p>
      <w:pPr>
        <w:ind w:left="20"/>
        <w:spacing w:after="0"/>
        <w:tabs>
          <w:tab w:leader="none" w:pos="2220" w:val="left"/>
        </w:tabs>
        <w:rPr>
          <w:sz w:val="20"/>
          <w:szCs w:val="20"/>
          <w:color w:val="auto"/>
        </w:rPr>
      </w:pPr>
      <w:r>
        <w:rPr>
          <w:rFonts w:ascii="Arial" w:cs="Arial" w:eastAsia="Arial" w:hAnsi="Arial"/>
          <w:sz w:val="18"/>
          <w:szCs w:val="18"/>
          <w:color w:val="auto"/>
        </w:rPr>
        <w:t>ASU No. 2019-12 (Topic</w:t>
      </w:r>
      <w:r>
        <w:rPr>
          <w:sz w:val="20"/>
          <w:szCs w:val="20"/>
          <w:color w:val="auto"/>
        </w:rPr>
        <w:tab/>
      </w:r>
      <w:r>
        <w:rPr>
          <w:rFonts w:ascii="Arial" w:cs="Arial" w:eastAsia="Arial" w:hAnsi="Arial"/>
          <w:sz w:val="17"/>
          <w:szCs w:val="17"/>
          <w:color w:val="auto"/>
        </w:rPr>
        <w:t>In December 2019, the Financial</w:t>
      </w:r>
    </w:p>
    <w:p>
      <w:pPr>
        <w:ind w:left="20"/>
        <w:spacing w:after="0" w:line="211" w:lineRule="auto"/>
        <w:tabs>
          <w:tab w:leader="none" w:pos="2220" w:val="left"/>
        </w:tabs>
        <w:rPr>
          <w:sz w:val="20"/>
          <w:szCs w:val="20"/>
          <w:color w:val="auto"/>
        </w:rPr>
      </w:pPr>
      <w:r>
        <w:rPr>
          <w:rFonts w:ascii="Arial" w:cs="Arial" w:eastAsia="Arial" w:hAnsi="Arial"/>
          <w:sz w:val="18"/>
          <w:szCs w:val="18"/>
          <w:color w:val="auto"/>
        </w:rPr>
        <w:t>740), Income Taxes</w:t>
      </w:r>
      <w:r>
        <w:rPr>
          <w:sz w:val="20"/>
          <w:szCs w:val="20"/>
          <w:color w:val="auto"/>
        </w:rPr>
        <w:tab/>
      </w:r>
      <w:r>
        <w:rPr>
          <w:rFonts w:ascii="Arial" w:cs="Arial" w:eastAsia="Arial" w:hAnsi="Arial"/>
          <w:sz w:val="17"/>
          <w:szCs w:val="17"/>
          <w:color w:val="auto"/>
        </w:rPr>
        <w:t>Accounting Standards Board ("FASB")</w:t>
      </w:r>
    </w:p>
    <w:p>
      <w:pPr>
        <w:ind w:left="2240"/>
        <w:spacing w:after="0" w:line="202" w:lineRule="auto"/>
        <w:rPr>
          <w:sz w:val="20"/>
          <w:szCs w:val="20"/>
          <w:color w:val="auto"/>
        </w:rPr>
      </w:pPr>
      <w:r>
        <w:rPr>
          <w:rFonts w:ascii="Arial" w:cs="Arial" w:eastAsia="Arial" w:hAnsi="Arial"/>
          <w:sz w:val="18"/>
          <w:szCs w:val="18"/>
          <w:color w:val="auto"/>
        </w:rPr>
        <w:t>issued a new standard to simplify the accounting for income taxes.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We adopted this standard as of April 1, 2021.</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standard did not have a significant impact on our financial statements.</w:t>
      </w:r>
    </w:p>
    <w:p>
      <w:pPr>
        <w:spacing w:after="0" w:line="2774" w:lineRule="exact"/>
        <w:rPr>
          <w:sz w:val="20"/>
          <w:szCs w:val="20"/>
          <w:color w:val="auto"/>
        </w:rPr>
      </w:pPr>
    </w:p>
    <w:p>
      <w:pPr>
        <w:sectPr>
          <w:pgSz w:w="11900" w:h="16838" w:orient="portrait"/>
          <w:cols w:equalWidth="0" w:num="3">
            <w:col w:w="5680" w:space="60"/>
            <w:col w:w="2240" w:space="120"/>
            <w:col w:w="3140"/>
          </w:cols>
          <w:pgMar w:left="320" w:top="2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Concentration of Credit Risk</w:t>
      </w:r>
    </w:p>
    <w:p>
      <w:pPr>
        <w:spacing w:after="0" w:line="120"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We grant credit to customers in a wide variety of industries worldwide and generally do not require collateral. Credit losses relating to these customers have historically been minimal.</w:t>
      </w:r>
    </w:p>
    <w:p>
      <w:pPr>
        <w:spacing w:after="0" w:line="15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Sales through our distribution agreement with Arrow Enterprise Computing Solutions, Inc. (“Arrow”) totaled 38% and 35% of total revenues for the three months ended December 31, 2021 and 2020, respectively. Sales with Arrow totaled 36% of total revenues for both the nine months ended December 31, 2021 and 2020. Arrow accounted for approximately 34% and 33% of total accounts receivable as of December 31, 2021 and March 31, 2021, respectively.</w:t>
      </w: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Equity Securities Accounted for at Net Asset Value</w:t>
      </w:r>
    </w:p>
    <w:p>
      <w:pPr>
        <w:spacing w:after="0" w:line="107" w:lineRule="exact"/>
        <w:rPr>
          <w:sz w:val="20"/>
          <w:szCs w:val="20"/>
          <w:color w:val="auto"/>
        </w:rPr>
      </w:pPr>
    </w:p>
    <w:p>
      <w:pPr>
        <w:jc w:val="both"/>
        <w:ind w:firstLine="437"/>
        <w:spacing w:after="0" w:line="263" w:lineRule="auto"/>
        <w:rPr>
          <w:sz w:val="20"/>
          <w:szCs w:val="20"/>
          <w:color w:val="auto"/>
        </w:rPr>
      </w:pPr>
      <w:r>
        <w:rPr>
          <w:rFonts w:ascii="Arial" w:cs="Arial" w:eastAsia="Arial" w:hAnsi="Arial"/>
          <w:sz w:val="17"/>
          <w:szCs w:val="17"/>
          <w:color w:val="auto"/>
        </w:rPr>
        <w:t xml:space="preserve">We held equity interests in private equity funds of $2,900 as of December 31, 2021, which are accounted for under the net asset value practical expedient as permitted under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These investments are included in Other assets in the accompanying Consolidated Balance Sheets. The net asset values of these investments are determined using quarterly capital statements from the funds, which are based on our contributions to the funds, allocation of profit and loss and changes in fair value of the underlying fund investments. Changes in fair value as reported on the capital statements are recorded through profit and loss as non-operating income or expense. These private equity funds focus on making investments in key technology sectors, principally by investing in companies at expansion capital and growth equity stages. We have total unfunded commitments in private equity funds of $7,600 as of December 31, 2021.</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Deferred Commissions Cost</w:t>
      </w:r>
    </w:p>
    <w:p>
      <w:pPr>
        <w:spacing w:after="0" w:line="107" w:lineRule="exact"/>
        <w:rPr>
          <w:sz w:val="20"/>
          <w:szCs w:val="20"/>
          <w:color w:val="auto"/>
        </w:rPr>
      </w:pPr>
    </w:p>
    <w:p>
      <w:pPr>
        <w:jc w:val="both"/>
        <w:ind w:firstLine="437"/>
        <w:spacing w:after="0" w:line="231" w:lineRule="auto"/>
        <w:rPr>
          <w:sz w:val="20"/>
          <w:szCs w:val="20"/>
          <w:color w:val="auto"/>
        </w:rPr>
      </w:pPr>
      <w:r>
        <w:rPr>
          <w:rFonts w:ascii="Arial" w:cs="Arial" w:eastAsia="Arial" w:hAnsi="Arial"/>
          <w:sz w:val="18"/>
          <w:szCs w:val="18"/>
          <w:color w:val="auto"/>
        </w:rPr>
        <w:t>Sales commissions, bonuses, and related payroll taxes earned by our employees are considered incremental and recoverable costs of obtaining a contract with a customer. Our typical contracts include performance obligations related to software licenses, software updates, customer support and other services, including software-as-a-service offerings. In these contracts, incremental costs of obtaining a contract are allocated to the performance obligations based on the relative estimated standalone selling prices and then recognized on a systematic basis that is consistent with the transfer of the goods or services to which the asset relates. We do not pay commissions on annual renewals of contracts for software updates and customer support for perpetual licenses. The costs allocated to software and products are expensed at the time of sale, when revenue for the functional software license or appliance is typically recognized. The costs allocated to software updates and customer support for perpetual licenses are amortized ratably over a period of approximately five years, the expected period of benefit of the asset capitalized. We currently estimate a period of five years is appropriate based on consideration of historical average customer life and the estimated useful life of the underlying software sold as part of the transaction.</w:t>
      </w:r>
    </w:p>
    <w:p>
      <w:pPr>
        <w:spacing w:after="0" w:line="75"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Beginning in fiscal 2022, we modified the terms of our commission plans, and as a result, the commission paid on the renewal of a term-based, or subscription software license, was not commensurate with the commission paid on the initial purchase. As a result, the cost of commissions allocated to software updates and customer support on the initial transaction are now amortized over a period of approximately five years, consistent with the accounting for these costs associated with perpetual licenses. The costs of commissions allocated to software updates and support for the renewal of term-based software licenses is limited to the contractual period of the arrangement, as we intend to pay a commensurate renewal commission upon the next renewal of the subscription license and related updates and support. This change in commission plans also resulted in a change in the estimate of the amortization period of our existing Deferred commissions cost associated with term licenses. This change in amortization period resulted in an approximately $825 and $2,875 reduction in Sales and marketing expense, than if the change in estimate did not occur, for the three and nine months ended December 31, 2021, respectively.</w:t>
      </w:r>
    </w:p>
    <w:p>
      <w:pPr>
        <w:spacing w:after="0" w:line="91"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The costs related to professional services are amortized over the period the related professional services are provided and revenue is recognized. Amortization expense related to these costs is included in Sales and marketing expenses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66" w:lineRule="exact"/>
        <w:rPr>
          <w:sz w:val="20"/>
          <w:szCs w:val="20"/>
          <w:color w:val="auto"/>
        </w:rPr>
      </w:pPr>
    </w:p>
    <w:p>
      <w:pPr>
        <w:ind w:left="340" w:hanging="334"/>
        <w:spacing w:after="0"/>
        <w:tabs>
          <w:tab w:leader="none" w:pos="340" w:val="left"/>
        </w:tabs>
        <w:numPr>
          <w:ilvl w:val="0"/>
          <w:numId w:val="5"/>
        </w:numPr>
        <w:rPr>
          <w:rFonts w:ascii="Arial" w:cs="Arial" w:eastAsia="Arial" w:hAnsi="Arial"/>
          <w:sz w:val="18"/>
          <w:szCs w:val="18"/>
          <w:b w:val="1"/>
          <w:bCs w:val="1"/>
          <w:color w:val="00B2A9"/>
        </w:rPr>
      </w:pPr>
      <w:r>
        <w:rPr>
          <w:rFonts w:ascii="Arial" w:cs="Arial" w:eastAsia="Arial" w:hAnsi="Arial"/>
          <w:sz w:val="18"/>
          <w:szCs w:val="18"/>
          <w:b w:val="1"/>
          <w:bCs w:val="1"/>
          <w:color w:val="00B2A9"/>
        </w:rPr>
        <w:t>Revenue</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We derive revenues from two primary sources: software and products, and services. Software and products revenue includes our software and integrated appliances that combine our software with hardware. Services include customer support (software updates and technical support), consulting, assessment and design services, installation services, customer education and Commvault software-as-a-service, which is branded as Metallic.</w:t>
      </w:r>
    </w:p>
    <w:p>
      <w:pPr>
        <w:spacing w:after="0" w:line="155"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18"/>
          <w:szCs w:val="18"/>
          <w:color w:val="auto"/>
        </w:rPr>
        <w:t>We sell both perpetual and term-based licenses of our software. We refer to our term-based software licenses as subscription arrangements. We do not customize our software, and installation services are not required. The software is delivered before related services are provided and is functional without professional services, updates and technical support. We have concluded that our software licenses (both perpetual and subscription) are functional intellectual property that is distinct as the user can benefit from the software on its own. Software revenue for both perpetual and subscription licenses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subscription software licenses earlier than the beginning of the new subscription period.</w:t>
      </w:r>
    </w:p>
    <w:p>
      <w:pPr>
        <w:spacing w:after="0" w:line="158"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8"/>
          <w:szCs w:val="18"/>
          <w:color w:val="auto"/>
        </w:rPr>
        <w:t>We also sell appliances that integrate our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 In the second half of fiscal 2021 we began transitioning to a software only model in which we primarily sell software to a third party, which assembles an integrated appliance that is sold to end user customers. As a result, the revenue and costs associated with hardware have declined from recent fiscal years.</w:t>
      </w:r>
    </w:p>
    <w:p>
      <w:pPr>
        <w:spacing w:after="0" w:line="4"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We sell our customer support contracts as a percentage of net software purchases the support is related to. Customer support revenue is recognized ratably over the term of the customer support agreement, which is typically one year on our perpetual licenses. The term of our subscription arrangements is typically three years.</w:t>
      </w:r>
    </w:p>
    <w:p>
      <w:pPr>
        <w:spacing w:after="0" w:line="233"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Our 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w:t>
      </w:r>
    </w:p>
    <w:p>
      <w:pPr>
        <w:spacing w:after="0" w:line="233"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In fiscal 2020 Commvault launched Metallic, which is a Commvault software-as-a-service offering. Revenue from Metallic is recognized ratably as services revenue.</w:t>
      </w:r>
    </w:p>
    <w:p>
      <w:pPr>
        <w:spacing w:after="0" w:line="23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are typically estimated using the residual approach. Standalone selling prices of services are typically estimated based on observable transactions when these services are sold on a standalone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60" w:type="dxa"/>
            <w:vAlign w:val="bottom"/>
          </w:tcPr>
          <w:p>
            <w:pPr>
              <w:ind w:left="260"/>
              <w:spacing w:after="0"/>
              <w:rPr>
                <w:sz w:val="20"/>
                <w:szCs w:val="20"/>
                <w:color w:val="auto"/>
              </w:rPr>
            </w:pPr>
            <w:r>
              <w:rPr>
                <w:rFonts w:ascii="Arial" w:cs="Arial" w:eastAsia="Arial" w:hAnsi="Arial"/>
                <w:sz w:val="14"/>
                <w:szCs w:val="14"/>
                <w:b w:val="1"/>
                <w:bCs w:val="1"/>
                <w:color w:val="auto"/>
              </w:rPr>
              <w:t>Performance Obligation</w:t>
            </w:r>
          </w:p>
        </w:tc>
        <w:tc>
          <w:tcPr>
            <w:tcW w:w="3820" w:type="dxa"/>
            <w:vAlign w:val="bottom"/>
          </w:tcPr>
          <w:p>
            <w:pPr>
              <w:ind w:left="940"/>
              <w:spacing w:after="0"/>
              <w:rPr>
                <w:sz w:val="20"/>
                <w:szCs w:val="20"/>
                <w:color w:val="auto"/>
              </w:rPr>
            </w:pPr>
            <w:r>
              <w:rPr>
                <w:rFonts w:ascii="Arial" w:cs="Arial" w:eastAsia="Arial" w:hAnsi="Arial"/>
                <w:sz w:val="14"/>
                <w:szCs w:val="14"/>
                <w:b w:val="1"/>
                <w:bCs w:val="1"/>
                <w:color w:val="auto"/>
              </w:rPr>
              <w:t>When Performance Obligation</w:t>
            </w:r>
          </w:p>
        </w:tc>
        <w:tc>
          <w:tcPr>
            <w:tcW w:w="2440" w:type="dxa"/>
            <w:vAlign w:val="bottom"/>
          </w:tcPr>
          <w:p>
            <w:pPr>
              <w:ind w:left="680"/>
              <w:spacing w:after="0"/>
              <w:rPr>
                <w:sz w:val="20"/>
                <w:szCs w:val="20"/>
                <w:color w:val="auto"/>
              </w:rPr>
            </w:pPr>
            <w:r>
              <w:rPr>
                <w:rFonts w:ascii="Arial" w:cs="Arial" w:eastAsia="Arial" w:hAnsi="Arial"/>
                <w:sz w:val="14"/>
                <w:szCs w:val="14"/>
                <w:b w:val="1"/>
                <w:bCs w:val="1"/>
                <w:color w:val="auto"/>
              </w:rPr>
              <w:t>When Payment is</w:t>
            </w:r>
          </w:p>
        </w:tc>
        <w:tc>
          <w:tcPr>
            <w:tcW w:w="2880" w:type="dxa"/>
            <w:vAlign w:val="bottom"/>
          </w:tcPr>
          <w:p>
            <w:pPr>
              <w:ind w:left="400"/>
              <w:spacing w:after="0"/>
              <w:rPr>
                <w:sz w:val="20"/>
                <w:szCs w:val="20"/>
                <w:color w:val="auto"/>
              </w:rPr>
            </w:pPr>
            <w:r>
              <w:rPr>
                <w:rFonts w:ascii="Arial" w:cs="Arial" w:eastAsia="Arial" w:hAnsi="Arial"/>
                <w:sz w:val="14"/>
                <w:szCs w:val="14"/>
                <w:b w:val="1"/>
                <w:bCs w:val="1"/>
                <w:color w:val="auto"/>
              </w:rPr>
              <w:t>How Standalone Selling Price is</w:t>
            </w:r>
          </w:p>
        </w:tc>
      </w:tr>
      <w:tr>
        <w:trPr>
          <w:trHeight w:val="172"/>
        </w:trPr>
        <w:tc>
          <w:tcPr>
            <w:tcW w:w="206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is Typically Satisfied</w:t>
            </w:r>
          </w:p>
        </w:tc>
        <w:tc>
          <w:tcPr>
            <w:tcW w:w="24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Typically Due</w:t>
            </w:r>
          </w:p>
        </w:tc>
        <w:tc>
          <w:tcPr>
            <w:tcW w:w="288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Typically Estimated</w:t>
            </w:r>
          </w:p>
        </w:tc>
      </w:tr>
      <w:tr>
        <w:trPr>
          <w:trHeight w:val="205"/>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Software and Products Revenue</w:t>
            </w:r>
          </w:p>
        </w:tc>
        <w:tc>
          <w:tcPr>
            <w:tcW w:w="24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r>
      <w:tr>
        <w:trPr>
          <w:trHeight w:val="174"/>
        </w:trPr>
        <w:tc>
          <w:tcPr>
            <w:tcW w:w="2060" w:type="dxa"/>
            <w:vAlign w:val="bottom"/>
          </w:tcPr>
          <w:p>
            <w:pPr>
              <w:ind w:left="140"/>
              <w:spacing w:after="0" w:line="175" w:lineRule="exact"/>
              <w:rPr>
                <w:sz w:val="20"/>
                <w:szCs w:val="20"/>
                <w:color w:val="auto"/>
              </w:rPr>
            </w:pPr>
            <w:r>
              <w:rPr>
                <w:rFonts w:ascii="Arial" w:cs="Arial" w:eastAsia="Arial" w:hAnsi="Arial"/>
                <w:sz w:val="16"/>
                <w:szCs w:val="16"/>
                <w:color w:val="auto"/>
              </w:rPr>
              <w:t>Software Licenses</w:t>
            </w:r>
          </w:p>
        </w:tc>
        <w:tc>
          <w:tcPr>
            <w:tcW w:w="3820" w:type="dxa"/>
            <w:vAlign w:val="bottom"/>
          </w:tcPr>
          <w:p>
            <w:pPr>
              <w:ind w:left="80"/>
              <w:spacing w:after="0" w:line="175" w:lineRule="exact"/>
              <w:rPr>
                <w:sz w:val="20"/>
                <w:szCs w:val="20"/>
                <w:color w:val="auto"/>
              </w:rPr>
            </w:pPr>
            <w:r>
              <w:rPr>
                <w:rFonts w:ascii="Arial" w:cs="Arial" w:eastAsia="Arial" w:hAnsi="Arial"/>
                <w:sz w:val="16"/>
                <w:szCs w:val="16"/>
                <w:color w:val="auto"/>
              </w:rPr>
              <w:t>Upon shipment or made available for download</w:t>
            </w:r>
          </w:p>
        </w:tc>
        <w:tc>
          <w:tcPr>
            <w:tcW w:w="532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Within 90 days of shipment except Residual approach</w:t>
            </w:r>
          </w:p>
        </w:tc>
      </w:tr>
      <w:tr>
        <w:trPr>
          <w:trHeight w:val="159"/>
        </w:trPr>
        <w:tc>
          <w:tcPr>
            <w:tcW w:w="2060" w:type="dxa"/>
            <w:vAlign w:val="bottom"/>
          </w:tcPr>
          <w:p>
            <w:pPr>
              <w:spacing w:after="0"/>
              <w:rPr>
                <w:sz w:val="13"/>
                <w:szCs w:val="13"/>
                <w:color w:val="auto"/>
              </w:rPr>
            </w:pPr>
          </w:p>
        </w:tc>
        <w:tc>
          <w:tcPr>
            <w:tcW w:w="3820" w:type="dxa"/>
            <w:vAlign w:val="bottom"/>
          </w:tcPr>
          <w:p>
            <w:pPr>
              <w:ind w:left="80"/>
              <w:spacing w:after="0" w:line="159" w:lineRule="exact"/>
              <w:rPr>
                <w:sz w:val="20"/>
                <w:szCs w:val="20"/>
                <w:color w:val="auto"/>
              </w:rPr>
            </w:pPr>
            <w:r>
              <w:rPr>
                <w:rFonts w:ascii="Arial" w:cs="Arial" w:eastAsia="Arial" w:hAnsi="Arial"/>
                <w:sz w:val="16"/>
                <w:szCs w:val="16"/>
                <w:color w:val="auto"/>
              </w:rPr>
              <w:t>(point in time)</w:t>
            </w:r>
          </w:p>
        </w:tc>
        <w:tc>
          <w:tcPr>
            <w:tcW w:w="2440" w:type="dxa"/>
            <w:vAlign w:val="bottom"/>
          </w:tcPr>
          <w:p>
            <w:pPr>
              <w:ind w:left="40"/>
              <w:spacing w:after="0" w:line="159" w:lineRule="exact"/>
              <w:rPr>
                <w:sz w:val="20"/>
                <w:szCs w:val="20"/>
                <w:color w:val="auto"/>
              </w:rPr>
            </w:pPr>
            <w:r>
              <w:rPr>
                <w:rFonts w:ascii="Arial" w:cs="Arial" w:eastAsia="Arial" w:hAnsi="Arial"/>
                <w:sz w:val="16"/>
                <w:szCs w:val="16"/>
                <w:color w:val="auto"/>
              </w:rPr>
              <w:t>for certain subscription licenses</w:t>
            </w:r>
          </w:p>
        </w:tc>
        <w:tc>
          <w:tcPr>
            <w:tcW w:w="2880" w:type="dxa"/>
            <w:vAlign w:val="bottom"/>
          </w:tcPr>
          <w:p>
            <w:pPr>
              <w:spacing w:after="0"/>
              <w:rPr>
                <w:sz w:val="13"/>
                <w:szCs w:val="13"/>
                <w:color w:val="auto"/>
              </w:rPr>
            </w:pPr>
          </w:p>
        </w:tc>
      </w:tr>
      <w:tr>
        <w:trPr>
          <w:trHeight w:val="194"/>
        </w:trPr>
        <w:tc>
          <w:tcPr>
            <w:tcW w:w="20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40" w:type="dxa"/>
            <w:vAlign w:val="bottom"/>
          </w:tcPr>
          <w:p>
            <w:pPr>
              <w:ind w:left="40"/>
              <w:spacing w:after="0"/>
              <w:rPr>
                <w:sz w:val="20"/>
                <w:szCs w:val="20"/>
                <w:color w:val="auto"/>
              </w:rPr>
            </w:pPr>
            <w:r>
              <w:rPr>
                <w:rFonts w:ascii="Arial" w:cs="Arial" w:eastAsia="Arial" w:hAnsi="Arial"/>
                <w:sz w:val="16"/>
                <w:szCs w:val="16"/>
                <w:color w:val="auto"/>
              </w:rPr>
              <w:t>which are paid for over time</w:t>
            </w:r>
          </w:p>
        </w:tc>
        <w:tc>
          <w:tcPr>
            <w:tcW w:w="2880" w:type="dxa"/>
            <w:vAlign w:val="bottom"/>
          </w:tcPr>
          <w:p>
            <w:pPr>
              <w:spacing w:after="0"/>
              <w:rPr>
                <w:sz w:val="16"/>
                <w:szCs w:val="16"/>
                <w:color w:val="auto"/>
              </w:rPr>
            </w:pPr>
          </w:p>
        </w:tc>
      </w:tr>
      <w:tr>
        <w:trPr>
          <w:trHeight w:val="214"/>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Customer Support Revenue</w:t>
            </w:r>
          </w:p>
        </w:tc>
        <w:tc>
          <w:tcPr>
            <w:tcW w:w="3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r>
      <w:tr>
        <w:trPr>
          <w:trHeight w:val="174"/>
        </w:trPr>
        <w:tc>
          <w:tcPr>
            <w:tcW w:w="2060" w:type="dxa"/>
            <w:vAlign w:val="bottom"/>
          </w:tcPr>
          <w:p>
            <w:pPr>
              <w:ind w:left="140"/>
              <w:spacing w:after="0" w:line="175" w:lineRule="exact"/>
              <w:rPr>
                <w:sz w:val="20"/>
                <w:szCs w:val="20"/>
                <w:color w:val="auto"/>
              </w:rPr>
            </w:pPr>
            <w:r>
              <w:rPr>
                <w:rFonts w:ascii="Arial" w:cs="Arial" w:eastAsia="Arial" w:hAnsi="Arial"/>
                <w:sz w:val="16"/>
                <w:szCs w:val="16"/>
                <w:color w:val="auto"/>
              </w:rPr>
              <w:t>Software Updates</w:t>
            </w:r>
          </w:p>
        </w:tc>
        <w:tc>
          <w:tcPr>
            <w:tcW w:w="3820" w:type="dxa"/>
            <w:vAlign w:val="bottom"/>
          </w:tcPr>
          <w:p>
            <w:pPr>
              <w:ind w:left="80"/>
              <w:spacing w:after="0" w:line="175" w:lineRule="exact"/>
              <w:rPr>
                <w:sz w:val="20"/>
                <w:szCs w:val="20"/>
                <w:color w:val="auto"/>
              </w:rPr>
            </w:pPr>
            <w:r>
              <w:rPr>
                <w:rFonts w:ascii="Arial" w:cs="Arial" w:eastAsia="Arial" w:hAnsi="Arial"/>
                <w:sz w:val="16"/>
                <w:szCs w:val="16"/>
                <w:color w:val="auto"/>
                <w:w w:val="99"/>
              </w:rPr>
              <w:t>Ratably over the course of the support contract (over</w:t>
            </w:r>
          </w:p>
        </w:tc>
        <w:tc>
          <w:tcPr>
            <w:tcW w:w="2440" w:type="dxa"/>
            <w:vAlign w:val="bottom"/>
          </w:tcPr>
          <w:p>
            <w:pPr>
              <w:ind w:left="40"/>
              <w:spacing w:after="0" w:line="175" w:lineRule="exact"/>
              <w:rPr>
                <w:sz w:val="20"/>
                <w:szCs w:val="20"/>
                <w:color w:val="auto"/>
              </w:rPr>
            </w:pPr>
            <w:r>
              <w:rPr>
                <w:rFonts w:ascii="Arial" w:cs="Arial" w:eastAsia="Arial" w:hAnsi="Arial"/>
                <w:sz w:val="16"/>
                <w:szCs w:val="16"/>
                <w:color w:val="auto"/>
              </w:rPr>
              <w:t>At the beginning of the contract</w:t>
            </w:r>
          </w:p>
        </w:tc>
        <w:tc>
          <w:tcPr>
            <w:tcW w:w="2880" w:type="dxa"/>
            <w:vAlign w:val="bottom"/>
          </w:tcPr>
          <w:p>
            <w:pPr>
              <w:ind w:left="100"/>
              <w:spacing w:after="0" w:line="175" w:lineRule="exact"/>
              <w:rPr>
                <w:sz w:val="20"/>
                <w:szCs w:val="20"/>
                <w:color w:val="auto"/>
              </w:rPr>
            </w:pPr>
            <w:r>
              <w:rPr>
                <w:rFonts w:ascii="Arial" w:cs="Arial" w:eastAsia="Arial" w:hAnsi="Arial"/>
                <w:sz w:val="16"/>
                <w:szCs w:val="16"/>
                <w:color w:val="auto"/>
              </w:rPr>
              <w:t>Observable in renewal transactions</w:t>
            </w:r>
          </w:p>
        </w:tc>
      </w:tr>
      <w:tr>
        <w:trPr>
          <w:trHeight w:val="194"/>
        </w:trPr>
        <w:tc>
          <w:tcPr>
            <w:tcW w:w="206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6"/>
                <w:szCs w:val="16"/>
                <w:color w:val="auto"/>
              </w:rPr>
              <w:t>time)</w:t>
            </w:r>
          </w:p>
        </w:tc>
        <w:tc>
          <w:tcPr>
            <w:tcW w:w="2440" w:type="dxa"/>
            <w:vAlign w:val="bottom"/>
          </w:tcPr>
          <w:p>
            <w:pPr>
              <w:ind w:left="40"/>
              <w:spacing w:after="0"/>
              <w:rPr>
                <w:sz w:val="20"/>
                <w:szCs w:val="20"/>
                <w:color w:val="auto"/>
              </w:rPr>
            </w:pPr>
            <w:r>
              <w:rPr>
                <w:rFonts w:ascii="Arial" w:cs="Arial" w:eastAsia="Arial" w:hAnsi="Arial"/>
                <w:sz w:val="16"/>
                <w:szCs w:val="16"/>
                <w:color w:val="auto"/>
              </w:rPr>
              <w:t>period</w:t>
            </w:r>
          </w:p>
        </w:tc>
        <w:tc>
          <w:tcPr>
            <w:tcW w:w="2880" w:type="dxa"/>
            <w:vAlign w:val="bottom"/>
          </w:tcPr>
          <w:p>
            <w:pPr>
              <w:spacing w:after="0"/>
              <w:rPr>
                <w:sz w:val="16"/>
                <w:szCs w:val="16"/>
                <w:color w:val="auto"/>
              </w:rPr>
            </w:pPr>
          </w:p>
        </w:tc>
      </w:tr>
      <w:tr>
        <w:trPr>
          <w:trHeight w:val="177"/>
        </w:trPr>
        <w:tc>
          <w:tcPr>
            <w:tcW w:w="2060" w:type="dxa"/>
            <w:vAlign w:val="bottom"/>
            <w:shd w:val="clear" w:color="auto" w:fill="CCEEFF"/>
          </w:tcPr>
          <w:p>
            <w:pPr>
              <w:ind w:left="140"/>
              <w:spacing w:after="0" w:line="177" w:lineRule="exact"/>
              <w:rPr>
                <w:sz w:val="20"/>
                <w:szCs w:val="20"/>
                <w:color w:val="auto"/>
              </w:rPr>
            </w:pPr>
            <w:r>
              <w:rPr>
                <w:rFonts w:ascii="Arial" w:cs="Arial" w:eastAsia="Arial" w:hAnsi="Arial"/>
                <w:sz w:val="16"/>
                <w:szCs w:val="16"/>
                <w:color w:val="auto"/>
              </w:rPr>
              <w:t>Customer Support</w:t>
            </w:r>
          </w:p>
        </w:tc>
        <w:tc>
          <w:tcPr>
            <w:tcW w:w="3820" w:type="dxa"/>
            <w:vAlign w:val="bottom"/>
            <w:shd w:val="clear" w:color="auto" w:fill="CCEEFF"/>
          </w:tcPr>
          <w:p>
            <w:pPr>
              <w:ind w:left="80"/>
              <w:spacing w:after="0" w:line="177" w:lineRule="exact"/>
              <w:rPr>
                <w:sz w:val="20"/>
                <w:szCs w:val="20"/>
                <w:color w:val="auto"/>
              </w:rPr>
            </w:pPr>
            <w:r>
              <w:rPr>
                <w:rFonts w:ascii="Arial" w:cs="Arial" w:eastAsia="Arial" w:hAnsi="Arial"/>
                <w:sz w:val="16"/>
                <w:szCs w:val="16"/>
                <w:color w:val="auto"/>
                <w:w w:val="99"/>
              </w:rPr>
              <w:t>Ratably over the course of the support contract (over</w:t>
            </w:r>
          </w:p>
        </w:tc>
        <w:tc>
          <w:tcPr>
            <w:tcW w:w="24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At the beginning of the contract</w:t>
            </w:r>
          </w:p>
        </w:tc>
        <w:tc>
          <w:tcPr>
            <w:tcW w:w="2880" w:type="dxa"/>
            <w:vAlign w:val="bottom"/>
            <w:shd w:val="clear" w:color="auto" w:fill="CCEEFF"/>
          </w:tcPr>
          <w:p>
            <w:pPr>
              <w:ind w:left="100"/>
              <w:spacing w:after="0" w:line="177" w:lineRule="exact"/>
              <w:rPr>
                <w:sz w:val="20"/>
                <w:szCs w:val="20"/>
                <w:color w:val="auto"/>
              </w:rPr>
            </w:pPr>
            <w:r>
              <w:rPr>
                <w:rFonts w:ascii="Arial" w:cs="Arial" w:eastAsia="Arial" w:hAnsi="Arial"/>
                <w:sz w:val="16"/>
                <w:szCs w:val="16"/>
                <w:color w:val="auto"/>
              </w:rPr>
              <w:t>Observable in renewal transactions</w:t>
            </w:r>
          </w:p>
        </w:tc>
      </w:tr>
      <w:tr>
        <w:trPr>
          <w:trHeight w:val="197"/>
        </w:trPr>
        <w:tc>
          <w:tcPr>
            <w:tcW w:w="2060" w:type="dxa"/>
            <w:vAlign w:val="bottom"/>
            <w:shd w:val="clear" w:color="auto" w:fill="CCEEFF"/>
          </w:tcPr>
          <w:p>
            <w:pPr>
              <w:spacing w:after="0"/>
              <w:rPr>
                <w:sz w:val="17"/>
                <w:szCs w:val="17"/>
                <w:color w:val="auto"/>
              </w:rPr>
            </w:pPr>
          </w:p>
        </w:tc>
        <w:tc>
          <w:tcPr>
            <w:tcW w:w="3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time)</w:t>
            </w:r>
          </w:p>
        </w:tc>
        <w:tc>
          <w:tcPr>
            <w:tcW w:w="2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2880" w:type="dxa"/>
            <w:vAlign w:val="bottom"/>
            <w:shd w:val="clear" w:color="auto" w:fill="CCEEFF"/>
          </w:tcPr>
          <w:p>
            <w:pPr>
              <w:spacing w:after="0"/>
              <w:rPr>
                <w:sz w:val="17"/>
                <w:szCs w:val="17"/>
                <w:color w:val="auto"/>
              </w:rPr>
            </w:pPr>
          </w:p>
        </w:tc>
      </w:tr>
      <w:tr>
        <w:trPr>
          <w:trHeight w:val="210"/>
        </w:trPr>
        <w:tc>
          <w:tcPr>
            <w:tcW w:w="2060" w:type="dxa"/>
            <w:vAlign w:val="bottom"/>
          </w:tcPr>
          <w:p>
            <w:pPr>
              <w:ind w:left="20"/>
              <w:spacing w:after="0"/>
              <w:rPr>
                <w:sz w:val="20"/>
                <w:szCs w:val="20"/>
                <w:color w:val="auto"/>
              </w:rPr>
            </w:pPr>
            <w:r>
              <w:rPr>
                <w:rFonts w:ascii="Arial" w:cs="Arial" w:eastAsia="Arial" w:hAnsi="Arial"/>
                <w:sz w:val="16"/>
                <w:szCs w:val="16"/>
                <w:i w:val="1"/>
                <w:iCs w:val="1"/>
                <w:color w:val="auto"/>
              </w:rPr>
              <w:t>Other Services Revenue</w:t>
            </w:r>
          </w:p>
        </w:tc>
        <w:tc>
          <w:tcPr>
            <w:tcW w:w="3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76"/>
        </w:trPr>
        <w:tc>
          <w:tcPr>
            <w:tcW w:w="206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Other Professional</w:t>
            </w:r>
          </w:p>
        </w:tc>
        <w:tc>
          <w:tcPr>
            <w:tcW w:w="3820" w:type="dxa"/>
            <w:vAlign w:val="bottom"/>
            <w:shd w:val="clear" w:color="auto" w:fill="CCEEFF"/>
          </w:tcPr>
          <w:p>
            <w:pPr>
              <w:ind w:left="80"/>
              <w:spacing w:after="0" w:line="176" w:lineRule="exact"/>
              <w:rPr>
                <w:sz w:val="20"/>
                <w:szCs w:val="20"/>
                <w:color w:val="auto"/>
              </w:rPr>
            </w:pPr>
            <w:r>
              <w:rPr>
                <w:rFonts w:ascii="Arial" w:cs="Arial" w:eastAsia="Arial" w:hAnsi="Arial"/>
                <w:sz w:val="16"/>
                <w:szCs w:val="16"/>
                <w:color w:val="auto"/>
              </w:rPr>
              <w:t>As work is performed (over time)</w:t>
            </w:r>
          </w:p>
        </w:tc>
        <w:tc>
          <w:tcPr>
            <w:tcW w:w="2440" w:type="dxa"/>
            <w:vAlign w:val="bottom"/>
            <w:shd w:val="clear" w:color="auto" w:fill="CCEEFF"/>
          </w:tcPr>
          <w:p>
            <w:pPr>
              <w:ind w:left="40"/>
              <w:spacing w:after="0" w:line="176" w:lineRule="exact"/>
              <w:rPr>
                <w:sz w:val="20"/>
                <w:szCs w:val="20"/>
                <w:color w:val="auto"/>
              </w:rPr>
            </w:pPr>
            <w:r>
              <w:rPr>
                <w:rFonts w:ascii="Arial" w:cs="Arial" w:eastAsia="Arial" w:hAnsi="Arial"/>
                <w:sz w:val="16"/>
                <w:szCs w:val="16"/>
                <w:color w:val="auto"/>
              </w:rPr>
              <w:t>Within 90 days of services being</w:t>
            </w:r>
          </w:p>
        </w:tc>
        <w:tc>
          <w:tcPr>
            <w:tcW w:w="2880" w:type="dxa"/>
            <w:vAlign w:val="bottom"/>
            <w:shd w:val="clear" w:color="auto" w:fill="CCEEFF"/>
          </w:tcPr>
          <w:p>
            <w:pPr>
              <w:ind w:left="100"/>
              <w:spacing w:after="0" w:line="176" w:lineRule="exact"/>
              <w:rPr>
                <w:sz w:val="20"/>
                <w:szCs w:val="20"/>
                <w:color w:val="auto"/>
              </w:rPr>
            </w:pPr>
            <w:r>
              <w:rPr>
                <w:rFonts w:ascii="Arial" w:cs="Arial" w:eastAsia="Arial" w:hAnsi="Arial"/>
                <w:sz w:val="16"/>
                <w:szCs w:val="16"/>
                <w:color w:val="auto"/>
              </w:rPr>
              <w:t>Observable in transactions without</w:t>
            </w:r>
          </w:p>
        </w:tc>
      </w:tr>
      <w:tr>
        <w:trPr>
          <w:trHeight w:val="159"/>
        </w:trPr>
        <w:tc>
          <w:tcPr>
            <w:tcW w:w="2060" w:type="dxa"/>
            <w:vAlign w:val="bottom"/>
            <w:shd w:val="clear" w:color="auto" w:fill="CCEEFF"/>
          </w:tcPr>
          <w:p>
            <w:pPr>
              <w:ind w:left="140"/>
              <w:spacing w:after="0" w:line="159" w:lineRule="exact"/>
              <w:rPr>
                <w:sz w:val="20"/>
                <w:szCs w:val="20"/>
                <w:color w:val="auto"/>
              </w:rPr>
            </w:pPr>
            <w:r>
              <w:rPr>
                <w:rFonts w:ascii="Arial" w:cs="Arial" w:eastAsia="Arial" w:hAnsi="Arial"/>
                <w:sz w:val="16"/>
                <w:szCs w:val="16"/>
                <w:color w:val="auto"/>
              </w:rPr>
              <w:t>Services (except for</w:t>
            </w:r>
          </w:p>
        </w:tc>
        <w:tc>
          <w:tcPr>
            <w:tcW w:w="3820" w:type="dxa"/>
            <w:vAlign w:val="bottom"/>
            <w:shd w:val="clear" w:color="auto" w:fill="CCEEFF"/>
          </w:tcPr>
          <w:p>
            <w:pPr>
              <w:spacing w:after="0"/>
              <w:rPr>
                <w:sz w:val="13"/>
                <w:szCs w:val="13"/>
                <w:color w:val="auto"/>
              </w:rPr>
            </w:pPr>
          </w:p>
        </w:tc>
        <w:tc>
          <w:tcPr>
            <w:tcW w:w="244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rPr>
              <w:t>performed</w:t>
            </w:r>
          </w:p>
        </w:tc>
        <w:tc>
          <w:tcPr>
            <w:tcW w:w="2880" w:type="dxa"/>
            <w:vAlign w:val="bottom"/>
            <w:shd w:val="clear" w:color="auto" w:fill="CCEEFF"/>
          </w:tcPr>
          <w:p>
            <w:pPr>
              <w:ind w:left="100"/>
              <w:spacing w:after="0" w:line="159" w:lineRule="exact"/>
              <w:rPr>
                <w:sz w:val="20"/>
                <w:szCs w:val="20"/>
                <w:color w:val="auto"/>
              </w:rPr>
            </w:pPr>
            <w:r>
              <w:rPr>
                <w:rFonts w:ascii="Arial" w:cs="Arial" w:eastAsia="Arial" w:hAnsi="Arial"/>
                <w:sz w:val="16"/>
                <w:szCs w:val="16"/>
                <w:color w:val="auto"/>
              </w:rPr>
              <w:t>multiple performance obligations</w:t>
            </w:r>
          </w:p>
        </w:tc>
      </w:tr>
      <w:tr>
        <w:trPr>
          <w:trHeight w:val="197"/>
        </w:trPr>
        <w:tc>
          <w:tcPr>
            <w:tcW w:w="2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education services)</w:t>
            </w:r>
          </w:p>
        </w:tc>
        <w:tc>
          <w:tcPr>
            <w:tcW w:w="38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r>
      <w:tr>
        <w:trPr>
          <w:trHeight w:val="174"/>
        </w:trPr>
        <w:tc>
          <w:tcPr>
            <w:tcW w:w="2060" w:type="dxa"/>
            <w:vAlign w:val="bottom"/>
          </w:tcPr>
          <w:p>
            <w:pPr>
              <w:ind w:left="140"/>
              <w:spacing w:after="0" w:line="175" w:lineRule="exact"/>
              <w:rPr>
                <w:sz w:val="20"/>
                <w:szCs w:val="20"/>
                <w:color w:val="auto"/>
              </w:rPr>
            </w:pPr>
            <w:r>
              <w:rPr>
                <w:rFonts w:ascii="Arial" w:cs="Arial" w:eastAsia="Arial" w:hAnsi="Arial"/>
                <w:sz w:val="16"/>
                <w:szCs w:val="16"/>
                <w:color w:val="auto"/>
              </w:rPr>
              <w:t>Education Services</w:t>
            </w:r>
          </w:p>
        </w:tc>
        <w:tc>
          <w:tcPr>
            <w:tcW w:w="3820" w:type="dxa"/>
            <w:vAlign w:val="bottom"/>
          </w:tcPr>
          <w:p>
            <w:pPr>
              <w:ind w:left="80"/>
              <w:spacing w:after="0" w:line="175" w:lineRule="exact"/>
              <w:rPr>
                <w:sz w:val="20"/>
                <w:szCs w:val="20"/>
                <w:color w:val="auto"/>
              </w:rPr>
            </w:pPr>
            <w:r>
              <w:rPr>
                <w:rFonts w:ascii="Arial" w:cs="Arial" w:eastAsia="Arial" w:hAnsi="Arial"/>
                <w:sz w:val="16"/>
                <w:szCs w:val="16"/>
                <w:color w:val="auto"/>
              </w:rPr>
              <w:t>When the class is taught (point in time)</w:t>
            </w:r>
          </w:p>
        </w:tc>
        <w:tc>
          <w:tcPr>
            <w:tcW w:w="2440" w:type="dxa"/>
            <w:vAlign w:val="bottom"/>
          </w:tcPr>
          <w:p>
            <w:pPr>
              <w:ind w:left="40"/>
              <w:spacing w:after="0" w:line="175" w:lineRule="exact"/>
              <w:rPr>
                <w:sz w:val="20"/>
                <w:szCs w:val="20"/>
                <w:color w:val="auto"/>
              </w:rPr>
            </w:pPr>
            <w:r>
              <w:rPr>
                <w:rFonts w:ascii="Arial" w:cs="Arial" w:eastAsia="Arial" w:hAnsi="Arial"/>
                <w:sz w:val="16"/>
                <w:szCs w:val="16"/>
                <w:color w:val="auto"/>
              </w:rPr>
              <w:t>Within 90 days of services being</w:t>
            </w:r>
          </w:p>
        </w:tc>
        <w:tc>
          <w:tcPr>
            <w:tcW w:w="2880" w:type="dxa"/>
            <w:vAlign w:val="bottom"/>
          </w:tcPr>
          <w:p>
            <w:pPr>
              <w:ind w:left="100"/>
              <w:spacing w:after="0" w:line="175" w:lineRule="exact"/>
              <w:rPr>
                <w:sz w:val="20"/>
                <w:szCs w:val="20"/>
                <w:color w:val="auto"/>
              </w:rPr>
            </w:pPr>
            <w:r>
              <w:rPr>
                <w:rFonts w:ascii="Arial" w:cs="Arial" w:eastAsia="Arial" w:hAnsi="Arial"/>
                <w:sz w:val="16"/>
                <w:szCs w:val="16"/>
                <w:color w:val="auto"/>
              </w:rPr>
              <w:t>Observable in transactions without</w:t>
            </w:r>
          </w:p>
        </w:tc>
      </w:tr>
      <w:tr>
        <w:trPr>
          <w:trHeight w:val="194"/>
        </w:trPr>
        <w:tc>
          <w:tcPr>
            <w:tcW w:w="20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40" w:type="dxa"/>
            <w:vAlign w:val="bottom"/>
          </w:tcPr>
          <w:p>
            <w:pPr>
              <w:ind w:left="40"/>
              <w:spacing w:after="0"/>
              <w:rPr>
                <w:sz w:val="20"/>
                <w:szCs w:val="20"/>
                <w:color w:val="auto"/>
              </w:rPr>
            </w:pPr>
            <w:r>
              <w:rPr>
                <w:rFonts w:ascii="Arial" w:cs="Arial" w:eastAsia="Arial" w:hAnsi="Arial"/>
                <w:sz w:val="16"/>
                <w:szCs w:val="16"/>
                <w:color w:val="auto"/>
              </w:rPr>
              <w:t>performed</w:t>
            </w:r>
          </w:p>
        </w:tc>
        <w:tc>
          <w:tcPr>
            <w:tcW w:w="2880" w:type="dxa"/>
            <w:vAlign w:val="bottom"/>
          </w:tcPr>
          <w:p>
            <w:pPr>
              <w:ind w:left="100"/>
              <w:spacing w:after="0"/>
              <w:rPr>
                <w:sz w:val="20"/>
                <w:szCs w:val="20"/>
                <w:color w:val="auto"/>
              </w:rPr>
            </w:pPr>
            <w:r>
              <w:rPr>
                <w:rFonts w:ascii="Arial" w:cs="Arial" w:eastAsia="Arial" w:hAnsi="Arial"/>
                <w:sz w:val="16"/>
                <w:szCs w:val="16"/>
                <w:color w:val="auto"/>
              </w:rPr>
              <w:t>multiple performance obligations</w:t>
            </w:r>
          </w:p>
        </w:tc>
      </w:tr>
      <w:tr>
        <w:trPr>
          <w:trHeight w:val="177"/>
        </w:trPr>
        <w:tc>
          <w:tcPr>
            <w:tcW w:w="2060" w:type="dxa"/>
            <w:vAlign w:val="bottom"/>
            <w:shd w:val="clear" w:color="auto" w:fill="CCEEFF"/>
          </w:tcPr>
          <w:p>
            <w:pPr>
              <w:ind w:left="140"/>
              <w:spacing w:after="0" w:line="177" w:lineRule="exact"/>
              <w:rPr>
                <w:sz w:val="20"/>
                <w:szCs w:val="20"/>
                <w:color w:val="auto"/>
              </w:rPr>
            </w:pPr>
            <w:r>
              <w:rPr>
                <w:rFonts w:ascii="Arial" w:cs="Arial" w:eastAsia="Arial" w:hAnsi="Arial"/>
                <w:sz w:val="16"/>
                <w:szCs w:val="16"/>
                <w:color w:val="auto"/>
              </w:rPr>
              <w:t>Software-as-a-service</w:t>
            </w:r>
          </w:p>
        </w:tc>
        <w:tc>
          <w:tcPr>
            <w:tcW w:w="3820" w:type="dxa"/>
            <w:vAlign w:val="bottom"/>
            <w:shd w:val="clear" w:color="auto" w:fill="CCEEFF"/>
          </w:tcPr>
          <w:p>
            <w:pPr>
              <w:ind w:left="80"/>
              <w:spacing w:after="0" w:line="177" w:lineRule="exact"/>
              <w:rPr>
                <w:sz w:val="20"/>
                <w:szCs w:val="20"/>
                <w:color w:val="auto"/>
              </w:rPr>
            </w:pPr>
            <w:r>
              <w:rPr>
                <w:rFonts w:ascii="Arial" w:cs="Arial" w:eastAsia="Arial" w:hAnsi="Arial"/>
                <w:sz w:val="16"/>
                <w:szCs w:val="16"/>
                <w:color w:val="auto"/>
              </w:rPr>
              <w:t>Ratably over the course of the contract (over time)</w:t>
            </w:r>
          </w:p>
        </w:tc>
        <w:tc>
          <w:tcPr>
            <w:tcW w:w="24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Annual or monthly payments</w:t>
            </w:r>
          </w:p>
        </w:tc>
        <w:tc>
          <w:tcPr>
            <w:tcW w:w="2880" w:type="dxa"/>
            <w:vAlign w:val="bottom"/>
            <w:shd w:val="clear" w:color="auto" w:fill="CCEEFF"/>
          </w:tcPr>
          <w:p>
            <w:pPr>
              <w:ind w:left="100"/>
              <w:spacing w:after="0" w:line="177" w:lineRule="exact"/>
              <w:rPr>
                <w:sz w:val="20"/>
                <w:szCs w:val="20"/>
                <w:color w:val="auto"/>
              </w:rPr>
            </w:pPr>
            <w:r>
              <w:rPr>
                <w:rFonts w:ascii="Arial" w:cs="Arial" w:eastAsia="Arial" w:hAnsi="Arial"/>
                <w:sz w:val="16"/>
                <w:szCs w:val="16"/>
                <w:color w:val="auto"/>
              </w:rPr>
              <w:t>Observable in transactions without</w:t>
            </w:r>
          </w:p>
        </w:tc>
      </w:tr>
      <w:tr>
        <w:trPr>
          <w:trHeight w:val="197"/>
        </w:trPr>
        <w:tc>
          <w:tcPr>
            <w:tcW w:w="2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(Metallic)</w:t>
            </w:r>
          </w:p>
        </w:tc>
        <w:tc>
          <w:tcPr>
            <w:tcW w:w="38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multiple performance obligations</w:t>
            </w:r>
          </w:p>
        </w:tc>
      </w:tr>
    </w:tbl>
    <w:p>
      <w:pPr>
        <w:spacing w:after="0" w:line="31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Disaggregation of Revenue</w:t>
      </w:r>
    </w:p>
    <w:p>
      <w:pPr>
        <w:spacing w:after="0" w:line="262"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We disaggregate revenue from contracts with customers into the nature of the products and services and geographical regions. The geographic regions that we track are the Americas (United States, Canada, Latin America), EMEA (Europe, Middle East, Africa) and APJ (Australia, New Zealand, Southeast Asia, China). We operate in one segment.</w:t>
      </w:r>
    </w:p>
    <w:p>
      <w:pPr>
        <w:spacing w:after="0" w:line="96"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3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6"/>
                <w:szCs w:val="16"/>
                <w:b w:val="1"/>
                <w:bCs w:val="1"/>
                <w:color w:val="auto"/>
              </w:rPr>
              <w:t>Three Months Ended December 31, 2021</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8"/>
        </w:trPr>
        <w:tc>
          <w:tcPr>
            <w:tcW w:w="3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Americas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EMEA</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Total</w:t>
            </w:r>
          </w:p>
        </w:tc>
      </w:tr>
      <w:tr>
        <w:trPr>
          <w:trHeight w:val="205"/>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57,538</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32,949</w:t>
            </w: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8,088</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98,575</w:t>
            </w:r>
          </w:p>
        </w:tc>
      </w:tr>
      <w:tr>
        <w:trPr>
          <w:trHeight w:val="210"/>
        </w:trPr>
        <w:tc>
          <w:tcPr>
            <w:tcW w:w="3080" w:type="dxa"/>
            <w:vAlign w:val="bottom"/>
          </w:tcPr>
          <w:p>
            <w:pPr>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50,163</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26,018</w:t>
            </w: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9,826</w:t>
            </w:r>
          </w:p>
        </w:tc>
        <w:tc>
          <w:tcPr>
            <w:tcW w:w="46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86,007</w:t>
            </w:r>
          </w:p>
        </w:tc>
      </w:tr>
      <w:tr>
        <w:trPr>
          <w:trHeight w:val="212"/>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10,620</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5,234</w:t>
            </w: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17,799</w:t>
            </w:r>
          </w:p>
        </w:tc>
      </w:tr>
      <w:tr>
        <w:trPr>
          <w:trHeight w:val="208"/>
        </w:trPr>
        <w:tc>
          <w:tcPr>
            <w:tcW w:w="3080" w:type="dxa"/>
            <w:vAlign w:val="bottom"/>
          </w:tcPr>
          <w:p>
            <w:pPr>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118,321</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64,201</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19,859</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202,381</w:t>
            </w: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3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6"/>
                <w:szCs w:val="16"/>
                <w:b w:val="1"/>
                <w:bCs w:val="1"/>
                <w:color w:val="auto"/>
              </w:rPr>
              <w:t>Three Months Ended December 31, 2020</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8"/>
        </w:trPr>
        <w:tc>
          <w:tcPr>
            <w:tcW w:w="3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Americas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EMEA</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Total</w:t>
            </w:r>
          </w:p>
        </w:tc>
      </w:tr>
      <w:tr>
        <w:trPr>
          <w:trHeight w:val="205"/>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43,636</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33,374</w:t>
            </w: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11,615</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88,625</w:t>
            </w:r>
          </w:p>
        </w:tc>
      </w:tr>
      <w:tr>
        <w:trPr>
          <w:trHeight w:val="210"/>
        </w:trPr>
        <w:tc>
          <w:tcPr>
            <w:tcW w:w="3080" w:type="dxa"/>
            <w:vAlign w:val="bottom"/>
          </w:tcPr>
          <w:p>
            <w:pPr>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53,488</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25,808</w:t>
            </w: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10,386</w:t>
            </w:r>
          </w:p>
        </w:tc>
        <w:tc>
          <w:tcPr>
            <w:tcW w:w="46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89,682</w:t>
            </w:r>
          </w:p>
        </w:tc>
      </w:tr>
      <w:tr>
        <w:trPr>
          <w:trHeight w:val="212"/>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5,031</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3,332</w:t>
            </w: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9,685</w:t>
            </w:r>
          </w:p>
        </w:tc>
      </w:tr>
      <w:tr>
        <w:trPr>
          <w:trHeight w:val="208"/>
        </w:trPr>
        <w:tc>
          <w:tcPr>
            <w:tcW w:w="3080" w:type="dxa"/>
            <w:vAlign w:val="bottom"/>
          </w:tcPr>
          <w:p>
            <w:pPr>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102,155</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62,514</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23,323</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187,992</w:t>
            </w: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05"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3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6"/>
                <w:szCs w:val="16"/>
                <w:b w:val="1"/>
                <w:bCs w:val="1"/>
                <w:color w:val="auto"/>
              </w:rPr>
              <w:t>Nine Months Ended December 31, 2021</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8"/>
        </w:trPr>
        <w:tc>
          <w:tcPr>
            <w:tcW w:w="3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Americas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EMEA</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Total</w:t>
            </w:r>
          </w:p>
        </w:tc>
      </w:tr>
      <w:tr>
        <w:trPr>
          <w:trHeight w:val="205"/>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153,510</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76,570</w:t>
            </w: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25,918</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255,998</w:t>
            </w:r>
          </w:p>
        </w:tc>
      </w:tr>
      <w:tr>
        <w:trPr>
          <w:trHeight w:val="210"/>
        </w:trPr>
        <w:tc>
          <w:tcPr>
            <w:tcW w:w="3080" w:type="dxa"/>
            <w:vAlign w:val="bottom"/>
          </w:tcPr>
          <w:p>
            <w:pPr>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153,244</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79,080</w:t>
            </w: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30,105</w:t>
            </w:r>
          </w:p>
        </w:tc>
        <w:tc>
          <w:tcPr>
            <w:tcW w:w="46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262,429</w:t>
            </w:r>
          </w:p>
        </w:tc>
      </w:tr>
      <w:tr>
        <w:trPr>
          <w:trHeight w:val="212"/>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27,323</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12,776</w:t>
            </w: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5,116</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45,215</w:t>
            </w:r>
          </w:p>
        </w:tc>
      </w:tr>
      <w:tr>
        <w:trPr>
          <w:trHeight w:val="208"/>
        </w:trPr>
        <w:tc>
          <w:tcPr>
            <w:tcW w:w="3080" w:type="dxa"/>
            <w:vAlign w:val="bottom"/>
          </w:tcPr>
          <w:p>
            <w:pPr>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334,077</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168,426</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61,139</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563,642</w:t>
            </w: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3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6"/>
                <w:szCs w:val="16"/>
                <w:b w:val="1"/>
                <w:bCs w:val="1"/>
                <w:color w:val="auto"/>
              </w:rPr>
              <w:t>Nine Months Ended December 31, 2020</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8"/>
        </w:trPr>
        <w:tc>
          <w:tcPr>
            <w:tcW w:w="3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Americas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EMEA</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Total</w:t>
            </w:r>
          </w:p>
        </w:tc>
      </w:tr>
      <w:tr>
        <w:trPr>
          <w:trHeight w:val="205"/>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133,522</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74,232</w:t>
            </w: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29,734</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237,488</w:t>
            </w:r>
          </w:p>
        </w:tc>
      </w:tr>
      <w:tr>
        <w:trPr>
          <w:trHeight w:val="210"/>
        </w:trPr>
        <w:tc>
          <w:tcPr>
            <w:tcW w:w="3080" w:type="dxa"/>
            <w:vAlign w:val="bottom"/>
          </w:tcPr>
          <w:p>
            <w:pPr>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162,903</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74,029</w:t>
            </w: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30,840</w:t>
            </w:r>
          </w:p>
        </w:tc>
        <w:tc>
          <w:tcPr>
            <w:tcW w:w="46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267,772</w:t>
            </w:r>
          </w:p>
        </w:tc>
      </w:tr>
      <w:tr>
        <w:trPr>
          <w:trHeight w:val="212"/>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13,938</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8,971</w:t>
            </w: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26,871</w:t>
            </w:r>
          </w:p>
        </w:tc>
      </w:tr>
      <w:tr>
        <w:trPr>
          <w:trHeight w:val="208"/>
        </w:trPr>
        <w:tc>
          <w:tcPr>
            <w:tcW w:w="3080" w:type="dxa"/>
            <w:vAlign w:val="bottom"/>
          </w:tcPr>
          <w:p>
            <w:pPr>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310,363</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157,232</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64,536</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532,131</w:t>
            </w: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62"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our Deferred revenue balance is related to services revenue, primarily customer support and Metallic contracts.</w:t>
      </w:r>
    </w:p>
    <w:p>
      <w:pPr>
        <w:spacing w:after="0" w:line="23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In some arrangements we allow customers to pay for term-based software licenses and products over the term of the software license. Amounts recognized as revenue in excess of amounts billed are recorded as Unbilled receivables. Unbilled receivables, which are anticipated to be invoiced in the next twelve months, are included in Accounts receivable on the Consolidated Balance Sheets. Long-term unbilled receivables are included in Other assets. The opening and closing balances of our Accounts receivable, Unbilled receivables, and Deferred revenues are as follows:</w:t>
      </w:r>
    </w:p>
    <w:p>
      <w:pPr>
        <w:spacing w:after="0" w:line="123" w:lineRule="exact"/>
        <w:rPr>
          <w:sz w:val="20"/>
          <w:szCs w:val="20"/>
          <w:color w:val="auto"/>
        </w:rPr>
      </w:pPr>
    </w:p>
    <w:tbl>
      <w:tblPr>
        <w:tblLayout w:type="fixed"/>
        <w:tblInd w:w="540" w:type="dxa"/>
        <w:tblCellMar>
          <w:top w:w="0" w:type="dxa"/>
          <w:left w:w="0" w:type="dxa"/>
          <w:bottom w:w="0" w:type="dxa"/>
          <w:right w:w="0" w:type="dxa"/>
        </w:tblCellMar>
      </w:tblPr>
      <w:tr>
        <w:trPr>
          <w:trHeight w:val="185"/>
        </w:trPr>
        <w:tc>
          <w:tcPr>
            <w:tcW w:w="1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vMerge w:val="restart"/>
          </w:tcPr>
          <w:p>
            <w:pPr>
              <w:jc w:val="right"/>
              <w:ind w:right="421"/>
              <w:spacing w:after="0"/>
              <w:rPr>
                <w:sz w:val="20"/>
                <w:szCs w:val="20"/>
                <w:color w:val="auto"/>
              </w:rPr>
            </w:pPr>
            <w:r>
              <w:rPr>
                <w:rFonts w:ascii="Arial" w:cs="Arial" w:eastAsia="Arial" w:hAnsi="Arial"/>
                <w:sz w:val="16"/>
                <w:szCs w:val="16"/>
                <w:b w:val="1"/>
                <w:bCs w:val="1"/>
                <w:color w:val="auto"/>
              </w:rPr>
              <w:t>Unbilled</w:t>
            </w:r>
          </w:p>
        </w:tc>
        <w:tc>
          <w:tcPr>
            <w:tcW w:w="460" w:type="dxa"/>
            <w:vAlign w:val="bottom"/>
          </w:tcPr>
          <w:p>
            <w:pPr>
              <w:spacing w:after="0"/>
              <w:rPr>
                <w:sz w:val="16"/>
                <w:szCs w:val="16"/>
                <w:color w:val="auto"/>
              </w:rPr>
            </w:pPr>
          </w:p>
        </w:tc>
        <w:tc>
          <w:tcPr>
            <w:tcW w:w="1240" w:type="dxa"/>
            <w:vAlign w:val="bottom"/>
            <w:vMerge w:val="restart"/>
          </w:tcPr>
          <w:p>
            <w:pPr>
              <w:jc w:val="right"/>
              <w:ind w:right="441"/>
              <w:spacing w:after="0"/>
              <w:rPr>
                <w:sz w:val="20"/>
                <w:szCs w:val="20"/>
                <w:color w:val="auto"/>
              </w:rPr>
            </w:pPr>
            <w:r>
              <w:rPr>
                <w:rFonts w:ascii="Arial" w:cs="Arial" w:eastAsia="Arial" w:hAnsi="Arial"/>
                <w:sz w:val="16"/>
                <w:szCs w:val="16"/>
                <w:b w:val="1"/>
                <w:bCs w:val="1"/>
                <w:color w:val="auto"/>
              </w:rPr>
              <w:t>Unbilled</w:t>
            </w:r>
          </w:p>
        </w:tc>
        <w:tc>
          <w:tcPr>
            <w:tcW w:w="440" w:type="dxa"/>
            <w:vAlign w:val="bottom"/>
          </w:tcPr>
          <w:p>
            <w:pPr>
              <w:spacing w:after="0"/>
              <w:rPr>
                <w:sz w:val="16"/>
                <w:szCs w:val="16"/>
                <w:color w:val="auto"/>
              </w:rPr>
            </w:pPr>
          </w:p>
        </w:tc>
        <w:tc>
          <w:tcPr>
            <w:tcW w:w="1260" w:type="dxa"/>
            <w:vAlign w:val="bottom"/>
          </w:tcPr>
          <w:p>
            <w:pPr>
              <w:jc w:val="right"/>
              <w:ind w:right="441"/>
              <w:spacing w:after="0"/>
              <w:rPr>
                <w:sz w:val="20"/>
                <w:szCs w:val="20"/>
                <w:color w:val="auto"/>
              </w:rPr>
            </w:pPr>
            <w:r>
              <w:rPr>
                <w:rFonts w:ascii="Arial" w:cs="Arial" w:eastAsia="Arial" w:hAnsi="Arial"/>
                <w:sz w:val="16"/>
                <w:szCs w:val="16"/>
                <w:b w:val="1"/>
                <w:bCs w:val="1"/>
                <w:color w:val="auto"/>
              </w:rPr>
              <w:t>Deferred</w:t>
            </w:r>
          </w:p>
        </w:tc>
        <w:tc>
          <w:tcPr>
            <w:tcW w:w="420" w:type="dxa"/>
            <w:vAlign w:val="bottom"/>
          </w:tcPr>
          <w:p>
            <w:pPr>
              <w:spacing w:after="0"/>
              <w:rPr>
                <w:sz w:val="16"/>
                <w:szCs w:val="16"/>
                <w:color w:val="auto"/>
              </w:rPr>
            </w:pPr>
          </w:p>
        </w:tc>
        <w:tc>
          <w:tcPr>
            <w:tcW w:w="1140" w:type="dxa"/>
            <w:vAlign w:val="bottom"/>
          </w:tcPr>
          <w:p>
            <w:pPr>
              <w:jc w:val="right"/>
              <w:ind w:right="241"/>
              <w:spacing w:after="0"/>
              <w:rPr>
                <w:sz w:val="20"/>
                <w:szCs w:val="20"/>
                <w:color w:val="auto"/>
              </w:rPr>
            </w:pPr>
            <w:r>
              <w:rPr>
                <w:rFonts w:ascii="Arial" w:cs="Arial" w:eastAsia="Arial" w:hAnsi="Arial"/>
                <w:sz w:val="16"/>
                <w:szCs w:val="16"/>
                <w:b w:val="1"/>
                <w:bCs w:val="1"/>
                <w:color w:val="auto"/>
              </w:rPr>
              <w:t>Deferred</w:t>
            </w:r>
          </w:p>
        </w:tc>
        <w:tc>
          <w:tcPr>
            <w:tcW w:w="0" w:type="dxa"/>
            <w:vAlign w:val="bottom"/>
          </w:tcPr>
          <w:p>
            <w:pPr>
              <w:spacing w:after="0"/>
              <w:rPr>
                <w:sz w:val="1"/>
                <w:szCs w:val="1"/>
                <w:color w:val="auto"/>
              </w:rPr>
            </w:pPr>
          </w:p>
        </w:tc>
      </w:tr>
      <w:tr>
        <w:trPr>
          <w:trHeight w:val="45"/>
        </w:trPr>
        <w:tc>
          <w:tcPr>
            <w:tcW w:w="19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80" w:type="dxa"/>
            <w:vAlign w:val="bottom"/>
            <w:vMerge w:val="restart"/>
          </w:tcPr>
          <w:p>
            <w:pPr>
              <w:jc w:val="right"/>
              <w:ind w:right="381"/>
              <w:spacing w:after="0"/>
              <w:rPr>
                <w:sz w:val="20"/>
                <w:szCs w:val="20"/>
                <w:color w:val="auto"/>
              </w:rPr>
            </w:pPr>
            <w:r>
              <w:rPr>
                <w:rFonts w:ascii="Arial" w:cs="Arial" w:eastAsia="Arial" w:hAnsi="Arial"/>
                <w:sz w:val="16"/>
                <w:szCs w:val="16"/>
                <w:b w:val="1"/>
                <w:bCs w:val="1"/>
                <w:color w:val="auto"/>
              </w:rPr>
              <w:t>Accounts</w:t>
            </w:r>
          </w:p>
        </w:tc>
        <w:tc>
          <w:tcPr>
            <w:tcW w:w="50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700" w:type="dxa"/>
            <w:vAlign w:val="bottom"/>
            <w:gridSpan w:val="2"/>
            <w:vMerge w:val="restart"/>
          </w:tcPr>
          <w:p>
            <w:pPr>
              <w:jc w:val="right"/>
              <w:ind w:right="661"/>
              <w:spacing w:after="0"/>
              <w:rPr>
                <w:sz w:val="20"/>
                <w:szCs w:val="20"/>
                <w:color w:val="auto"/>
              </w:rPr>
            </w:pPr>
            <w:r>
              <w:rPr>
                <w:rFonts w:ascii="Arial" w:cs="Arial" w:eastAsia="Arial" w:hAnsi="Arial"/>
                <w:sz w:val="16"/>
                <w:szCs w:val="16"/>
                <w:b w:val="1"/>
                <w:bCs w:val="1"/>
                <w:color w:val="auto"/>
              </w:rPr>
              <w:t>Revenue</w:t>
            </w:r>
          </w:p>
        </w:tc>
        <w:tc>
          <w:tcPr>
            <w:tcW w:w="1560" w:type="dxa"/>
            <w:vAlign w:val="bottom"/>
            <w:gridSpan w:val="2"/>
            <w:vMerge w:val="restart"/>
          </w:tcPr>
          <w:p>
            <w:pPr>
              <w:jc w:val="right"/>
              <w:ind w:right="481"/>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159"/>
        </w:trPr>
        <w:tc>
          <w:tcPr>
            <w:tcW w:w="1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740" w:type="dxa"/>
            <w:vAlign w:val="bottom"/>
            <w:gridSpan w:val="2"/>
          </w:tcPr>
          <w:p>
            <w:pPr>
              <w:jc w:val="right"/>
              <w:ind w:right="561"/>
              <w:spacing w:after="0" w:line="159" w:lineRule="exact"/>
              <w:rPr>
                <w:sz w:val="20"/>
                <w:szCs w:val="20"/>
                <w:color w:val="auto"/>
              </w:rPr>
            </w:pPr>
            <w:r>
              <w:rPr>
                <w:rFonts w:ascii="Arial" w:cs="Arial" w:eastAsia="Arial" w:hAnsi="Arial"/>
                <w:sz w:val="16"/>
                <w:szCs w:val="16"/>
                <w:b w:val="1"/>
                <w:bCs w:val="1"/>
                <w:color w:val="auto"/>
              </w:rPr>
              <w:t>Receivable</w:t>
            </w:r>
          </w:p>
        </w:tc>
        <w:tc>
          <w:tcPr>
            <w:tcW w:w="1700" w:type="dxa"/>
            <w:vAlign w:val="bottom"/>
            <w:gridSpan w:val="2"/>
          </w:tcPr>
          <w:p>
            <w:pPr>
              <w:jc w:val="right"/>
              <w:ind w:right="581"/>
              <w:spacing w:after="0" w:line="159" w:lineRule="exact"/>
              <w:rPr>
                <w:sz w:val="20"/>
                <w:szCs w:val="20"/>
                <w:color w:val="auto"/>
              </w:rPr>
            </w:pPr>
            <w:r>
              <w:rPr>
                <w:rFonts w:ascii="Arial" w:cs="Arial" w:eastAsia="Arial" w:hAnsi="Arial"/>
                <w:sz w:val="16"/>
                <w:szCs w:val="16"/>
                <w:b w:val="1"/>
                <w:bCs w:val="1"/>
                <w:color w:val="auto"/>
              </w:rPr>
              <w:t>Receivable</w:t>
            </w:r>
          </w:p>
        </w:tc>
        <w:tc>
          <w:tcPr>
            <w:tcW w:w="1700" w:type="dxa"/>
            <w:vAlign w:val="bottom"/>
            <w:gridSpan w:val="2"/>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98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gridSpan w:val="2"/>
          </w:tcPr>
          <w:p>
            <w:pPr>
              <w:jc w:val="right"/>
              <w:ind w:right="581"/>
              <w:spacing w:after="0"/>
              <w:rPr>
                <w:sz w:val="20"/>
                <w:szCs w:val="20"/>
                <w:color w:val="auto"/>
              </w:rPr>
            </w:pPr>
            <w:r>
              <w:rPr>
                <w:rFonts w:ascii="Arial" w:cs="Arial" w:eastAsia="Arial" w:hAnsi="Arial"/>
                <w:sz w:val="16"/>
                <w:szCs w:val="16"/>
                <w:b w:val="1"/>
                <w:bCs w:val="1"/>
                <w:color w:val="auto"/>
              </w:rPr>
              <w:t>Receivable</w:t>
            </w:r>
          </w:p>
        </w:tc>
        <w:tc>
          <w:tcPr>
            <w:tcW w:w="1740" w:type="dxa"/>
            <w:vAlign w:val="bottom"/>
            <w:tcBorders>
              <w:bottom w:val="single" w:sz="8" w:color="auto"/>
            </w:tcBorders>
            <w:gridSpan w:val="2"/>
          </w:tcPr>
          <w:p>
            <w:pPr>
              <w:jc w:val="right"/>
              <w:ind w:right="661"/>
              <w:spacing w:after="0"/>
              <w:rPr>
                <w:sz w:val="20"/>
                <w:szCs w:val="20"/>
                <w:color w:val="auto"/>
              </w:rPr>
            </w:pPr>
            <w:r>
              <w:rPr>
                <w:rFonts w:ascii="Arial" w:cs="Arial" w:eastAsia="Arial" w:hAnsi="Arial"/>
                <w:sz w:val="16"/>
                <w:szCs w:val="16"/>
                <w:b w:val="1"/>
                <w:bCs w:val="1"/>
                <w:color w:val="auto"/>
              </w:rPr>
              <w:t>(current)</w:t>
            </w:r>
          </w:p>
        </w:tc>
        <w:tc>
          <w:tcPr>
            <w:tcW w:w="1700" w:type="dxa"/>
            <w:vAlign w:val="bottom"/>
            <w:tcBorders>
              <w:bottom w:val="single" w:sz="8" w:color="auto"/>
            </w:tcBorders>
            <w:gridSpan w:val="2"/>
          </w:tcPr>
          <w:p>
            <w:pPr>
              <w:jc w:val="right"/>
              <w:ind w:right="581"/>
              <w:spacing w:after="0"/>
              <w:rPr>
                <w:sz w:val="20"/>
                <w:szCs w:val="20"/>
                <w:color w:val="auto"/>
              </w:rPr>
            </w:pPr>
            <w:r>
              <w:rPr>
                <w:rFonts w:ascii="Arial" w:cs="Arial" w:eastAsia="Arial" w:hAnsi="Arial"/>
                <w:sz w:val="16"/>
                <w:szCs w:val="16"/>
                <w:b w:val="1"/>
                <w:bCs w:val="1"/>
                <w:color w:val="auto"/>
              </w:rPr>
              <w:t>(long-term)</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(current)</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(long-term)</w:t>
            </w:r>
          </w:p>
        </w:tc>
        <w:tc>
          <w:tcPr>
            <w:tcW w:w="0" w:type="dxa"/>
            <w:vAlign w:val="bottom"/>
          </w:tcPr>
          <w:p>
            <w:pPr>
              <w:spacing w:after="0"/>
              <w:rPr>
                <w:sz w:val="1"/>
                <w:szCs w:val="1"/>
                <w:color w:val="auto"/>
              </w:rPr>
            </w:pPr>
          </w:p>
        </w:tc>
      </w:tr>
      <w:tr>
        <w:trPr>
          <w:trHeight w:val="154"/>
        </w:trPr>
        <w:tc>
          <w:tcPr>
            <w:tcW w:w="1980" w:type="dxa"/>
            <w:vAlign w:val="bottom"/>
            <w:shd w:val="clear" w:color="auto" w:fill="CCEEFF"/>
          </w:tcPr>
          <w:p>
            <w:pPr>
              <w:ind w:left="500"/>
              <w:spacing w:after="0" w:line="155" w:lineRule="exact"/>
              <w:rPr>
                <w:sz w:val="20"/>
                <w:szCs w:val="20"/>
                <w:color w:val="auto"/>
              </w:rPr>
            </w:pPr>
            <w:r>
              <w:rPr>
                <w:rFonts w:ascii="Arial" w:cs="Arial" w:eastAsia="Arial" w:hAnsi="Arial"/>
                <w:sz w:val="16"/>
                <w:szCs w:val="16"/>
                <w:color w:val="auto"/>
              </w:rPr>
              <w:t>Opening Balance as</w:t>
            </w:r>
          </w:p>
        </w:tc>
        <w:tc>
          <w:tcPr>
            <w:tcW w:w="6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March 31, 2021</w:t>
            </w: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168,985</w:t>
            </w: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19,141</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7,463</w:t>
            </w:r>
          </w:p>
        </w:tc>
        <w:tc>
          <w:tcPr>
            <w:tcW w:w="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253,211</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119,231</w:t>
            </w:r>
          </w:p>
        </w:tc>
        <w:tc>
          <w:tcPr>
            <w:tcW w:w="0" w:type="dxa"/>
            <w:vAlign w:val="bottom"/>
          </w:tcPr>
          <w:p>
            <w:pPr>
              <w:spacing w:after="0"/>
              <w:rPr>
                <w:sz w:val="1"/>
                <w:szCs w:val="1"/>
                <w:color w:val="auto"/>
              </w:rPr>
            </w:pPr>
          </w:p>
        </w:tc>
      </w:tr>
      <w:tr>
        <w:trPr>
          <w:trHeight w:val="174"/>
        </w:trPr>
        <w:tc>
          <w:tcPr>
            <w:tcW w:w="1980" w:type="dxa"/>
            <w:vAlign w:val="bottom"/>
          </w:tcPr>
          <w:p>
            <w:pPr>
              <w:ind w:left="500"/>
              <w:spacing w:after="0" w:line="175" w:lineRule="exact"/>
              <w:rPr>
                <w:sz w:val="20"/>
                <w:szCs w:val="20"/>
                <w:color w:val="auto"/>
              </w:rPr>
            </w:pPr>
            <w:r>
              <w:rPr>
                <w:rFonts w:ascii="Arial" w:cs="Arial" w:eastAsia="Arial" w:hAnsi="Arial"/>
                <w:sz w:val="16"/>
                <w:szCs w:val="16"/>
                <w:color w:val="auto"/>
                <w:w w:val="99"/>
              </w:rPr>
              <w:t>Increase (decrease),</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w:t>
            </w:r>
          </w:p>
        </w:tc>
        <w:tc>
          <w:tcPr>
            <w:tcW w:w="6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27,420</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(2,506)</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(636)</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316</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15,625</w:t>
            </w:r>
          </w:p>
        </w:tc>
        <w:tc>
          <w:tcPr>
            <w:tcW w:w="0" w:type="dxa"/>
            <w:vAlign w:val="bottom"/>
          </w:tcPr>
          <w:p>
            <w:pPr>
              <w:spacing w:after="0"/>
              <w:rPr>
                <w:sz w:val="1"/>
                <w:szCs w:val="1"/>
                <w:color w:val="auto"/>
              </w:rPr>
            </w:pPr>
          </w:p>
        </w:tc>
      </w:tr>
      <w:tr>
        <w:trPr>
          <w:trHeight w:val="157"/>
        </w:trPr>
        <w:tc>
          <w:tcPr>
            <w:tcW w:w="1980" w:type="dxa"/>
            <w:vAlign w:val="bottom"/>
            <w:shd w:val="clear" w:color="auto" w:fill="CCEEFF"/>
          </w:tcPr>
          <w:p>
            <w:pPr>
              <w:ind w:left="500"/>
              <w:spacing w:after="0" w:line="157" w:lineRule="exact"/>
              <w:rPr>
                <w:sz w:val="20"/>
                <w:szCs w:val="20"/>
                <w:color w:val="auto"/>
              </w:rPr>
            </w:pPr>
            <w:r>
              <w:rPr>
                <w:rFonts w:ascii="Arial" w:cs="Arial" w:eastAsia="Arial" w:hAnsi="Arial"/>
                <w:sz w:val="16"/>
                <w:szCs w:val="16"/>
                <w:color w:val="auto"/>
              </w:rPr>
              <w:t>Ending Balance as</w:t>
            </w:r>
          </w:p>
        </w:tc>
        <w:tc>
          <w:tcPr>
            <w:tcW w:w="6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196,405</w:t>
            </w:r>
          </w:p>
        </w:tc>
        <w:tc>
          <w:tcPr>
            <w:tcW w:w="5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16,635</w:t>
            </w:r>
          </w:p>
        </w:tc>
        <w:tc>
          <w:tcPr>
            <w:tcW w:w="4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241"/>
              <w:spacing w:after="0"/>
              <w:rPr>
                <w:sz w:val="20"/>
                <w:szCs w:val="20"/>
                <w:color w:val="auto"/>
              </w:rPr>
            </w:pPr>
            <w:r>
              <w:rPr>
                <w:rFonts w:ascii="Arial" w:cs="Arial" w:eastAsia="Arial" w:hAnsi="Arial"/>
                <w:sz w:val="16"/>
                <w:szCs w:val="16"/>
                <w:color w:val="auto"/>
              </w:rPr>
              <w:t>6,827</w:t>
            </w:r>
          </w:p>
        </w:tc>
        <w:tc>
          <w:tcPr>
            <w:tcW w:w="4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221"/>
              <w:spacing w:after="0"/>
              <w:rPr>
                <w:sz w:val="20"/>
                <w:szCs w:val="20"/>
                <w:color w:val="auto"/>
              </w:rPr>
            </w:pPr>
            <w:r>
              <w:rPr>
                <w:rFonts w:ascii="Arial" w:cs="Arial" w:eastAsia="Arial" w:hAnsi="Arial"/>
                <w:sz w:val="16"/>
                <w:szCs w:val="16"/>
                <w:color w:val="auto"/>
              </w:rPr>
              <w:t>253,527</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134,856</w:t>
            </w:r>
          </w:p>
        </w:tc>
        <w:tc>
          <w:tcPr>
            <w:tcW w:w="0" w:type="dxa"/>
            <w:vAlign w:val="bottom"/>
          </w:tcPr>
          <w:p>
            <w:pPr>
              <w:spacing w:after="0"/>
              <w:rPr>
                <w:sz w:val="1"/>
                <w:szCs w:val="1"/>
                <w:color w:val="auto"/>
              </w:rPr>
            </w:pPr>
          </w:p>
        </w:tc>
      </w:tr>
      <w:tr>
        <w:trPr>
          <w:trHeight w:val="190"/>
        </w:trPr>
        <w:tc>
          <w:tcPr>
            <w:tcW w:w="1980" w:type="dxa"/>
            <w:vAlign w:val="bottom"/>
            <w:tcBorders>
              <w:bottom w:val="single" w:sz="8" w:color="CCEEFF"/>
            </w:tcBorders>
            <w:shd w:val="clear" w:color="auto" w:fill="CCEEFF"/>
          </w:tcPr>
          <w:p>
            <w:pPr>
              <w:ind w:left="20"/>
              <w:spacing w:after="0" w:line="171" w:lineRule="exact"/>
              <w:rPr>
                <w:sz w:val="20"/>
                <w:szCs w:val="20"/>
                <w:color w:val="auto"/>
              </w:rPr>
            </w:pPr>
            <w:r>
              <w:rPr>
                <w:rFonts w:ascii="Arial" w:cs="Arial" w:eastAsia="Arial" w:hAnsi="Arial"/>
                <w:sz w:val="16"/>
                <w:szCs w:val="16"/>
                <w:color w:val="auto"/>
              </w:rPr>
              <w:t>of December 31, 2021</w:t>
            </w: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auto"/>
            </w:tcBorders>
            <w:vMerge w:val="continue"/>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The net increase in Accounts receivable (inclusive of Unbilled receivables) is a result of an increase in software and products revenue relative to the fourth quarter of the prior fiscal year. The increase in Deferred revenue is primarily the result of an increase in deferred revenue associated with Metallic contracts that are billed upfront and recognized ratably over the contract period.</w:t>
      </w:r>
    </w:p>
    <w:p>
      <w:pPr>
        <w:spacing w:after="0" w:line="233"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The amount of revenue recognized in the period that was included in the March 31, 2021 balance of deferred revenue was $56,383 and $217,309 for the three and nine months ended December 31, 2021. The vast majority of this revenue consists of customer support arrangements. The amount of software and products revenue recognized in the three and nine months ended December 31, 2021 related to performance obligations from prior periods was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Remaining Performance Obligations</w:t>
      </w:r>
    </w:p>
    <w:p>
      <w:pPr>
        <w:spacing w:after="0" w:line="262"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In addition to the amounts included in deferred revenue as of December 31, 2021, $57,953 of revenue may be recognized from remaining performance obligations, of which approximately $10,000 was related to software and products. This amount includes renewals of term licenses received prior to the expiration of the existing license period. We expect the majority of this software and products revenue to be recognized during fiscal 2022. Most of this software and products revenue is associated with renewals of term licenses which have not yet expired. The vast majority of the services revenue is related to other professional services which may be recognized over the next twelve months but is contingent upon a number of factors, including customers’ needs and schedules.</w:t>
      </w:r>
    </w:p>
    <w:p>
      <w:pPr>
        <w:sectPr>
          <w:pgSz w:w="11900" w:h="16838" w:orient="portrait"/>
          <w:cols w:equalWidth="0" w:num="1">
            <w:col w:w="11240"/>
          </w:cols>
          <w:pgMar w:left="320" w:top="140" w:right="339" w:bottom="1440" w:gutter="0" w:footer="0" w:header="0"/>
        </w:sectPr>
      </w:pPr>
    </w:p>
    <w:p>
      <w:pPr>
        <w:spacing w:after="0" w:line="216" w:lineRule="exact"/>
        <w:rPr>
          <w:sz w:val="20"/>
          <w:szCs w:val="20"/>
          <w:color w:val="auto"/>
        </w:rPr>
      </w:pPr>
    </w:p>
    <w:p>
      <w:pPr>
        <w:ind w:left="340" w:hanging="334"/>
        <w:spacing w:after="0"/>
        <w:tabs>
          <w:tab w:leader="none" w:pos="340" w:val="left"/>
        </w:tabs>
        <w:numPr>
          <w:ilvl w:val="0"/>
          <w:numId w:val="6"/>
        </w:numPr>
        <w:rPr>
          <w:rFonts w:ascii="Arial" w:cs="Arial" w:eastAsia="Arial" w:hAnsi="Arial"/>
          <w:sz w:val="18"/>
          <w:szCs w:val="18"/>
          <w:b w:val="1"/>
          <w:bCs w:val="1"/>
          <w:color w:val="00B2A9"/>
        </w:rPr>
      </w:pPr>
      <w:r>
        <w:rPr>
          <w:rFonts w:ascii="Arial" w:cs="Arial" w:eastAsia="Arial" w:hAnsi="Arial"/>
          <w:sz w:val="18"/>
          <w:szCs w:val="18"/>
          <w:b w:val="1"/>
          <w:bCs w:val="1"/>
          <w:color w:val="00B2A9"/>
        </w:rPr>
        <w:t>Net Income (Loss) per Common Share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Net income (loss)</w:t>
      </w:r>
    </w:p>
    <w:p>
      <w:pPr>
        <w:spacing w:after="0" w:line="8" w:lineRule="exact"/>
        <w:rPr>
          <w:sz w:val="20"/>
          <w:szCs w:val="20"/>
          <w:color w:val="auto"/>
        </w:rPr>
      </w:pPr>
    </w:p>
    <w:p>
      <w:pPr>
        <w:ind w:left="460" w:firstLine="437"/>
        <w:spacing w:after="0" w:line="243" w:lineRule="auto"/>
        <w:rPr>
          <w:sz w:val="20"/>
          <w:szCs w:val="20"/>
          <w:color w:val="auto"/>
        </w:rPr>
      </w:pPr>
      <w:r>
        <w:rPr>
          <w:rFonts w:ascii="Arial" w:cs="Arial" w:eastAsia="Arial" w:hAnsi="Arial"/>
          <w:sz w:val="16"/>
          <w:szCs w:val="16"/>
          <w:b w:val="1"/>
          <w:bCs w:val="1"/>
          <w:color w:val="auto"/>
        </w:rPr>
        <w:t>Basic net income (loss) per common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spacing w:after="0"/>
              <w:rPr>
                <w:sz w:val="18"/>
                <w:szCs w:val="18"/>
                <w:color w:val="auto"/>
              </w:rPr>
            </w:pPr>
          </w:p>
        </w:tc>
        <w:tc>
          <w:tcPr>
            <w:tcW w:w="298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December 31,</w:t>
            </w:r>
          </w:p>
        </w:tc>
        <w:tc>
          <w:tcPr>
            <w:tcW w:w="620" w:type="dxa"/>
            <w:vAlign w:val="bottom"/>
          </w:tcPr>
          <w:p>
            <w:pPr>
              <w:spacing w:after="0"/>
              <w:rPr>
                <w:sz w:val="18"/>
                <w:szCs w:val="18"/>
                <w:color w:val="auto"/>
              </w:rPr>
            </w:pPr>
          </w:p>
        </w:tc>
        <w:tc>
          <w:tcPr>
            <w:tcW w:w="2860" w:type="dxa"/>
            <w:vAlign w:val="bottom"/>
            <w:gridSpan w:val="4"/>
          </w:tcPr>
          <w:p>
            <w:pPr>
              <w:jc w:val="right"/>
              <w:ind w:right="161"/>
              <w:spacing w:after="0"/>
              <w:rPr>
                <w:sz w:val="20"/>
                <w:szCs w:val="20"/>
                <w:color w:val="auto"/>
              </w:rPr>
            </w:pPr>
            <w:r>
              <w:rPr>
                <w:rFonts w:ascii="Arial" w:cs="Arial" w:eastAsia="Arial" w:hAnsi="Arial"/>
                <w:sz w:val="16"/>
                <w:szCs w:val="16"/>
                <w:b w:val="1"/>
                <w:bCs w:val="1"/>
                <w:color w:val="auto"/>
              </w:rPr>
              <w:t>Nine Months Ended December 31,</w:t>
            </w:r>
          </w:p>
        </w:tc>
      </w:tr>
      <w:tr>
        <w:trPr>
          <w:trHeight w:val="208"/>
        </w:trPr>
        <w:tc>
          <w:tcPr>
            <w:tcW w:w="5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2020</w:t>
            </w:r>
          </w:p>
        </w:tc>
      </w:tr>
      <w:tr>
        <w:trPr>
          <w:trHeight w:val="203"/>
        </w:trPr>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10,008</w:t>
            </w:r>
          </w:p>
        </w:tc>
        <w:tc>
          <w:tcPr>
            <w:tcW w:w="140" w:type="dxa"/>
            <w:vAlign w:val="bottom"/>
          </w:tcPr>
          <w:p>
            <w:pPr>
              <w:spacing w:after="0"/>
              <w:rPr>
                <w:sz w:val="17"/>
                <w:szCs w:val="17"/>
                <w:color w:val="auto"/>
              </w:rPr>
            </w:pPr>
          </w:p>
        </w:tc>
        <w:tc>
          <w:tcPr>
            <w:tcW w:w="7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1,673</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25,636</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(37,215)</w:t>
            </w:r>
          </w:p>
        </w:tc>
      </w:tr>
      <w:tr>
        <w:trPr>
          <w:trHeight w:val="22"/>
        </w:trPr>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-175895</wp:posOffset>
            </wp:positionV>
            <wp:extent cx="6848475" cy="160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8475" cy="160020"/>
                    </a:xfrm>
                    <a:prstGeom prst="rect">
                      <a:avLst/>
                    </a:prstGeom>
                    <a:noFill/>
                  </pic:spPr>
                </pic:pic>
              </a:graphicData>
            </a:graphic>
          </wp:anchor>
        </w:drawing>
      </w:r>
    </w:p>
    <w:p>
      <w:pPr>
        <w:spacing w:after="0" w:line="359" w:lineRule="exact"/>
        <w:rPr>
          <w:sz w:val="20"/>
          <w:szCs w:val="20"/>
          <w:color w:val="auto"/>
        </w:rPr>
      </w:pPr>
    </w:p>
    <w:p>
      <w:pPr>
        <w:sectPr>
          <w:pgSz w:w="11900" w:h="16838" w:orient="portrait"/>
          <w:cols w:equalWidth="0" w:num="2">
            <w:col w:w="3680" w:space="500"/>
            <w:col w:w="7060"/>
          </w:cols>
          <w:pgMar w:left="320" w:top="140" w:right="339" w:bottom="1440" w:gutter="0" w:footer="0" w:header="0"/>
          <w:type w:val="continuous"/>
        </w:sectPr>
      </w:pPr>
    </w:p>
    <w:tbl>
      <w:tblPr>
        <w:tblLayout w:type="fixed"/>
        <w:tblInd w:w="440" w:type="dxa"/>
        <w:tblCellMar>
          <w:top w:w="0" w:type="dxa"/>
          <w:left w:w="0" w:type="dxa"/>
          <w:bottom w:w="0" w:type="dxa"/>
          <w:right w:w="0" w:type="dxa"/>
        </w:tblCellMar>
      </w:tblPr>
      <w:tr>
        <w:trPr>
          <w:trHeight w:val="222"/>
        </w:trPr>
        <w:tc>
          <w:tcPr>
            <w:tcW w:w="3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Basic weighted average shares outstanding</w:t>
            </w:r>
          </w:p>
        </w:tc>
        <w:tc>
          <w:tcPr>
            <w:tcW w:w="8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45,242</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47,013</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45,720</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46,575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740" w:type="dxa"/>
            <w:vAlign w:val="bottom"/>
          </w:tcPr>
          <w:p>
            <w:pPr>
              <w:ind w:left="460"/>
              <w:spacing w:after="0"/>
              <w:rPr>
                <w:sz w:val="20"/>
                <w:szCs w:val="20"/>
                <w:color w:val="auto"/>
              </w:rPr>
            </w:pPr>
            <w:r>
              <w:rPr>
                <w:rFonts w:ascii="Arial" w:cs="Arial" w:eastAsia="Arial" w:hAnsi="Arial"/>
                <w:sz w:val="16"/>
                <w:szCs w:val="16"/>
                <w:color w:val="auto"/>
              </w:rPr>
              <w:t>Basic net income (loss) per common share</w:t>
            </w:r>
          </w:p>
        </w:tc>
        <w:tc>
          <w:tcPr>
            <w:tcW w:w="8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40" w:type="dxa"/>
            <w:vAlign w:val="bottom"/>
          </w:tcPr>
          <w:p>
            <w:pPr>
              <w:spacing w:after="0"/>
              <w:rPr>
                <w:sz w:val="16"/>
                <w:szCs w:val="16"/>
                <w:color w:val="auto"/>
              </w:rPr>
            </w:pPr>
          </w:p>
        </w:tc>
        <w:tc>
          <w:tcPr>
            <w:tcW w:w="8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0.04</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740" w:type="dxa"/>
            <w:vAlign w:val="bottom"/>
            <w:shd w:val="clear" w:color="auto" w:fill="CCEEFF"/>
          </w:tcPr>
          <w:p>
            <w:pPr>
              <w:ind w:left="460"/>
              <w:spacing w:after="0" w:line="126" w:lineRule="exact"/>
              <w:rPr>
                <w:sz w:val="20"/>
                <w:szCs w:val="20"/>
                <w:color w:val="auto"/>
              </w:rPr>
            </w:pPr>
            <w:r>
              <w:rPr>
                <w:rFonts w:ascii="Arial" w:cs="Arial" w:eastAsia="Arial" w:hAnsi="Arial"/>
                <w:sz w:val="14"/>
                <w:szCs w:val="14"/>
                <w:b w:val="1"/>
                <w:bCs w:val="1"/>
                <w:color w:val="auto"/>
              </w:rPr>
              <w:t>Diluted net income (loss) per common</w:t>
            </w:r>
          </w:p>
        </w:tc>
        <w:tc>
          <w:tcPr>
            <w:tcW w:w="8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Pr>
          <w:p>
            <w:pPr>
              <w:ind w:left="460"/>
              <w:spacing w:after="0"/>
              <w:rPr>
                <w:sz w:val="20"/>
                <w:szCs w:val="20"/>
                <w:color w:val="auto"/>
              </w:rPr>
            </w:pPr>
            <w:r>
              <w:rPr>
                <w:rFonts w:ascii="Arial" w:cs="Arial" w:eastAsia="Arial" w:hAnsi="Arial"/>
                <w:sz w:val="16"/>
                <w:szCs w:val="16"/>
                <w:color w:val="auto"/>
              </w:rPr>
              <w:t>Basic weighted average shares outstanding</w:t>
            </w:r>
          </w:p>
        </w:tc>
        <w:tc>
          <w:tcPr>
            <w:tcW w:w="8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45,242</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47,013</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45,720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46,575</w:t>
            </w:r>
          </w:p>
        </w:tc>
        <w:tc>
          <w:tcPr>
            <w:tcW w:w="0" w:type="dxa"/>
            <w:vAlign w:val="bottom"/>
          </w:tcPr>
          <w:p>
            <w:pPr>
              <w:spacing w:after="0"/>
              <w:rPr>
                <w:sz w:val="1"/>
                <w:szCs w:val="1"/>
                <w:color w:val="auto"/>
              </w:rPr>
            </w:pPr>
          </w:p>
        </w:tc>
      </w:tr>
      <w:tr>
        <w:trPr>
          <w:trHeight w:val="177"/>
        </w:trPr>
        <w:tc>
          <w:tcPr>
            <w:tcW w:w="3740" w:type="dxa"/>
            <w:vAlign w:val="bottom"/>
            <w:shd w:val="clear" w:color="auto" w:fill="CCEEFF"/>
          </w:tcPr>
          <w:p>
            <w:pPr>
              <w:ind w:left="460"/>
              <w:spacing w:after="0" w:line="177" w:lineRule="exact"/>
              <w:rPr>
                <w:sz w:val="20"/>
                <w:szCs w:val="20"/>
                <w:color w:val="auto"/>
              </w:rPr>
            </w:pPr>
            <w:r>
              <w:rPr>
                <w:rFonts w:ascii="Arial" w:cs="Arial" w:eastAsia="Arial" w:hAnsi="Arial"/>
                <w:sz w:val="16"/>
                <w:szCs w:val="16"/>
                <w:color w:val="auto"/>
              </w:rPr>
              <w:t>Dilutive effect of stock options and restricted</w:t>
            </w: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units</w:t>
            </w:r>
          </w:p>
        </w:tc>
        <w:tc>
          <w:tcPr>
            <w:tcW w:w="8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1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4"/>
        </w:trPr>
        <w:tc>
          <w:tcPr>
            <w:tcW w:w="3740" w:type="dxa"/>
            <w:vAlign w:val="bottom"/>
          </w:tcPr>
          <w:p>
            <w:pPr>
              <w:ind w:left="460"/>
              <w:spacing w:after="0" w:line="155" w:lineRule="exact"/>
              <w:rPr>
                <w:sz w:val="20"/>
                <w:szCs w:val="20"/>
                <w:color w:val="auto"/>
              </w:rPr>
            </w:pPr>
            <w:r>
              <w:rPr>
                <w:rFonts w:ascii="Arial" w:cs="Arial" w:eastAsia="Arial" w:hAnsi="Arial"/>
                <w:sz w:val="16"/>
                <w:szCs w:val="16"/>
                <w:color w:val="auto"/>
              </w:rPr>
              <w:t>Diluted weighted average shares</w:t>
            </w:r>
          </w:p>
        </w:tc>
        <w:tc>
          <w:tcPr>
            <w:tcW w:w="8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46,719</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48,013</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47,552</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46,575</w:t>
            </w:r>
          </w:p>
        </w:tc>
        <w:tc>
          <w:tcPr>
            <w:tcW w:w="0" w:type="dxa"/>
            <w:vAlign w:val="bottom"/>
          </w:tcPr>
          <w:p>
            <w:pPr>
              <w:spacing w:after="0"/>
              <w:rPr>
                <w:sz w:val="1"/>
                <w:szCs w:val="1"/>
                <w:color w:val="auto"/>
              </w:rPr>
            </w:pPr>
          </w:p>
        </w:tc>
      </w:tr>
      <w:tr>
        <w:trPr>
          <w:trHeight w:val="170"/>
        </w:trPr>
        <w:tc>
          <w:tcPr>
            <w:tcW w:w="3740" w:type="dxa"/>
            <w:vAlign w:val="bottom"/>
          </w:tcPr>
          <w:p>
            <w:pPr>
              <w:ind w:left="20"/>
              <w:spacing w:after="0" w:line="171" w:lineRule="exact"/>
              <w:rPr>
                <w:sz w:val="20"/>
                <w:szCs w:val="20"/>
                <w:color w:val="auto"/>
              </w:rPr>
            </w:pPr>
            <w:r>
              <w:rPr>
                <w:rFonts w:ascii="Arial" w:cs="Arial" w:eastAsia="Arial" w:hAnsi="Arial"/>
                <w:sz w:val="16"/>
                <w:szCs w:val="16"/>
                <w:color w:val="auto"/>
              </w:rPr>
              <w:t>outstanding</w:t>
            </w:r>
          </w:p>
        </w:tc>
        <w:tc>
          <w:tcPr>
            <w:tcW w:w="8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Diluted net income (loss) per common share</w:t>
            </w:r>
          </w:p>
        </w:tc>
        <w:tc>
          <w:tcPr>
            <w:tcW w:w="84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0.03</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The diluted weighted-average shares outstanding exclude outstanding stock options, restricted stock units, performance restricted stock units and shares to be purchased under the employee stock purchase plan totaling 624 and 1,049 for the three months ended December 31, 2021 and 2020, respectively, and 566 and 5,160 for the nine months ended December 31, 2021 and 2020, because the effect would have been anti-dilutive.</w:t>
      </w:r>
    </w:p>
    <w:p>
      <w:pPr>
        <w:spacing w:after="0" w:line="371" w:lineRule="exact"/>
        <w:rPr>
          <w:sz w:val="20"/>
          <w:szCs w:val="20"/>
          <w:color w:val="auto"/>
        </w:rPr>
      </w:pPr>
    </w:p>
    <w:p>
      <w:pPr>
        <w:ind w:left="340" w:hanging="334"/>
        <w:spacing w:after="0"/>
        <w:tabs>
          <w:tab w:leader="none" w:pos="340" w:val="left"/>
        </w:tabs>
        <w:numPr>
          <w:ilvl w:val="0"/>
          <w:numId w:val="7"/>
        </w:numPr>
        <w:rPr>
          <w:rFonts w:ascii="Arial" w:cs="Arial" w:eastAsia="Arial" w:hAnsi="Arial"/>
          <w:sz w:val="18"/>
          <w:szCs w:val="18"/>
          <w:b w:val="1"/>
          <w:bCs w:val="1"/>
          <w:color w:val="00B2A9"/>
        </w:rPr>
      </w:pPr>
      <w:r>
        <w:rPr>
          <w:rFonts w:ascii="Arial" w:cs="Arial" w:eastAsia="Arial" w:hAnsi="Arial"/>
          <w:sz w:val="18"/>
          <w:szCs w:val="18"/>
          <w:b w:val="1"/>
          <w:bCs w:val="1"/>
          <w:color w:val="00B2A9"/>
        </w:rPr>
        <w:t>Commitments and Contingencies</w:t>
      </w:r>
    </w:p>
    <w:p>
      <w:pPr>
        <w:spacing w:after="0" w:line="186"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During the second quarter of fiscal 2022, we entered into a settlement agreement resulting in a $2,500 gain which resolved certain legal matters. The settlement amount is recorded in General and administrative expenses net against related legal expenses.</w:t>
      </w:r>
    </w:p>
    <w:p>
      <w:pPr>
        <w:spacing w:after="0" w:line="150"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We do not believe that we are currently party to any pending legal action that could reasonably be expected to have a material adverse effect on our business or operating results.</w:t>
      </w:r>
    </w:p>
    <w:p>
      <w:pPr>
        <w:spacing w:after="0" w:line="367" w:lineRule="exact"/>
        <w:rPr>
          <w:sz w:val="20"/>
          <w:szCs w:val="20"/>
          <w:color w:val="auto"/>
        </w:rPr>
      </w:pPr>
    </w:p>
    <w:p>
      <w:pPr>
        <w:ind w:left="340" w:hanging="334"/>
        <w:spacing w:after="0"/>
        <w:tabs>
          <w:tab w:leader="none" w:pos="340" w:val="left"/>
        </w:tabs>
        <w:numPr>
          <w:ilvl w:val="0"/>
          <w:numId w:val="8"/>
        </w:numPr>
        <w:rPr>
          <w:rFonts w:ascii="Arial" w:cs="Arial" w:eastAsia="Arial" w:hAnsi="Arial"/>
          <w:sz w:val="18"/>
          <w:szCs w:val="18"/>
          <w:b w:val="1"/>
          <w:bCs w:val="1"/>
          <w:color w:val="00B2A9"/>
        </w:rPr>
      </w:pPr>
      <w:r>
        <w:rPr>
          <w:rFonts w:ascii="Arial" w:cs="Arial" w:eastAsia="Arial" w:hAnsi="Arial"/>
          <w:sz w:val="18"/>
          <w:szCs w:val="18"/>
          <w:b w:val="1"/>
          <w:bCs w:val="1"/>
          <w:color w:val="00B2A9"/>
        </w:rPr>
        <w:t>Capitalization</w:t>
      </w:r>
    </w:p>
    <w:p>
      <w:pPr>
        <w:spacing w:after="0" w:line="186"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Our stock repurchase program has been funded by our existing cash and cash equivalent balances, as well as cash flows provided by our operations.</w:t>
      </w:r>
    </w:p>
    <w:p>
      <w:pPr>
        <w:spacing w:after="0" w:line="15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Our Board has approved, and we intend to execute, a capital allocation policy that provides for the repurchase of $200,000 of our common stock for the period from February 1, 2021 through the end of our 2022 fiscal year, plus the use of approximately 75% of our fiscal 2022 free cash flow for additional repurchases during fiscal year 2022. From the period beginning February 1, 2021 through December 31, 2021 we have repurchased $327,542 of our common stock.</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66" w:lineRule="exact"/>
        <w:rPr>
          <w:sz w:val="20"/>
          <w:szCs w:val="20"/>
          <w:color w:val="auto"/>
        </w:rPr>
      </w:pPr>
    </w:p>
    <w:p>
      <w:pPr>
        <w:ind w:left="340" w:hanging="334"/>
        <w:spacing w:after="0"/>
        <w:tabs>
          <w:tab w:leader="none" w:pos="340" w:val="left"/>
        </w:tabs>
        <w:numPr>
          <w:ilvl w:val="0"/>
          <w:numId w:val="9"/>
        </w:numPr>
        <w:rPr>
          <w:rFonts w:ascii="Arial" w:cs="Arial" w:eastAsia="Arial" w:hAnsi="Arial"/>
          <w:sz w:val="18"/>
          <w:szCs w:val="18"/>
          <w:b w:val="1"/>
          <w:bCs w:val="1"/>
          <w:color w:val="00B2A9"/>
        </w:rPr>
      </w:pPr>
      <w:r>
        <w:rPr>
          <w:rFonts w:ascii="Arial" w:cs="Arial" w:eastAsia="Arial" w:hAnsi="Arial"/>
          <w:sz w:val="18"/>
          <w:szCs w:val="18"/>
          <w:b w:val="1"/>
          <w:bCs w:val="1"/>
          <w:color w:val="00B2A9"/>
        </w:rPr>
        <w:t>Stock Plans</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The following table presents the stock-based compensation expense included in Cost of services revenue, Sales and marketing, Research and development, General and administrative expenses and Restructuring expenses for the three and nine months ended December 31, 2021 and 2020. Stock-based compensation is attributable to stock options, restricted stock units, performance-based awards and the employee stock purchase plan.</w:t>
      </w:r>
    </w:p>
    <w:p>
      <w:pPr>
        <w:spacing w:after="0" w:line="270"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December 31,</w:t>
            </w:r>
          </w:p>
        </w:tc>
        <w:tc>
          <w:tcPr>
            <w:tcW w:w="140" w:type="dxa"/>
            <w:vAlign w:val="bottom"/>
          </w:tcPr>
          <w:p>
            <w:pPr>
              <w:spacing w:after="0"/>
              <w:rPr>
                <w:sz w:val="18"/>
                <w:szCs w:val="18"/>
                <w:color w:val="auto"/>
              </w:rPr>
            </w:pPr>
          </w:p>
        </w:tc>
        <w:tc>
          <w:tcPr>
            <w:tcW w:w="2740" w:type="dxa"/>
            <w:vAlign w:val="bottom"/>
            <w:gridSpan w:val="4"/>
          </w:tcPr>
          <w:p>
            <w:pPr>
              <w:jc w:val="right"/>
              <w:ind w:right="81"/>
              <w:spacing w:after="0"/>
              <w:rPr>
                <w:sz w:val="20"/>
                <w:szCs w:val="20"/>
                <w:color w:val="auto"/>
              </w:rPr>
            </w:pPr>
            <w:r>
              <w:rPr>
                <w:rFonts w:ascii="Arial" w:cs="Arial" w:eastAsia="Arial" w:hAnsi="Arial"/>
                <w:sz w:val="16"/>
                <w:szCs w:val="16"/>
                <w:b w:val="1"/>
                <w:bCs w:val="1"/>
                <w:color w:val="auto"/>
                <w:w w:val="99"/>
              </w:rPr>
              <w:t>Nine Months Ended December 31,</w:t>
            </w:r>
          </w:p>
        </w:tc>
      </w:tr>
      <w:tr>
        <w:trPr>
          <w:trHeight w:val="208"/>
        </w:trPr>
        <w:tc>
          <w:tcPr>
            <w:tcW w:w="4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w:t>
            </w:r>
          </w:p>
        </w:tc>
      </w:tr>
      <w:tr>
        <w:trPr>
          <w:trHeight w:val="209"/>
        </w:trPr>
        <w:tc>
          <w:tcPr>
            <w:tcW w:w="41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10,073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9,714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27,355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25,906</w:t>
            </w:r>
          </w:p>
        </w:tc>
      </w:tr>
      <w:tr>
        <w:trPr>
          <w:trHeight w:val="21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9,127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17,722</w:t>
            </w:r>
          </w:p>
        </w:tc>
      </w:tr>
      <w:tr>
        <w:trPr>
          <w:trHeight w:val="210"/>
        </w:trPr>
        <w:tc>
          <w:tcPr>
            <w:tcW w:w="41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8,193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4,021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20,977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13,735</w:t>
            </w:r>
          </w:p>
        </w:tc>
      </w:tr>
      <w:tr>
        <w:trPr>
          <w:trHeight w:val="21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w:t>
            </w:r>
          </w:p>
        </w:tc>
      </w:tr>
      <w:tr>
        <w:trPr>
          <w:trHeight w:val="203"/>
        </w:trPr>
        <w:tc>
          <w:tcPr>
            <w:tcW w:w="41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28,533</w:t>
            </w:r>
          </w:p>
        </w:tc>
        <w:tc>
          <w:tcPr>
            <w:tcW w:w="1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22,037</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76,793</w:t>
            </w: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61,572</w:t>
            </w:r>
          </w:p>
        </w:tc>
      </w:tr>
      <w:tr>
        <w:trPr>
          <w:trHeight w:val="22"/>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both"/>
        <w:ind w:right="340" w:firstLine="437"/>
        <w:spacing w:after="0" w:line="248" w:lineRule="auto"/>
        <w:rPr>
          <w:sz w:val="20"/>
          <w:szCs w:val="20"/>
          <w:color w:val="auto"/>
        </w:rPr>
      </w:pPr>
      <w:r>
        <w:rPr>
          <w:rFonts w:ascii="Arial" w:cs="Arial" w:eastAsia="Arial" w:hAnsi="Arial"/>
          <w:sz w:val="18"/>
          <w:szCs w:val="18"/>
          <w:color w:val="auto"/>
        </w:rPr>
        <w:t>As of December 31, 2021, there was $167,282 of unrecognized stock-based compensation expense that is expected to be recognized over a weighted-average period of 1.87 years. We account for forfeitures as they occur. To the extent that awards are forfeited, stock-based compensation will be different from our current estimate.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 Options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for the nine months ended December 31, 2021 is as follows:</w:t>
      </w:r>
    </w:p>
    <w:p>
      <w:pPr>
        <w:spacing w:after="0" w:line="166"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ind w:left="640"/>
              <w:spacing w:after="0"/>
              <w:rPr>
                <w:sz w:val="20"/>
                <w:szCs w:val="20"/>
                <w:color w:val="auto"/>
              </w:rPr>
            </w:pPr>
            <w:r>
              <w:rPr>
                <w:rFonts w:ascii="Arial" w:cs="Arial" w:eastAsia="Arial" w:hAnsi="Arial"/>
                <w:sz w:val="16"/>
                <w:szCs w:val="16"/>
                <w:b w:val="1"/>
                <w:bCs w:val="1"/>
                <w:color w:val="auto"/>
              </w:rPr>
              <w:t>Weighted-</w:t>
            </w: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4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Number of</w:t>
            </w:r>
          </w:p>
        </w:tc>
        <w:tc>
          <w:tcPr>
            <w:tcW w:w="2000" w:type="dxa"/>
            <w:vAlign w:val="bottom"/>
            <w:gridSpan w:val="3"/>
            <w:vMerge w:val="restart"/>
          </w:tcPr>
          <w:p>
            <w:pPr>
              <w:ind w:left="480"/>
              <w:spacing w:after="0"/>
              <w:rPr>
                <w:sz w:val="20"/>
                <w:szCs w:val="20"/>
                <w:color w:val="auto"/>
              </w:rPr>
            </w:pPr>
            <w:r>
              <w:rPr>
                <w:rFonts w:ascii="Arial" w:cs="Arial" w:eastAsia="Arial" w:hAnsi="Arial"/>
                <w:sz w:val="16"/>
                <w:szCs w:val="16"/>
                <w:b w:val="1"/>
                <w:bCs w:val="1"/>
                <w:color w:val="auto"/>
              </w:rPr>
              <w:t>Weighted-Average</w:t>
            </w:r>
          </w:p>
        </w:tc>
        <w:tc>
          <w:tcPr>
            <w:tcW w:w="17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9"/>
              </w:rPr>
              <w:t>Average Remaining</w:t>
            </w:r>
          </w:p>
        </w:tc>
        <w:tc>
          <w:tcPr>
            <w:tcW w:w="600" w:type="dxa"/>
            <w:vAlign w:val="bottom"/>
          </w:tcPr>
          <w:p>
            <w:pPr>
              <w:spacing w:after="0"/>
              <w:rPr>
                <w:sz w:val="13"/>
                <w:szCs w:val="13"/>
                <w:color w:val="auto"/>
              </w:rPr>
            </w:pPr>
          </w:p>
        </w:tc>
        <w:tc>
          <w:tcPr>
            <w:tcW w:w="110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59"/>
        </w:trPr>
        <w:tc>
          <w:tcPr>
            <w:tcW w:w="3360" w:type="dxa"/>
            <w:vAlign w:val="bottom"/>
            <w:gridSpan w:val="3"/>
            <w:vMerge w:val="restart"/>
          </w:tcPr>
          <w:p>
            <w:pPr>
              <w:ind w:left="460"/>
              <w:spacing w:after="0"/>
              <w:rPr>
                <w:sz w:val="20"/>
                <w:szCs w:val="20"/>
                <w:color w:val="auto"/>
              </w:rPr>
            </w:pPr>
            <w:r>
              <w:rPr>
                <w:rFonts w:ascii="Arial" w:cs="Arial" w:eastAsia="Arial" w:hAnsi="Arial"/>
                <w:sz w:val="16"/>
                <w:szCs w:val="16"/>
                <w:b w:val="1"/>
                <w:bCs w:val="1"/>
                <w:color w:val="auto"/>
              </w:rPr>
              <w:t>Options</w:t>
            </w:r>
          </w:p>
        </w:tc>
        <w:tc>
          <w:tcPr>
            <w:tcW w:w="1440" w:type="dxa"/>
            <w:vAlign w:val="bottom"/>
            <w:gridSpan w:val="2"/>
            <w:vMerge w:val="continue"/>
          </w:tcPr>
          <w:p>
            <w:pPr>
              <w:spacing w:after="0"/>
              <w:rPr>
                <w:sz w:val="13"/>
                <w:szCs w:val="13"/>
                <w:color w:val="auto"/>
              </w:rPr>
            </w:pPr>
          </w:p>
        </w:tc>
        <w:tc>
          <w:tcPr>
            <w:tcW w:w="2000" w:type="dxa"/>
            <w:vAlign w:val="bottom"/>
            <w:gridSpan w:val="3"/>
            <w:vMerge w:val="continue"/>
          </w:tcPr>
          <w:p>
            <w:pPr>
              <w:spacing w:after="0"/>
              <w:rPr>
                <w:sz w:val="13"/>
                <w:szCs w:val="13"/>
                <w:color w:val="auto"/>
              </w:rPr>
            </w:pPr>
          </w:p>
        </w:tc>
        <w:tc>
          <w:tcPr>
            <w:tcW w:w="17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9"/>
              </w:rPr>
              <w:t>Contractual Term</w:t>
            </w:r>
          </w:p>
        </w:tc>
        <w:tc>
          <w:tcPr>
            <w:tcW w:w="6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60" w:type="dxa"/>
            <w:vAlign w:val="bottom"/>
            <w:gridSpan w:val="3"/>
            <w:vMerge w:val="continue"/>
          </w:tcPr>
          <w:p>
            <w:pPr>
              <w:spacing w:after="0"/>
              <w:rPr>
                <w:sz w:val="14"/>
                <w:szCs w:val="14"/>
                <w:color w:val="auto"/>
              </w:rPr>
            </w:pPr>
          </w:p>
        </w:tc>
        <w:tc>
          <w:tcPr>
            <w:tcW w:w="1440" w:type="dxa"/>
            <w:vAlign w:val="bottom"/>
            <w:gridSpan w:val="2"/>
          </w:tcPr>
          <w:p>
            <w:pPr>
              <w:ind w:left="380"/>
              <w:spacing w:after="0" w:line="172" w:lineRule="exact"/>
              <w:rPr>
                <w:sz w:val="20"/>
                <w:szCs w:val="20"/>
                <w:color w:val="auto"/>
              </w:rPr>
            </w:pPr>
            <w:r>
              <w:rPr>
                <w:rFonts w:ascii="Arial" w:cs="Arial" w:eastAsia="Arial" w:hAnsi="Arial"/>
                <w:sz w:val="16"/>
                <w:szCs w:val="16"/>
                <w:b w:val="1"/>
                <w:bCs w:val="1"/>
                <w:color w:val="auto"/>
              </w:rPr>
              <w:t>Options</w:t>
            </w:r>
          </w:p>
        </w:tc>
        <w:tc>
          <w:tcPr>
            <w:tcW w:w="2000" w:type="dxa"/>
            <w:vAlign w:val="bottom"/>
            <w:gridSpan w:val="3"/>
          </w:tcPr>
          <w:p>
            <w:pPr>
              <w:ind w:left="400"/>
              <w:spacing w:after="0" w:line="172" w:lineRule="exact"/>
              <w:rPr>
                <w:sz w:val="20"/>
                <w:szCs w:val="20"/>
                <w:color w:val="auto"/>
              </w:rPr>
            </w:pPr>
            <w:r>
              <w:rPr>
                <w:rFonts w:ascii="Arial" w:cs="Arial" w:eastAsia="Arial" w:hAnsi="Arial"/>
                <w:sz w:val="16"/>
                <w:szCs w:val="16"/>
                <w:b w:val="1"/>
                <w:bCs w:val="1"/>
                <w:color w:val="auto"/>
              </w:rPr>
              <w:t>Exercise Price</w:t>
            </w:r>
          </w:p>
        </w:tc>
        <w:tc>
          <w:tcPr>
            <w:tcW w:w="1700" w:type="dxa"/>
            <w:vAlign w:val="bottom"/>
            <w:gridSpan w:val="2"/>
          </w:tcPr>
          <w:p>
            <w:pPr>
              <w:jc w:val="center"/>
              <w:ind w:right="100"/>
              <w:spacing w:after="0" w:line="172" w:lineRule="exact"/>
              <w:rPr>
                <w:sz w:val="20"/>
                <w:szCs w:val="20"/>
                <w:color w:val="auto"/>
              </w:rPr>
            </w:pPr>
            <w:r>
              <w:rPr>
                <w:rFonts w:ascii="Arial" w:cs="Arial" w:eastAsia="Arial" w:hAnsi="Arial"/>
                <w:sz w:val="16"/>
                <w:szCs w:val="16"/>
                <w:b w:val="1"/>
                <w:bCs w:val="1"/>
                <w:color w:val="auto"/>
                <w:w w:val="95"/>
              </w:rPr>
              <w:t>(Years)</w:t>
            </w:r>
          </w:p>
        </w:tc>
        <w:tc>
          <w:tcPr>
            <w:tcW w:w="1700" w:type="dxa"/>
            <w:vAlign w:val="bottom"/>
            <w:gridSpan w:val="2"/>
          </w:tcPr>
          <w:p>
            <w:pPr>
              <w:jc w:val="right"/>
              <w:ind w:right="241"/>
              <w:spacing w:after="0" w:line="172" w:lineRule="exact"/>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36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Outstanding as of March 31, 2021</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1,357</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62.06</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6"/>
                <w:szCs w:val="16"/>
                <w:color w:val="auto"/>
              </w:rPr>
              <w:t>Options granted</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Options 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46.41</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900" w:type="dxa"/>
            <w:vAlign w:val="bottom"/>
            <w:gridSpan w:val="2"/>
          </w:tcPr>
          <w:p>
            <w:pPr>
              <w:ind w:left="220"/>
              <w:spacing w:after="0"/>
              <w:rPr>
                <w:sz w:val="20"/>
                <w:szCs w:val="20"/>
                <w:color w:val="auto"/>
              </w:rPr>
            </w:pPr>
            <w:r>
              <w:rPr>
                <w:rFonts w:ascii="Arial" w:cs="Arial" w:eastAsia="Arial" w:hAnsi="Arial"/>
                <w:sz w:val="16"/>
                <w:szCs w:val="16"/>
                <w:color w:val="auto"/>
              </w:rPr>
              <w:t>Options forfeited</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Options 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86.55</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60" w:type="dxa"/>
            <w:vAlign w:val="bottom"/>
            <w:gridSpan w:val="3"/>
          </w:tcPr>
          <w:p>
            <w:pPr>
              <w:ind w:left="460"/>
              <w:spacing w:after="0"/>
              <w:rPr>
                <w:sz w:val="20"/>
                <w:szCs w:val="20"/>
                <w:color w:val="auto"/>
              </w:rPr>
            </w:pPr>
            <w:r>
              <w:rPr>
                <w:rFonts w:ascii="Arial" w:cs="Arial" w:eastAsia="Arial" w:hAnsi="Arial"/>
                <w:sz w:val="16"/>
                <w:szCs w:val="16"/>
                <w:color w:val="auto"/>
              </w:rPr>
              <w:t>Outstanding as of December 31, 2021</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926</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67.93</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8,367</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6"/>
                <w:szCs w:val="16"/>
                <w:color w:val="auto"/>
              </w:rPr>
              <w:t>Exercisable as of December 31, 2021</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926</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67.93</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8,367</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The total intrinsic value of options exercised was $12,631 for the nine months ended December 31, 2021 and $1,287 for the nine months ended December 31,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for the nine months ended December 31, 2021 is as follows:</w:t>
      </w:r>
    </w:p>
    <w:p>
      <w:pPr>
        <w:spacing w:after="0" w:line="259"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2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Number of</w:t>
            </w:r>
          </w:p>
        </w:tc>
        <w:tc>
          <w:tcPr>
            <w:tcW w:w="200" w:type="dxa"/>
            <w:vAlign w:val="bottom"/>
          </w:tcPr>
          <w:p>
            <w:pPr>
              <w:spacing w:after="0"/>
              <w:rPr>
                <w:sz w:val="15"/>
                <w:szCs w:val="15"/>
                <w:color w:val="auto"/>
              </w:rPr>
            </w:pPr>
          </w:p>
        </w:tc>
        <w:tc>
          <w:tcPr>
            <w:tcW w:w="14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Weighted-</w:t>
            </w:r>
          </w:p>
        </w:tc>
        <w:tc>
          <w:tcPr>
            <w:tcW w:w="0" w:type="dxa"/>
            <w:vAlign w:val="bottom"/>
          </w:tcPr>
          <w:p>
            <w:pPr>
              <w:spacing w:after="0"/>
              <w:rPr>
                <w:sz w:val="1"/>
                <w:szCs w:val="1"/>
                <w:color w:val="auto"/>
              </w:rPr>
            </w:pPr>
          </w:p>
        </w:tc>
      </w:tr>
      <w:tr>
        <w:trPr>
          <w:trHeight w:val="159"/>
        </w:trPr>
        <w:tc>
          <w:tcPr>
            <w:tcW w:w="5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Non-vested Restricted Stock Units</w:t>
            </w:r>
          </w:p>
        </w:tc>
        <w:tc>
          <w:tcPr>
            <w:tcW w:w="14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right="121"/>
              <w:spacing w:after="0" w:line="159" w:lineRule="exact"/>
              <w:rPr>
                <w:sz w:val="20"/>
                <w:szCs w:val="20"/>
                <w:color w:val="auto"/>
              </w:rPr>
            </w:pPr>
            <w:r>
              <w:rPr>
                <w:rFonts w:ascii="Arial" w:cs="Arial" w:eastAsia="Arial" w:hAnsi="Arial"/>
                <w:sz w:val="16"/>
                <w:szCs w:val="16"/>
                <w:b w:val="1"/>
                <w:bCs w:val="1"/>
                <w:color w:val="auto"/>
                <w:w w:val="97"/>
              </w:rPr>
              <w:t>Average Grant</w:t>
            </w:r>
          </w:p>
        </w:tc>
        <w:tc>
          <w:tcPr>
            <w:tcW w:w="0" w:type="dxa"/>
            <w:vAlign w:val="bottom"/>
          </w:tcPr>
          <w:p>
            <w:pPr>
              <w:spacing w:after="0"/>
              <w:rPr>
                <w:sz w:val="1"/>
                <w:szCs w:val="1"/>
                <w:color w:val="auto"/>
              </w:rPr>
            </w:pPr>
          </w:p>
        </w:tc>
      </w:tr>
      <w:tr>
        <w:trPr>
          <w:trHeight w:val="172"/>
        </w:trPr>
        <w:tc>
          <w:tcPr>
            <w:tcW w:w="5680" w:type="dxa"/>
            <w:vAlign w:val="bottom"/>
            <w:gridSpan w:val="2"/>
            <w:vMerge w:val="continue"/>
          </w:tcPr>
          <w:p>
            <w:pPr>
              <w:spacing w:after="0"/>
              <w:rPr>
                <w:sz w:val="14"/>
                <w:szCs w:val="14"/>
                <w:color w:val="auto"/>
              </w:rPr>
            </w:pPr>
          </w:p>
        </w:tc>
        <w:tc>
          <w:tcPr>
            <w:tcW w:w="1460" w:type="dxa"/>
            <w:vAlign w:val="bottom"/>
            <w:gridSpan w:val="2"/>
          </w:tcPr>
          <w:p>
            <w:pPr>
              <w:jc w:val="center"/>
              <w:ind w:right="200"/>
              <w:spacing w:after="0" w:line="172" w:lineRule="exact"/>
              <w:rPr>
                <w:sz w:val="20"/>
                <w:szCs w:val="20"/>
                <w:color w:val="auto"/>
              </w:rPr>
            </w:pPr>
            <w:r>
              <w:rPr>
                <w:rFonts w:ascii="Arial" w:cs="Arial" w:eastAsia="Arial" w:hAnsi="Arial"/>
                <w:sz w:val="16"/>
                <w:szCs w:val="16"/>
                <w:b w:val="1"/>
                <w:bCs w:val="1"/>
                <w:color w:val="auto"/>
              </w:rPr>
              <w:t>Awards</w:t>
            </w:r>
          </w:p>
        </w:tc>
        <w:tc>
          <w:tcPr>
            <w:tcW w:w="200" w:type="dxa"/>
            <w:vAlign w:val="bottom"/>
          </w:tcPr>
          <w:p>
            <w:pPr>
              <w:spacing w:after="0"/>
              <w:rPr>
                <w:sz w:val="14"/>
                <w:szCs w:val="14"/>
                <w:color w:val="auto"/>
              </w:rPr>
            </w:pPr>
          </w:p>
        </w:tc>
        <w:tc>
          <w:tcPr>
            <w:tcW w:w="1480" w:type="dxa"/>
            <w:vAlign w:val="bottom"/>
          </w:tcPr>
          <w:p>
            <w:pPr>
              <w:jc w:val="center"/>
              <w:ind w:right="101"/>
              <w:spacing w:after="0" w:line="172" w:lineRule="exact"/>
              <w:rPr>
                <w:sz w:val="20"/>
                <w:szCs w:val="20"/>
                <w:color w:val="auto"/>
              </w:rPr>
            </w:pPr>
            <w:r>
              <w:rPr>
                <w:rFonts w:ascii="Arial" w:cs="Arial" w:eastAsia="Arial" w:hAnsi="Arial"/>
                <w:sz w:val="16"/>
                <w:szCs w:val="16"/>
                <w:b w:val="1"/>
                <w:bCs w:val="1"/>
                <w:color w:val="auto"/>
                <w:w w:val="98"/>
              </w:rPr>
              <w:t>Date Fair Value</w:t>
            </w:r>
          </w:p>
        </w:tc>
        <w:tc>
          <w:tcPr>
            <w:tcW w:w="0" w:type="dxa"/>
            <w:vAlign w:val="bottom"/>
          </w:tcPr>
          <w:p>
            <w:pPr>
              <w:spacing w:after="0"/>
              <w:rPr>
                <w:sz w:val="1"/>
                <w:szCs w:val="1"/>
                <w:color w:val="auto"/>
              </w:rPr>
            </w:pPr>
          </w:p>
        </w:tc>
      </w:tr>
      <w:tr>
        <w:trPr>
          <w:trHeight w:val="20"/>
        </w:trPr>
        <w:tc>
          <w:tcPr>
            <w:tcW w:w="262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Non-vested as of March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44.90</w:t>
            </w:r>
          </w:p>
        </w:tc>
        <w:tc>
          <w:tcPr>
            <w:tcW w:w="0" w:type="dxa"/>
            <w:vAlign w:val="bottom"/>
          </w:tcPr>
          <w:p>
            <w:pPr>
              <w:spacing w:after="0"/>
              <w:rPr>
                <w:sz w:val="1"/>
                <w:szCs w:val="1"/>
                <w:color w:val="auto"/>
              </w:rPr>
            </w:pPr>
          </w:p>
        </w:tc>
      </w:tr>
      <w:tr>
        <w:trPr>
          <w:trHeight w:val="210"/>
        </w:trPr>
        <w:tc>
          <w:tcPr>
            <w:tcW w:w="5680" w:type="dxa"/>
            <w:vAlign w:val="bottom"/>
            <w:gridSpan w:val="2"/>
          </w:tcPr>
          <w:p>
            <w:pPr>
              <w:ind w:left="320"/>
              <w:spacing w:after="0"/>
              <w:rPr>
                <w:sz w:val="20"/>
                <w:szCs w:val="20"/>
                <w:color w:val="auto"/>
              </w:rPr>
            </w:pPr>
            <w:r>
              <w:rPr>
                <w:rFonts w:ascii="Arial" w:cs="Arial" w:eastAsia="Arial" w:hAnsi="Arial"/>
                <w:sz w:val="16"/>
                <w:szCs w:val="16"/>
                <w:color w:val="auto"/>
              </w:rPr>
              <w:t>Awarded</w:t>
            </w:r>
          </w:p>
        </w:tc>
        <w:tc>
          <w:tcPr>
            <w:tcW w:w="1240" w:type="dxa"/>
            <w:vAlign w:val="bottom"/>
          </w:tcPr>
          <w:p>
            <w:pPr>
              <w:jc w:val="right"/>
              <w:spacing w:after="0"/>
              <w:rPr>
                <w:sz w:val="20"/>
                <w:szCs w:val="20"/>
                <w:color w:val="auto"/>
              </w:rPr>
            </w:pPr>
            <w:r>
              <w:rPr>
                <w:rFonts w:ascii="Arial" w:cs="Arial" w:eastAsia="Arial" w:hAnsi="Arial"/>
                <w:sz w:val="16"/>
                <w:szCs w:val="16"/>
                <w:color w:val="auto"/>
              </w:rPr>
              <w:t>1,806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70.14</w:t>
            </w:r>
          </w:p>
        </w:tc>
        <w:tc>
          <w:tcPr>
            <w:tcW w:w="0" w:type="dxa"/>
            <w:vAlign w:val="bottom"/>
          </w:tcPr>
          <w:p>
            <w:pPr>
              <w:spacing w:after="0"/>
              <w:rPr>
                <w:sz w:val="1"/>
                <w:szCs w:val="1"/>
                <w:color w:val="auto"/>
              </w:rPr>
            </w:pPr>
          </w:p>
        </w:tc>
      </w:tr>
      <w:tr>
        <w:trPr>
          <w:trHeight w:val="215"/>
        </w:trPr>
        <w:tc>
          <w:tcPr>
            <w:tcW w:w="56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45.05</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49.41</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Non-vested as of December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57.21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The weighted-average fair value of restricted stock units awarded was $67.34 and $70.14 per unit during the three and nine months ended December 31, 2021, and $43.70 and $41.01 per unit during the three and nine months ended December 31, 2020. The weighted-average fair value of awards includes the awards with a market condition described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186"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In the nine months ended December 31, 2021, we granted 119 performance restricted stock units ("PSUs") to certain executives. Vesting of these awards is contingent upon i) us meeting certain revenue and non-GAAP performance goals (performance-based) in fiscal 2022 and ii) our customary service periods. The awards vest over three years. These awards generally have potential to vest at 200% based on actual fiscal 2022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86"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In the nine months ended December 31, 2021, we granted 105 market performance stock units to certain executives. The vesting of these awards is contingent upon us meeting certain total shareholder return ("TSR") levels as compared to the Russell 3000 market index over the next three years. The awards vest in three annual tranches and have a maximum potential to vest at 200% (210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nine months ended December 31, 2021 was $87.74 per unit. The awards are included in the restricted stock unit table.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6"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The Employee Stock Purchase Plan (the “Purchase Plan”) is a shareholder approved plan under which substantially all employees may purchase our common stock through payroll deductions at a price equal to 85% of the lower of the fair market values of the stock as of the beginning or the end of six-month offering periods. An employee’s payroll deductions under the Purchase Plan are limited to 10% of the employee’s salary and employees may not purchase more than $25 of stock during any calendar year. Employees purchased 85 shares in exchange for $5,160 of proceeds in the nine months ended December 31, 2021 and 129 shares in exchange for $4,652 of proceeds in the nine months ended December 31, 2020. The Purchase Plan is considered compensatory and the fair value of the discount and look back provision are estimated using the Black-Scholes formula and recognized over the six-month withholding period prior to purchase. The total expense associated with the Purchase Plan for the nine months ended December 31, 2021 and 2020 was $2,428 and $2,528, respectively. As of December 31, 2021, there was approximately $430 of unrecognized cost related to the current purchase period of our Purchase Plan.</w:t>
      </w:r>
    </w:p>
    <w:p>
      <w:pPr>
        <w:spacing w:after="0" w:line="200" w:lineRule="exact"/>
        <w:rPr>
          <w:sz w:val="20"/>
          <w:szCs w:val="20"/>
          <w:color w:val="auto"/>
        </w:rPr>
      </w:pPr>
    </w:p>
    <w:p>
      <w:pPr>
        <w:spacing w:after="0" w:line="333" w:lineRule="exact"/>
        <w:rPr>
          <w:sz w:val="20"/>
          <w:szCs w:val="20"/>
          <w:color w:val="auto"/>
        </w:rPr>
      </w:pPr>
    </w:p>
    <w:p>
      <w:pPr>
        <w:ind w:left="340" w:hanging="334"/>
        <w:spacing w:after="0"/>
        <w:tabs>
          <w:tab w:leader="none" w:pos="340" w:val="left"/>
        </w:tabs>
        <w:numPr>
          <w:ilvl w:val="0"/>
          <w:numId w:val="10"/>
        </w:numPr>
        <w:rPr>
          <w:rFonts w:ascii="Arial" w:cs="Arial" w:eastAsia="Arial" w:hAnsi="Arial"/>
          <w:sz w:val="18"/>
          <w:szCs w:val="18"/>
          <w:b w:val="1"/>
          <w:bCs w:val="1"/>
          <w:color w:val="00B2A9"/>
        </w:rPr>
      </w:pPr>
      <w:r>
        <w:rPr>
          <w:rFonts w:ascii="Arial" w:cs="Arial" w:eastAsia="Arial" w:hAnsi="Arial"/>
          <w:sz w:val="18"/>
          <w:szCs w:val="18"/>
          <w:b w:val="1"/>
          <w:bCs w:val="1"/>
          <w:color w:val="00B2A9"/>
        </w:rPr>
        <w:t>Income Taxes</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Income tax expense was $3,018 and $5,573 in the three and nine months ended December 31, 2021 compared to expense of $1,162 and $5,373 in the three and nine months ended December 31, 2020. Current income tax expense relates primarily to current foreign taxes. We believe that it is more likely than not that we will not realize the benefits of our gross deferred tax assets and therefore continue to record a valuation allowance to reduce the carrying value of these gross deferred tax assets, net of the impact of the reversal of taxable temporary differences, to zero as of December 31, 2021.</w:t>
      </w:r>
    </w:p>
    <w:p>
      <w:pPr>
        <w:spacing w:after="0" w:line="370" w:lineRule="exact"/>
        <w:rPr>
          <w:sz w:val="20"/>
          <w:szCs w:val="20"/>
          <w:color w:val="auto"/>
        </w:rPr>
      </w:pPr>
    </w:p>
    <w:p>
      <w:pPr>
        <w:ind w:left="340" w:hanging="334"/>
        <w:spacing w:after="0"/>
        <w:tabs>
          <w:tab w:leader="none" w:pos="340" w:val="left"/>
        </w:tabs>
        <w:numPr>
          <w:ilvl w:val="0"/>
          <w:numId w:val="11"/>
        </w:numPr>
        <w:rPr>
          <w:rFonts w:ascii="Arial" w:cs="Arial" w:eastAsia="Arial" w:hAnsi="Arial"/>
          <w:sz w:val="18"/>
          <w:szCs w:val="18"/>
          <w:b w:val="1"/>
          <w:bCs w:val="1"/>
          <w:color w:val="00B2A9"/>
        </w:rPr>
      </w:pPr>
      <w:r>
        <w:rPr>
          <w:rFonts w:ascii="Arial" w:cs="Arial" w:eastAsia="Arial" w:hAnsi="Arial"/>
          <w:sz w:val="18"/>
          <w:szCs w:val="18"/>
          <w:b w:val="1"/>
          <w:bCs w:val="1"/>
          <w:color w:val="00B2A9"/>
        </w:rPr>
        <w:t>Restructuring</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Our restructuring plan, initiated in the first quarter of fiscal 2019, is aimed to increase efficiency in our sales, marketing and distribution functions, as well as reduce costs across all functional areas. These restructuring charges relate primarily to severance and related costs associated with headcount reductions, stock-based compensation related to modifications of existing unvested awards granted to certain employees impacted by the restructuring plan and lease abandonment charges.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Restructuring charges were comprised of the following:</w:t>
      </w:r>
    </w:p>
    <w:p>
      <w:pPr>
        <w:spacing w:after="0" w:line="266"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3780" w:type="dxa"/>
            <w:vAlign w:val="bottom"/>
          </w:tcPr>
          <w:p>
            <w:pPr>
              <w:spacing w:after="0"/>
              <w:rPr>
                <w:sz w:val="18"/>
                <w:szCs w:val="18"/>
                <w:color w:val="auto"/>
              </w:rPr>
            </w:pPr>
          </w:p>
        </w:tc>
        <w:tc>
          <w:tcPr>
            <w:tcW w:w="292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2720" w:type="dxa"/>
            <w:vAlign w:val="bottom"/>
            <w:gridSpan w:val="4"/>
          </w:tcPr>
          <w:p>
            <w:pPr>
              <w:jc w:val="right"/>
              <w:ind w:right="61"/>
              <w:spacing w:after="0"/>
              <w:rPr>
                <w:sz w:val="20"/>
                <w:szCs w:val="20"/>
                <w:color w:val="auto"/>
              </w:rPr>
            </w:pPr>
            <w:r>
              <w:rPr>
                <w:rFonts w:ascii="Arial" w:cs="Arial" w:eastAsia="Arial" w:hAnsi="Arial"/>
                <w:sz w:val="16"/>
                <w:szCs w:val="16"/>
                <w:b w:val="1"/>
                <w:bCs w:val="1"/>
                <w:color w:val="auto"/>
                <w:w w:val="99"/>
              </w:rPr>
              <w:t>Nine Months Ended December 31,</w:t>
            </w:r>
          </w:p>
        </w:tc>
      </w:tr>
      <w:tr>
        <w:trPr>
          <w:trHeight w:val="208"/>
        </w:trPr>
        <w:tc>
          <w:tcPr>
            <w:tcW w:w="37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5"/>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severance and related costs</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16,547</w:t>
            </w:r>
          </w:p>
        </w:tc>
      </w:tr>
      <w:tr>
        <w:trPr>
          <w:trHeight w:val="212"/>
        </w:trPr>
        <w:tc>
          <w:tcPr>
            <w:tcW w:w="3780" w:type="dxa"/>
            <w:vAlign w:val="bottom"/>
          </w:tcPr>
          <w:p>
            <w:pPr>
              <w:ind w:left="20"/>
              <w:spacing w:after="0" w:line="212" w:lineRule="exact"/>
              <w:rPr>
                <w:sz w:val="20"/>
                <w:szCs w:val="20"/>
                <w:color w:val="auto"/>
              </w:rPr>
            </w:pPr>
            <w:r>
              <w:rPr>
                <w:rFonts w:ascii="Arial" w:cs="Arial" w:eastAsia="Arial" w:hAnsi="Arial"/>
                <w:sz w:val="16"/>
                <w:szCs w:val="16"/>
                <w:color w:val="auto"/>
              </w:rPr>
              <w:t xml:space="preserve">Lease impairments and related costs </w:t>
            </w:r>
            <w:r>
              <w:rPr>
                <w:rFonts w:ascii="Arial" w:cs="Arial" w:eastAsia="Arial" w:hAnsi="Arial"/>
                <w:sz w:val="20"/>
                <w:szCs w:val="20"/>
                <w:color w:val="auto"/>
                <w:vertAlign w:val="superscript"/>
              </w:rPr>
              <w:t>(1)</w:t>
            </w:r>
          </w:p>
        </w:tc>
        <w:tc>
          <w:tcPr>
            <w:tcW w:w="10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1,304</w:t>
            </w: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1,858</w:t>
            </w:r>
          </w:p>
        </w:tc>
      </w:tr>
      <w:tr>
        <w:trPr>
          <w:trHeight w:val="208"/>
        </w:trPr>
        <w:tc>
          <w:tcPr>
            <w:tcW w:w="3780" w:type="dxa"/>
            <w:vAlign w:val="bottom"/>
          </w:tcPr>
          <w:p>
            <w:pPr>
              <w:ind w:left="20"/>
              <w:spacing w:after="0"/>
              <w:rPr>
                <w:sz w:val="20"/>
                <w:szCs w:val="20"/>
                <w:color w:val="auto"/>
              </w:rPr>
            </w:pPr>
            <w:r>
              <w:rPr>
                <w:rFonts w:ascii="Arial" w:cs="Arial" w:eastAsia="Arial" w:hAnsi="Arial"/>
                <w:sz w:val="16"/>
                <w:szCs w:val="16"/>
                <w:color w:val="auto"/>
              </w:rPr>
              <w:t>Total restructuring charges</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11,618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19,709</w:t>
            </w:r>
          </w:p>
        </w:tc>
      </w:tr>
      <w:tr>
        <w:trPr>
          <w:trHeight w:val="20"/>
        </w:trPr>
        <w:tc>
          <w:tcPr>
            <w:tcW w:w="3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p>
      <w:pPr>
        <w:ind w:left="640" w:firstLine="2"/>
        <w:spacing w:after="0" w:line="269" w:lineRule="auto"/>
        <w:tabs>
          <w:tab w:leader="none" w:pos="812"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Lease impairment charges for the three and nine months ended December 31, 2020 relate to one and six offices, respectively. There were no lease impairment charges for the three and nine months ended December 31, 2021.</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accruals</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activity in our restructuring accruals for the nine months ended December 31, 2021 is as follows:</w:t>
      </w:r>
    </w:p>
    <w:p>
      <w:pPr>
        <w:spacing w:after="0" w:line="120" w:lineRule="exact"/>
        <w:rPr>
          <w:sz w:val="20"/>
          <w:szCs w:val="20"/>
          <w:color w:val="auto"/>
        </w:rPr>
      </w:pPr>
    </w:p>
    <w:tbl>
      <w:tblPr>
        <w:tblLayout w:type="fixed"/>
        <w:tblInd w:w="2380" w:type="dxa"/>
        <w:tblCellMar>
          <w:top w:w="0" w:type="dxa"/>
          <w:left w:w="0" w:type="dxa"/>
          <w:bottom w:w="0" w:type="dxa"/>
          <w:right w:w="0" w:type="dxa"/>
        </w:tblCellMar>
      </w:tblPr>
      <w:tr>
        <w:trPr>
          <w:trHeight w:val="214"/>
        </w:trPr>
        <w:tc>
          <w:tcPr>
            <w:tcW w:w="50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Total</w:t>
            </w:r>
          </w:p>
        </w:tc>
      </w:tr>
      <w:tr>
        <w:trPr>
          <w:trHeight w:val="208"/>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2021</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3,095</w:t>
            </w: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Employee severance and related costs</w:t>
            </w: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1,710</w:t>
            </w:r>
          </w:p>
        </w:tc>
      </w:tr>
      <w:tr>
        <w:trPr>
          <w:trHeight w:val="215"/>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(4,551)</w:t>
            </w: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Balance as of December 31, 2021</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254</w:t>
            </w:r>
          </w:p>
        </w:tc>
      </w:tr>
      <w:tr>
        <w:trPr>
          <w:trHeight w:val="22"/>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440" w:hanging="434"/>
        <w:spacing w:after="0"/>
        <w:tabs>
          <w:tab w:leader="none" w:pos="440" w:val="left"/>
        </w:tabs>
        <w:numPr>
          <w:ilvl w:val="0"/>
          <w:numId w:val="13"/>
        </w:numPr>
        <w:rPr>
          <w:rFonts w:ascii="Arial" w:cs="Arial" w:eastAsia="Arial" w:hAnsi="Arial"/>
          <w:sz w:val="18"/>
          <w:szCs w:val="18"/>
          <w:b w:val="1"/>
          <w:bCs w:val="1"/>
          <w:color w:val="00B2A9"/>
        </w:rPr>
      </w:pPr>
      <w:r>
        <w:rPr>
          <w:rFonts w:ascii="Arial" w:cs="Arial" w:eastAsia="Arial" w:hAnsi="Arial"/>
          <w:sz w:val="18"/>
          <w:szCs w:val="18"/>
          <w:b w:val="1"/>
          <w:bCs w:val="1"/>
          <w:color w:val="00B2A9"/>
        </w:rPr>
        <w:t>Revolving Credit Facility</w:t>
      </w:r>
    </w:p>
    <w:p>
      <w:pPr>
        <w:spacing w:after="0" w:line="186"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On December 13, 2021, we entered into a five-year $100,000 senior secured revolving credit facility (the “Credit Facility”) with J.P. Morgan.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 to, among other things, declare all loans then outstanding to be immediately due and payable if such default is not cured within applicable grace periods. The Credit Facility also limits our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Secured Overnight Financing Rate plus 1.25% subject to increases based on our actual leverage. The unused balance on the Credit Facility is also subject to a 0.25% annual interest charge subject to increases based on our actual leverage. As of December 31, 2021, there were no borrowings under the Credit Facility and we were in compliance with all covenants.</w:t>
      </w:r>
    </w:p>
    <w:p>
      <w:pPr>
        <w:spacing w:after="0" w:line="157"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We have deferred the expense related to debt issuance costs, which are classified as Other assets, and will amortize the costs into interest expense over the term of the Credit Facility. Unamortized amounts at December 31, 2021 were $572. The amortization of debt issuance costs and interest expense incurred for the three months ended December 31, 2021 was $19.</w:t>
      </w:r>
    </w:p>
    <w:p>
      <w:pPr>
        <w:spacing w:after="0" w:line="200" w:lineRule="exact"/>
        <w:rPr>
          <w:sz w:val="20"/>
          <w:szCs w:val="20"/>
          <w:color w:val="auto"/>
        </w:rPr>
      </w:pPr>
    </w:p>
    <w:p>
      <w:pPr>
        <w:spacing w:after="0" w:line="329" w:lineRule="exact"/>
        <w:rPr>
          <w:sz w:val="20"/>
          <w:szCs w:val="20"/>
          <w:color w:val="auto"/>
        </w:rPr>
      </w:pPr>
    </w:p>
    <w:p>
      <w:pPr>
        <w:ind w:left="440" w:hanging="434"/>
        <w:spacing w:after="0"/>
        <w:tabs>
          <w:tab w:leader="none" w:pos="440" w:val="left"/>
        </w:tabs>
        <w:numPr>
          <w:ilvl w:val="0"/>
          <w:numId w:val="14"/>
        </w:numPr>
        <w:rPr>
          <w:rFonts w:ascii="Arial" w:cs="Arial" w:eastAsia="Arial" w:hAnsi="Arial"/>
          <w:sz w:val="18"/>
          <w:szCs w:val="18"/>
          <w:b w:val="1"/>
          <w:bCs w:val="1"/>
          <w:color w:val="00B2A9"/>
        </w:rPr>
      </w:pPr>
      <w:r>
        <w:rPr>
          <w:rFonts w:ascii="Arial" w:cs="Arial" w:eastAsia="Arial" w:hAnsi="Arial"/>
          <w:sz w:val="18"/>
          <w:szCs w:val="18"/>
          <w:b w:val="1"/>
          <w:bCs w:val="1"/>
          <w:color w:val="00B2A9"/>
        </w:rPr>
        <w:t>Subsequent Event</w:t>
      </w:r>
    </w:p>
    <w:p>
      <w:pPr>
        <w:spacing w:after="0" w:line="186"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In January of 2022, we signed an agreement to acquire an overseas firm to enhance our ransomware protection capabilities. The purchase price is approximately $17,000 and will be funded from our foreign cash balance. We expect the deal to close in the fourth quarter of fiscal 2022.</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00B2A9"/>
        </w:rPr>
        <w:t>Item 2 - Management’s Discussion and Analysis of Financial Condition and Results of Operations</w:t>
      </w:r>
    </w:p>
    <w:p>
      <w:pPr>
        <w:spacing w:after="0" w:line="115"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2021. Our actual results may differ materially from those contained in or implied by any forward-looking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Overview</w:t>
      </w:r>
    </w:p>
    <w:p>
      <w:pPr>
        <w:spacing w:after="0" w:line="358"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Commvault Systems, Inc. is a global data protection and information management software company offering customers enterprise level, intelligent data management solutions built from the ground up on a single platform and unified code base. Commvault was incorporated in Delaware in 1996.</w:t>
      </w:r>
    </w:p>
    <w:p>
      <w:pPr>
        <w:spacing w:after="0" w:line="233"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18"/>
          <w:szCs w:val="18"/>
          <w:color w:val="auto"/>
        </w:rPr>
        <w:t>At Commvault, we believe in solving hard problems for our customers. To do this, we provide capabilities which enable our customers to accelerate their digital transformation in today's ever evolving workforce using tools that are light touch and utilize artificial intelligence and machine learning to drive automation. Our product portfolio empowers our customers to reduce complexity, reign in data fragmentation, and accelerate their cloud journey. All software functionality shares the same back-end technologies to deliver the benefits of a holistic approach to protecting, managing, and accessing data. Our software addresses many aspects of storage and data management in the enterprise, while providing scalability and control of data and information. We believe our technology provides the broadest set of capabilities in the industry, which allows customers to reduce storage costs and administrative overhead. We also provide our customers with a broad range of professional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Sources of Revenues</w:t>
      </w:r>
    </w:p>
    <w:p>
      <w:pPr>
        <w:spacing w:after="0" w:line="107"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We derive a significant portion of our total revenues from sales of licenses of our software applications and related appliance products. We do not customize our software or products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45% of our total revenues for both the nine months ended December 31, 2021 and 2020, respectively.</w:t>
      </w:r>
    </w:p>
    <w:p>
      <w:pPr>
        <w:spacing w:after="0" w:line="154"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Our total software and products revenue in any particular period is, to a certain extent, dependent upon our ability to generate revenues from large customer software and products deals. Larger deals (transactions greater than $0.1 million) represented 71% and 69% of our total software and products revenue in the nine months ended December 31, 2021 and 2020, respectively.</w:t>
      </w:r>
    </w:p>
    <w:p>
      <w:pPr>
        <w:spacing w:after="0" w:line="153"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Software and products revenue generated through indirect distribution channels accounted for approximately 90% of total software and products revenue in both the nine months ended December 31, 2021 and 2020. Software and products revenue generated through direct distribution channels accounted for approximately 10% of total software and products revenue in both the nine months ended December 31, 2021 and 2020.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and products revenue generated through our direct distribution channels from time-to-time. We believe that growth of our software and products revenue, derived from both our indirect channel partners and direct sales force, are key attributes to our long-term strategy. We plan to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57"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We have a non-exclusive distribution agreement covering our North American commercial markets and our U.S. Federal Government market with Arrow Enterprise Computing Solutions, Inc. ("Arrow"), a subsidiary of Arrow Electronics, Inc. Pursuant to this distribution agreement, Arrow's primary role is to enable a more efficient and effective distribution channel for our products and services by managing our reseller partners and leveraging their own industry experience. We generated 36% of our total revenues through Arrow for both the nine months ended December 31, 2021 and 2020. If Arrow were to discontinue or reduce the sales of our products, or if our agreement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9" w:name="page20"/>
    <w:bookmarkEnd w:id="19"/>
    <w:p>
      <w:pPr>
        <w:jc w:val="both"/>
        <w:spacing w:after="0" w:line="251" w:lineRule="auto"/>
        <w:rPr>
          <w:sz w:val="20"/>
          <w:szCs w:val="20"/>
          <w:color w:val="auto"/>
        </w:rPr>
      </w:pPr>
      <w:r>
        <w:rPr>
          <w:rFonts w:ascii="Arial" w:cs="Arial" w:eastAsia="Arial" w:hAnsi="Arial"/>
          <w:sz w:val="18"/>
          <w:szCs w:val="18"/>
          <w:color w:val="auto"/>
        </w:rPr>
        <w:t>with Arrow were terminated, and if we were unable to take back the management of our reseller channel or find another North American distributor to replace Arrow, then such events would have a material adverse effect on our future business.</w:t>
      </w:r>
    </w:p>
    <w:p>
      <w:pPr>
        <w:spacing w:after="0" w:line="150"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Our services revenue was 55% of our total revenues for both the nine months ended December 31, 2021 and 2020, respectively.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 Our software-as-a-service solution, branded Metallic, is also included in services revenue. Revenue from Metallic is recognized ratably over the contract period.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Foreign Currency Exchange Rates’ Impact on Results of Operations</w:t>
      </w:r>
    </w:p>
    <w:p>
      <w:pPr>
        <w:spacing w:after="0" w:line="186"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Sales outside the United States were 49% of our total revenue for the nine months ended December 31, 2021 and 48% of our total revenue for the nine months ended December 31, 2020. The income statements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58"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Using the average foreign currency exchange rates from the three months ended December 31, 2020, our software and products revenue would have been higher by $1.5 million, our services revenue would have been higher by $0.8 million, our cost of sales would have been higher by $0.2 million and our operating expenses would have been higher by $0.7 million from non-U.S. operations for the three months ended December 31, 2021. Using the average foreign currency exchange rates from the nine months ended December 31, 2020, our software and products revenue would have been lower by $2.4 million, our services revenue would have been lower by $4.8 million, our cost of sales would have been lower by $0.9 million and our operating expenses would have been lower by $4.0 million from non-U.S. operations for the nine months ended December 31, 2021.</w:t>
      </w:r>
    </w:p>
    <w:p>
      <w:pPr>
        <w:spacing w:after="0" w:line="158"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losses of approximately $0.3 million and $0.5 million for the three and nine months ended December 31, 2021, respectively. We recognized net foreign currency transaction losses of approximately $0.5 million and $1.7 million for the three and nine months ended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B2A9"/>
        </w:rPr>
        <w:t>Critical Accounting Policies</w:t>
      </w:r>
    </w:p>
    <w:p>
      <w:pPr>
        <w:spacing w:after="0" w:line="186" w:lineRule="exact"/>
        <w:rPr>
          <w:sz w:val="20"/>
          <w:szCs w:val="20"/>
          <w:color w:val="auto"/>
        </w:rPr>
      </w:pPr>
    </w:p>
    <w:p>
      <w:pPr>
        <w:jc w:val="both"/>
        <w:ind w:firstLine="437"/>
        <w:spacing w:after="0" w:line="263" w:lineRule="auto"/>
        <w:rPr>
          <w:sz w:val="20"/>
          <w:szCs w:val="20"/>
          <w:color w:val="auto"/>
        </w:rPr>
      </w:pPr>
      <w:r>
        <w:rPr>
          <w:rFonts w:ascii="Arial" w:cs="Arial" w:eastAsia="Arial" w:hAnsi="Arial"/>
          <w:sz w:val="17"/>
          <w:szCs w:val="17"/>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44"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55" w:lineRule="exact"/>
        <w:rPr>
          <w:sz w:val="20"/>
          <w:szCs w:val="20"/>
          <w:color w:val="auto"/>
        </w:rPr>
      </w:pPr>
    </w:p>
    <w:p>
      <w:pPr>
        <w:ind w:left="1900" w:hanging="225"/>
        <w:spacing w:after="0"/>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64" w:lineRule="exact"/>
        <w:rPr>
          <w:rFonts w:ascii="Arial" w:cs="Arial" w:eastAsia="Arial" w:hAnsi="Arial"/>
          <w:sz w:val="18"/>
          <w:szCs w:val="18"/>
          <w:color w:val="auto"/>
        </w:rPr>
      </w:pPr>
    </w:p>
    <w:p>
      <w:pPr>
        <w:ind w:left="1900" w:hanging="225"/>
        <w:spacing w:after="0"/>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64" w:lineRule="exact"/>
        <w:rPr>
          <w:rFonts w:ascii="Arial" w:cs="Arial" w:eastAsia="Arial" w:hAnsi="Arial"/>
          <w:sz w:val="18"/>
          <w:szCs w:val="18"/>
          <w:color w:val="auto"/>
        </w:rPr>
      </w:pPr>
    </w:p>
    <w:p>
      <w:pPr>
        <w:ind w:left="1900" w:hanging="225"/>
        <w:spacing w:after="0"/>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Goodwill</w:t>
      </w:r>
    </w:p>
    <w:p>
      <w:pPr>
        <w:spacing w:after="0" w:line="164"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There have been no significant changes in our critical accounting policies during the nine months ended December 31, 2021 as compared to the critical accounting policies and estimates disclosed in “Management’s Discussion and Analysis of Financial Condition and Results of Operations - Critical Accounting Policies” included in our Annual Report on Form 10-K for the year ended March 31, 2021.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00B2A9"/>
        </w:rPr>
        <w:t>Results of Operations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2021 compared to three months ended December 31, 2020</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00B2A9"/>
        </w:rPr>
        <w:t>Revenues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65405</wp:posOffset>
            </wp:positionV>
            <wp:extent cx="5553075" cy="14725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53075" cy="147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revenues increased $14.4 million, or 8% as a result of the following:</w:t>
      </w:r>
    </w:p>
    <w:p>
      <w:pPr>
        <w:spacing w:after="0" w:line="85" w:lineRule="exact"/>
        <w:rPr>
          <w:sz w:val="20"/>
          <w:szCs w:val="20"/>
          <w:color w:val="auto"/>
        </w:rPr>
      </w:pPr>
    </w:p>
    <w:p>
      <w:pPr>
        <w:ind w:left="1280" w:hanging="121"/>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Driven by an increase in software and products revenue</w:t>
      </w:r>
    </w:p>
    <w:p>
      <w:pPr>
        <w:spacing w:after="0" w:line="97" w:lineRule="exact"/>
        <w:rPr>
          <w:rFonts w:ascii="Arial" w:cs="Arial" w:eastAsia="Arial" w:hAnsi="Arial"/>
          <w:sz w:val="18"/>
          <w:szCs w:val="18"/>
          <w:color w:val="auto"/>
        </w:rPr>
      </w:pPr>
    </w:p>
    <w:p>
      <w:pPr>
        <w:ind w:left="1280" w:hanging="121"/>
        <w:spacing w:after="0" w:line="251" w:lineRule="auto"/>
        <w:tabs>
          <w:tab w:leader="none" w:pos="12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Software and products revenue represented 49% of our total revenue in the three months ended December 31, 2021 and 47% of our total revenue in the three months ended December 31, 2020.</w:t>
      </w:r>
    </w:p>
    <w:p>
      <w:pPr>
        <w:spacing w:after="0" w:line="83" w:lineRule="exact"/>
        <w:rPr>
          <w:rFonts w:ascii="Arial" w:cs="Arial" w:eastAsia="Arial" w:hAnsi="Arial"/>
          <w:sz w:val="18"/>
          <w:szCs w:val="18"/>
          <w:color w:val="auto"/>
        </w:rPr>
      </w:pPr>
    </w:p>
    <w:p>
      <w:pPr>
        <w:jc w:val="both"/>
        <w:ind w:left="1280" w:hanging="121"/>
        <w:spacing w:after="0" w:line="248" w:lineRule="auto"/>
        <w:tabs>
          <w:tab w:leader="none" w:pos="1275"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Larger deal revenue (deals greater than $0.1 million) represented 76% of our software and products revenue in the three months ended December 31, 2021 and 68% of our software and products revenue in the three months ended December 31, 2020.</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–Software and products revenue increased $10.0 million, or 11%, as a result of the following:</w:t>
      </w:r>
    </w:p>
    <w:p>
      <w:pPr>
        <w:spacing w:after="0" w:line="98" w:lineRule="exact"/>
        <w:rPr>
          <w:sz w:val="20"/>
          <w:szCs w:val="20"/>
          <w:color w:val="auto"/>
        </w:rPr>
      </w:pPr>
    </w:p>
    <w:p>
      <w:pPr>
        <w:ind w:left="1280" w:hanging="121"/>
        <w:spacing w:after="0"/>
        <w:tabs>
          <w:tab w:leader="none" w:pos="1280" w:val="left"/>
        </w:tabs>
        <w:numPr>
          <w:ilvl w:val="2"/>
          <w:numId w:val="17"/>
        </w:numPr>
        <w:rPr>
          <w:rFonts w:ascii="Arial" w:cs="Arial" w:eastAsia="Arial" w:hAnsi="Arial"/>
          <w:sz w:val="18"/>
          <w:szCs w:val="18"/>
          <w:i w:val="1"/>
          <w:iCs w:val="1"/>
          <w:color w:val="auto"/>
        </w:rPr>
      </w:pPr>
      <w:r>
        <w:rPr>
          <w:rFonts w:ascii="Arial" w:cs="Arial" w:eastAsia="Arial" w:hAnsi="Arial"/>
          <w:sz w:val="18"/>
          <w:szCs w:val="18"/>
          <w:color w:val="auto"/>
        </w:rPr>
        <w:t>An increase of $14.4 million, or 24%, in larger deal revenue.</w:t>
      </w:r>
    </w:p>
    <w:p>
      <w:pPr>
        <w:spacing w:after="0" w:line="97" w:lineRule="exact"/>
        <w:rPr>
          <w:rFonts w:ascii="Arial" w:cs="Arial" w:eastAsia="Arial" w:hAnsi="Arial"/>
          <w:sz w:val="18"/>
          <w:szCs w:val="18"/>
          <w:i w:val="1"/>
          <w:iCs w:val="1"/>
          <w:color w:val="auto"/>
        </w:rPr>
      </w:pPr>
    </w:p>
    <w:p>
      <w:pPr>
        <w:jc w:val="both"/>
        <w:ind w:left="1280" w:hanging="121"/>
        <w:spacing w:after="0" w:line="248" w:lineRule="auto"/>
        <w:tabs>
          <w:tab w:leader="none" w:pos="1275" w:val="left"/>
        </w:tabs>
        <w:numPr>
          <w:ilvl w:val="2"/>
          <w:numId w:val="17"/>
        </w:numPr>
        <w:rPr>
          <w:rFonts w:ascii="Arial" w:cs="Arial" w:eastAsia="Arial" w:hAnsi="Arial"/>
          <w:sz w:val="18"/>
          <w:szCs w:val="18"/>
          <w:i w:val="1"/>
          <w:iCs w:val="1"/>
          <w:color w:val="auto"/>
        </w:rPr>
      </w:pPr>
      <w:r>
        <w:rPr>
          <w:rFonts w:ascii="Arial" w:cs="Arial" w:eastAsia="Arial" w:hAnsi="Arial"/>
          <w:sz w:val="18"/>
          <w:szCs w:val="18"/>
          <w:color w:val="auto"/>
        </w:rPr>
        <w:t>The increase in larger deal revenue was due to a 20% increase in the volume of larger deal revenue transactions. There were 225 larger deal revenue transactions for the three months ended December 31, 2021, up from 187 deals for the three months ended December 31, 2020.</w:t>
      </w:r>
    </w:p>
    <w:p>
      <w:pPr>
        <w:spacing w:after="0" w:line="73" w:lineRule="exact"/>
        <w:rPr>
          <w:rFonts w:ascii="Arial" w:cs="Arial" w:eastAsia="Arial" w:hAnsi="Arial"/>
          <w:sz w:val="18"/>
          <w:szCs w:val="18"/>
          <w:i w:val="1"/>
          <w:iCs w:val="1"/>
          <w:color w:val="auto"/>
        </w:rPr>
      </w:pPr>
    </w:p>
    <w:p>
      <w:pPr>
        <w:ind w:left="1280" w:hanging="121"/>
        <w:spacing w:after="0" w:line="251" w:lineRule="auto"/>
        <w:tabs>
          <w:tab w:leader="none" w:pos="1275" w:val="left"/>
        </w:tabs>
        <w:numPr>
          <w:ilvl w:val="2"/>
          <w:numId w:val="17"/>
        </w:numPr>
        <w:rPr>
          <w:rFonts w:ascii="Arial" w:cs="Arial" w:eastAsia="Arial" w:hAnsi="Arial"/>
          <w:sz w:val="18"/>
          <w:szCs w:val="18"/>
          <w:i w:val="1"/>
          <w:iCs w:val="1"/>
          <w:color w:val="auto"/>
        </w:rPr>
      </w:pPr>
      <w:r>
        <w:rPr>
          <w:rFonts w:ascii="Arial" w:cs="Arial" w:eastAsia="Arial" w:hAnsi="Arial"/>
          <w:sz w:val="18"/>
          <w:szCs w:val="18"/>
          <w:color w:val="auto"/>
        </w:rPr>
        <w:t>The average dollar amount of larger deal revenue transactions was approximately $332 thousand and $322 thousand for the three months ended December 31, 2021 and 2020, respectively, representing a 3% increase.</w:t>
      </w:r>
    </w:p>
    <w:p>
      <w:pPr>
        <w:spacing w:after="0" w:line="83" w:lineRule="exact"/>
        <w:rPr>
          <w:rFonts w:ascii="Arial" w:cs="Arial" w:eastAsia="Arial" w:hAnsi="Arial"/>
          <w:sz w:val="18"/>
          <w:szCs w:val="18"/>
          <w:i w:val="1"/>
          <w:iCs w:val="1"/>
          <w:color w:val="auto"/>
        </w:rPr>
      </w:pPr>
    </w:p>
    <w:p>
      <w:pPr>
        <w:ind w:left="1280" w:hanging="121"/>
        <w:spacing w:after="0"/>
        <w:tabs>
          <w:tab w:leader="none" w:pos="12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This increase was partially offset by a decrease of $4.4 million in transactions less than $0.1 million.</w:t>
      </w:r>
    </w:p>
    <w:p>
      <w:pPr>
        <w:spacing w:after="0" w:line="79" w:lineRule="exact"/>
        <w:rPr>
          <w:rFonts w:ascii="Arial" w:cs="Arial" w:eastAsia="Arial" w:hAnsi="Arial"/>
          <w:sz w:val="18"/>
          <w:szCs w:val="18"/>
          <w:color w:val="auto"/>
        </w:rPr>
      </w:pPr>
    </w:p>
    <w:p>
      <w:pPr>
        <w:ind w:left="640" w:hanging="159"/>
        <w:spacing w:after="0" w:line="272" w:lineRule="auto"/>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Services revenue represented 51% of our total revenue in the three months ended December 31, 2021 and 53% of our total revenue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December 31, 2020. Services revenue increased $4.4 million primarily due to the following:</w:t>
      </w:r>
    </w:p>
    <w:p>
      <w:pPr>
        <w:spacing w:after="0" w:line="52" w:lineRule="exact"/>
        <w:rPr>
          <w:rFonts w:ascii="Arial" w:cs="Arial" w:eastAsia="Arial" w:hAnsi="Arial"/>
          <w:sz w:val="18"/>
          <w:szCs w:val="18"/>
          <w:color w:val="auto"/>
        </w:rPr>
      </w:pPr>
    </w:p>
    <w:p>
      <w:pPr>
        <w:ind w:left="1280" w:hanging="161"/>
        <w:spacing w:after="0"/>
        <w:tabs>
          <w:tab w:leader="none" w:pos="12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 increase of $8.1 million in other services revenue, driven primarily by the year over year increase in revenue from Metallic.</w:t>
      </w:r>
    </w:p>
    <w:p>
      <w:pPr>
        <w:spacing w:after="0" w:line="109" w:lineRule="exact"/>
        <w:rPr>
          <w:rFonts w:ascii="Arial" w:cs="Arial" w:eastAsia="Arial" w:hAnsi="Arial"/>
          <w:sz w:val="17"/>
          <w:szCs w:val="17"/>
          <w:color w:val="auto"/>
        </w:rPr>
      </w:pPr>
    </w:p>
    <w:p>
      <w:pPr>
        <w:ind w:left="1280" w:hanging="161"/>
        <w:spacing w:after="0"/>
        <w:tabs>
          <w:tab w:leader="none" w:pos="1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This increase is partially offset by a decrease of $3.7 million in revenue from customer support agreements.</w:t>
      </w:r>
    </w:p>
    <w:p>
      <w:pPr>
        <w:spacing w:after="0" w:line="98"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We track software and products revenue on a geographic basis. The geographic regions that we track are the Americas (United States, Canada, Latin America), EMEA (Europe, Middle East, Africa) and APJ (Australia, New Zealand, Southeast Asia, China, Japan). Americas, EMEA and APJ represented 58%, 34% and 8% of total software and products revenue, respectively, for the three months ended December 31, 2021. Software and products revenue increased year over year by 32% in the Americas and declined by 1% in EMEA and 30% in APJ.</w:t>
      </w:r>
    </w:p>
    <w:p>
      <w:pPr>
        <w:spacing w:after="0" w:line="155" w:lineRule="exact"/>
        <w:rPr>
          <w:sz w:val="20"/>
          <w:szCs w:val="20"/>
          <w:color w:val="auto"/>
        </w:rPr>
      </w:pPr>
    </w:p>
    <w:p>
      <w:pPr>
        <w:ind w:left="640" w:hanging="316"/>
        <w:spacing w:after="0" w:line="251" w:lineRule="auto"/>
        <w:tabs>
          <w:tab w:leader="none" w:pos="636"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The increase in Americas software and products revenue was primarily the result of a 45% increase in larger deal transactions revenue driven by an increase in the volume of larger deal transactions.</w:t>
      </w:r>
    </w:p>
    <w:p>
      <w:pPr>
        <w:spacing w:after="0" w:line="150" w:lineRule="exact"/>
        <w:rPr>
          <w:rFonts w:ascii="Arial" w:cs="Arial" w:eastAsia="Arial" w:hAnsi="Arial"/>
          <w:sz w:val="18"/>
          <w:szCs w:val="18"/>
          <w:i w:val="1"/>
          <w:iCs w:val="1"/>
          <w:color w:val="auto"/>
        </w:rPr>
      </w:pPr>
    </w:p>
    <w:p>
      <w:pPr>
        <w:ind w:left="640" w:hanging="316"/>
        <w:spacing w:after="0" w:line="251"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EMEA software and products revenue decreased as a result of an 18% decrease in revenue on deals under $0.1 million partially offset by an increase in larger deal transactions.</w:t>
      </w:r>
    </w:p>
    <w:p>
      <w:pPr>
        <w:spacing w:after="0" w:line="150" w:lineRule="exact"/>
        <w:rPr>
          <w:rFonts w:ascii="Arial" w:cs="Arial" w:eastAsia="Arial" w:hAnsi="Arial"/>
          <w:sz w:val="18"/>
          <w:szCs w:val="18"/>
          <w:color w:val="auto"/>
        </w:rPr>
      </w:pPr>
    </w:p>
    <w:p>
      <w:pPr>
        <w:ind w:left="640" w:hanging="316"/>
        <w:spacing w:after="0" w:line="251"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decrease in APJ was the result of larger deal transactions decreasing versus the prior year period. The prior year period included several relatively large transactions.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2" w:name="page23"/>
    <w:bookmarkEnd w:id="22"/>
    <w:p>
      <w:pPr>
        <w:ind w:firstLine="437"/>
        <w:spacing w:after="0" w:line="251" w:lineRule="auto"/>
        <w:rPr>
          <w:sz w:val="20"/>
          <w:szCs w:val="20"/>
          <w:color w:val="auto"/>
        </w:rPr>
      </w:pPr>
      <w:r>
        <w:rPr>
          <w:rFonts w:ascii="Arial" w:cs="Arial" w:eastAsia="Arial" w:hAnsi="Arial"/>
          <w:sz w:val="18"/>
          <w:szCs w:val="18"/>
          <w:color w:val="auto"/>
        </w:rPr>
        <w:t>Our software and products revenue in EMEA and APJ is subject to changes in foreign exchange rates as more fully discussed above in the “Foreign Currency Exchange Rates’ Impact on Results of Operations” section.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00B2A9"/>
        </w:rPr>
        <w:t>Cost of Revenues and Gross Margin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225425</wp:posOffset>
            </wp:positionV>
            <wp:extent cx="5620385" cy="2995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20385" cy="299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8"/>
        <w:spacing w:after="0" w:line="251" w:lineRule="auto"/>
        <w:rPr>
          <w:sz w:val="20"/>
          <w:szCs w:val="20"/>
          <w:color w:val="auto"/>
        </w:rPr>
      </w:pPr>
      <w:r>
        <w:rPr>
          <w:rFonts w:ascii="Arial" w:cs="Arial" w:eastAsia="Arial" w:hAnsi="Arial"/>
          <w:sz w:val="18"/>
          <w:szCs w:val="18"/>
          <w:color w:val="auto"/>
        </w:rPr>
        <w:t>– Total cost of revenues increased $1.6 million, and represented 15% of our total revenues for both the three months ended December 31, 2021 and December 31, 2020.</w:t>
      </w:r>
    </w:p>
    <w:p>
      <w:pPr>
        <w:spacing w:after="0" w:line="70" w:lineRule="exact"/>
        <w:rPr>
          <w:sz w:val="20"/>
          <w:szCs w:val="20"/>
          <w:color w:val="auto"/>
        </w:rPr>
      </w:pPr>
    </w:p>
    <w:p>
      <w:pPr>
        <w:ind w:left="640" w:hanging="318"/>
        <w:spacing w:after="0" w:line="247" w:lineRule="auto"/>
        <w:rPr>
          <w:sz w:val="20"/>
          <w:szCs w:val="20"/>
          <w:color w:val="auto"/>
        </w:rPr>
      </w:pPr>
      <w:r>
        <w:rPr>
          <w:rFonts w:ascii="Arial" w:cs="Arial" w:eastAsia="Arial" w:hAnsi="Arial"/>
          <w:sz w:val="18"/>
          <w:szCs w:val="18"/>
          <w:color w:val="auto"/>
        </w:rPr>
        <w:t>– Cost of software and products revenue decreased $2.6 million and represented 4% of our total software and products revenue for the three months ended December 31, 2021 compared to 8% for the three months ended December 31, 2020. The decrease was the result of reduced sales of hardware associated with our appliances, as well as reduced software royalties associated with sales of HyperScale appliances and software. Beginning with the launch of HyperScale X in mid fiscal 2021, we began transitioning to a software only model. HyperScale X has also reduced software royalties relative to prior versions of HyperScale.</w:t>
      </w:r>
    </w:p>
    <w:p>
      <w:pPr>
        <w:spacing w:after="0" w:line="87" w:lineRule="exact"/>
        <w:rPr>
          <w:sz w:val="20"/>
          <w:szCs w:val="20"/>
          <w:color w:val="auto"/>
        </w:rPr>
      </w:pPr>
    </w:p>
    <w:p>
      <w:pPr>
        <w:ind w:left="640" w:hanging="318"/>
        <w:spacing w:after="0" w:line="248" w:lineRule="auto"/>
        <w:rPr>
          <w:sz w:val="20"/>
          <w:szCs w:val="20"/>
          <w:color w:val="auto"/>
        </w:rPr>
      </w:pPr>
      <w:r>
        <w:rPr>
          <w:rFonts w:ascii="Arial" w:cs="Arial" w:eastAsia="Arial" w:hAnsi="Arial"/>
          <w:sz w:val="18"/>
          <w:szCs w:val="18"/>
          <w:color w:val="auto"/>
        </w:rPr>
        <w:t>– Cost of services revenue increased $4.2 million, representing 25% of our total services revenue for the three months ended December 31, 2021 compared to 22% for the three months ended December 31, 2020. The increase in cost of services revenue primarily related to an increase in the cost of infrastructure related to Metallic.</w:t>
      </w:r>
    </w:p>
    <w:p>
      <w:pPr>
        <w:sectPr>
          <w:pgSz w:w="11900" w:h="16838" w:orient="portrait"/>
          <w:cols w:equalWidth="0" w:num="1">
            <w:col w:w="11240"/>
          </w:cols>
          <w:pgMar w:left="320" w:top="1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23" w:name="page24"/>
    <w:bookmarkEnd w:id="23"/>
    <w:p>
      <w:pPr>
        <w:ind w:left="200"/>
        <w:spacing w:after="0"/>
        <w:rPr>
          <w:sz w:val="20"/>
          <w:szCs w:val="20"/>
          <w:color w:val="auto"/>
        </w:rPr>
      </w:pPr>
      <w:r>
        <w:rPr>
          <w:rFonts w:ascii="Arial" w:cs="Arial" w:eastAsia="Arial" w:hAnsi="Arial"/>
          <w:sz w:val="18"/>
          <w:szCs w:val="18"/>
          <w:i w:val="1"/>
          <w:iCs w:val="1"/>
          <w:color w:val="00B2A9"/>
        </w:rPr>
        <w:t>Operating Expenses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65405</wp:posOffset>
            </wp:positionV>
            <wp:extent cx="5553075" cy="3214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5307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0" w:hanging="119"/>
        <w:spacing w:after="0" w:line="251" w:lineRule="auto"/>
        <w:rPr>
          <w:sz w:val="20"/>
          <w:szCs w:val="20"/>
          <w:color w:val="auto"/>
        </w:rPr>
      </w:pPr>
      <w:r>
        <w:rPr>
          <w:rFonts w:ascii="Arial" w:cs="Arial" w:eastAsia="Arial" w:hAnsi="Arial"/>
          <w:sz w:val="18"/>
          <w:szCs w:val="18"/>
          <w:color w:val="auto"/>
        </w:rPr>
        <w:t>– Sales and marketing expenses increased $4.7 million, or 6%, primarily due to increases in employee compensation and sales commissions associated with increased revenue relative to the same period in the prior year.</w:t>
      </w:r>
    </w:p>
    <w:p>
      <w:pPr>
        <w:spacing w:after="0" w:line="83" w:lineRule="exact"/>
        <w:rPr>
          <w:sz w:val="20"/>
          <w:szCs w:val="20"/>
          <w:color w:val="auto"/>
        </w:rPr>
      </w:pPr>
    </w:p>
    <w:p>
      <w:pPr>
        <w:ind w:left="640" w:right="20" w:hanging="119"/>
        <w:spacing w:after="0" w:line="251" w:lineRule="auto"/>
        <w:rPr>
          <w:sz w:val="20"/>
          <w:szCs w:val="20"/>
          <w:color w:val="auto"/>
        </w:rPr>
      </w:pPr>
      <w:r>
        <w:rPr>
          <w:rFonts w:ascii="Arial" w:cs="Arial" w:eastAsia="Arial" w:hAnsi="Arial"/>
          <w:sz w:val="18"/>
          <w:szCs w:val="18"/>
          <w:color w:val="auto"/>
        </w:rPr>
        <w:t>– Research and development expenses increased $3.6 million, or 10%, as a result of an increase in employee compensation and related expenses attributable to the expansion of our engineering group.</w:t>
      </w:r>
    </w:p>
    <w:p>
      <w:pPr>
        <w:spacing w:after="0" w:line="70" w:lineRule="exact"/>
        <w:rPr>
          <w:sz w:val="20"/>
          <w:szCs w:val="20"/>
          <w:color w:val="auto"/>
        </w:rPr>
      </w:pPr>
    </w:p>
    <w:p>
      <w:pPr>
        <w:ind w:left="1280" w:hanging="121"/>
        <w:spacing w:after="0" w:line="251" w:lineRule="auto"/>
        <w:tabs>
          <w:tab w:leader="none" w:pos="1275" w:val="left"/>
        </w:tabs>
        <w:numPr>
          <w:ilvl w:val="1"/>
          <w:numId w:val="20"/>
        </w:numPr>
        <w:rPr>
          <w:rFonts w:ascii="Arial" w:cs="Arial" w:eastAsia="Arial" w:hAnsi="Arial"/>
          <w:sz w:val="18"/>
          <w:szCs w:val="18"/>
          <w:color w:val="auto"/>
          <w:strike w:val="1"/>
        </w:rPr>
      </w:pPr>
      <w:r>
        <w:rPr>
          <w:rFonts w:ascii="Arial" w:cs="Arial" w:eastAsia="Arial" w:hAnsi="Arial"/>
          <w:sz w:val="18"/>
          <w:szCs w:val="18"/>
          <w:color w:val="auto"/>
        </w:rPr>
        <w:t>The increase in employee compensation included an increase in stock-based compensation of $2.9 million compared to prior year.</w:t>
      </w:r>
    </w:p>
    <w:p>
      <w:pPr>
        <w:spacing w:after="0" w:line="83" w:lineRule="exact"/>
        <w:rPr>
          <w:rFonts w:ascii="Arial" w:cs="Arial" w:eastAsia="Arial" w:hAnsi="Arial"/>
          <w:sz w:val="18"/>
          <w:szCs w:val="18"/>
          <w:color w:val="auto"/>
          <w:strike w:val="1"/>
        </w:rPr>
      </w:pPr>
    </w:p>
    <w:p>
      <w:pPr>
        <w:ind w:left="1280" w:hanging="121"/>
        <w:spacing w:after="0" w:line="251" w:lineRule="auto"/>
        <w:tabs>
          <w:tab w:leader="none" w:pos="1275" w:val="left"/>
        </w:tabs>
        <w:numPr>
          <w:ilvl w:val="1"/>
          <w:numId w:val="20"/>
        </w:numPr>
        <w:rPr>
          <w:rFonts w:ascii="Arial" w:cs="Arial" w:eastAsia="Arial" w:hAnsi="Arial"/>
          <w:sz w:val="18"/>
          <w:szCs w:val="18"/>
          <w:color w:val="auto"/>
          <w:strike w:val="1"/>
        </w:rPr>
      </w:pPr>
      <w:r>
        <w:rPr>
          <w:rFonts w:ascii="Arial" w:cs="Arial" w:eastAsia="Arial" w:hAnsi="Arial"/>
          <w:sz w:val="18"/>
          <w:szCs w:val="18"/>
          <w:color w:val="auto"/>
        </w:rPr>
        <w:t>Investing in research and development has been a priority for Commvault, and we anticipate continued spending related to the development of our data and information management software applications.</w:t>
      </w:r>
    </w:p>
    <w:p>
      <w:pPr>
        <w:spacing w:after="0" w:line="65" w:lineRule="exact"/>
        <w:rPr>
          <w:rFonts w:ascii="Arial" w:cs="Arial" w:eastAsia="Arial" w:hAnsi="Arial"/>
          <w:sz w:val="18"/>
          <w:szCs w:val="18"/>
          <w:color w:val="auto"/>
          <w:strike w:val="1"/>
        </w:rPr>
      </w:pPr>
    </w:p>
    <w:p>
      <w:pPr>
        <w:ind w:left="520"/>
        <w:spacing w:after="0"/>
        <w:rPr>
          <w:rFonts w:ascii="Arial" w:cs="Arial" w:eastAsia="Arial" w:hAnsi="Arial"/>
          <w:sz w:val="18"/>
          <w:szCs w:val="18"/>
          <w:color w:val="auto"/>
          <w:strike w:val="1"/>
        </w:rPr>
      </w:pP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$6.4 million, or 28%, primarily due to the following:</w:t>
      </w:r>
    </w:p>
    <w:p>
      <w:pPr>
        <w:spacing w:after="0" w:line="102" w:lineRule="exact"/>
        <w:rPr>
          <w:rFonts w:ascii="Arial" w:cs="Arial" w:eastAsia="Arial" w:hAnsi="Arial"/>
          <w:sz w:val="18"/>
          <w:szCs w:val="18"/>
          <w:color w:val="auto"/>
          <w:strike w:val="1"/>
        </w:rPr>
      </w:pPr>
    </w:p>
    <w:p>
      <w:pPr>
        <w:ind w:left="1280" w:hanging="121"/>
        <w:spacing w:after="0"/>
        <w:tabs>
          <w:tab w:leader="none" w:pos="1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Increase in employee compensation and related costs relative to the same time in the prior year.</w:t>
      </w:r>
    </w:p>
    <w:p>
      <w:pPr>
        <w:spacing w:after="0" w:line="97" w:lineRule="exact"/>
        <w:rPr>
          <w:rFonts w:ascii="Arial" w:cs="Arial" w:eastAsia="Arial" w:hAnsi="Arial"/>
          <w:sz w:val="18"/>
          <w:szCs w:val="18"/>
          <w:color w:val="auto"/>
        </w:rPr>
      </w:pPr>
    </w:p>
    <w:p>
      <w:pPr>
        <w:ind w:left="1280" w:hanging="121"/>
        <w:spacing w:after="0"/>
        <w:tabs>
          <w:tab w:leader="none" w:pos="1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Stock-based compensation increased $4.1 million compared to the prior year.</w:t>
      </w:r>
    </w:p>
    <w:p>
      <w:pPr>
        <w:spacing w:after="0" w:line="97" w:lineRule="exact"/>
        <w:rPr>
          <w:rFonts w:ascii="Arial" w:cs="Arial" w:eastAsia="Arial" w:hAnsi="Arial"/>
          <w:sz w:val="18"/>
          <w:szCs w:val="18"/>
          <w:color w:val="auto"/>
        </w:rPr>
      </w:pPr>
    </w:p>
    <w:p>
      <w:pPr>
        <w:ind w:left="1280" w:hanging="121"/>
        <w:spacing w:after="0"/>
        <w:tabs>
          <w:tab w:leader="none" w:pos="1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Increase in legal expenses for legal costs related to intellectual property matters.</w:t>
      </w:r>
    </w:p>
    <w:p>
      <w:pPr>
        <w:spacing w:after="0" w:line="85" w:lineRule="exact"/>
        <w:rPr>
          <w:sz w:val="20"/>
          <w:szCs w:val="20"/>
          <w:color w:val="auto"/>
        </w:rPr>
      </w:pPr>
    </w:p>
    <w:p>
      <w:pPr>
        <w:ind w:left="640" w:hanging="118"/>
        <w:spacing w:after="0" w:line="251" w:lineRule="auto"/>
        <w:rPr>
          <w:sz w:val="20"/>
          <w:szCs w:val="20"/>
          <w:color w:val="auto"/>
        </w:rPr>
      </w:pPr>
      <w:r>
        <w:rPr>
          <w:rFonts w:ascii="Arial" w:cs="Arial" w:eastAsia="Arial" w:hAnsi="Arial"/>
          <w:sz w:val="18"/>
          <w:szCs w:val="18"/>
          <w:color w:val="auto"/>
        </w:rPr>
        <w:t>–Depreciation and amortization expense increased $0.1 million, from $2.3 million in the three months ended December 31, 2020 to $2.5 million in the three months ended December 31, 2021.</w:t>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00B2A9"/>
        </w:rPr>
        <w:t>Income Tax Expense</w:t>
      </w:r>
    </w:p>
    <w:p>
      <w:pPr>
        <w:spacing w:after="0" w:line="103"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Income tax expense was $3.0 million in the three months ended December 31, 2021 compared to expense of $1.2 million in the three months ended December 31, 2020. The income tax expense for the three months ended December 31, 2021 and 2020 related primarily to current foreign taxes.</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Nine months ended December 31, 2021 compared to nine months ended December 31, 2020</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00B2A9"/>
        </w:rPr>
        <w:t>Revenues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65405</wp:posOffset>
            </wp:positionV>
            <wp:extent cx="5553075" cy="14725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53075" cy="147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revenues increased $31.5 million, or 6%.</w:t>
      </w:r>
    </w:p>
    <w:p>
      <w:pPr>
        <w:spacing w:after="0" w:line="85" w:lineRule="exact"/>
        <w:rPr>
          <w:sz w:val="20"/>
          <w:szCs w:val="20"/>
          <w:color w:val="auto"/>
        </w:rPr>
      </w:pPr>
    </w:p>
    <w:p>
      <w:pPr>
        <w:ind w:left="1280" w:hanging="121"/>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Driven by an increase in software and products revenue.</w:t>
      </w:r>
    </w:p>
    <w:p>
      <w:pPr>
        <w:spacing w:after="0" w:line="97" w:lineRule="exact"/>
        <w:rPr>
          <w:rFonts w:ascii="Arial" w:cs="Arial" w:eastAsia="Arial" w:hAnsi="Arial"/>
          <w:sz w:val="18"/>
          <w:szCs w:val="18"/>
          <w:color w:val="auto"/>
        </w:rPr>
      </w:pPr>
    </w:p>
    <w:p>
      <w:pPr>
        <w:ind w:left="1280" w:hanging="121"/>
        <w:spacing w:after="0" w:line="251" w:lineRule="auto"/>
        <w:tabs>
          <w:tab w:leader="none" w:pos="12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Software and products revenue represented 45% of our total revenue in both the nine months ended December 31, 2021 and December 31, 2020.</w:t>
      </w:r>
    </w:p>
    <w:p>
      <w:pPr>
        <w:spacing w:after="0" w:line="83" w:lineRule="exact"/>
        <w:rPr>
          <w:rFonts w:ascii="Arial" w:cs="Arial" w:eastAsia="Arial" w:hAnsi="Arial"/>
          <w:sz w:val="18"/>
          <w:szCs w:val="18"/>
          <w:color w:val="auto"/>
        </w:rPr>
      </w:pPr>
    </w:p>
    <w:p>
      <w:pPr>
        <w:jc w:val="both"/>
        <w:ind w:left="1280" w:hanging="121"/>
        <w:spacing w:after="0" w:line="248" w:lineRule="auto"/>
        <w:tabs>
          <w:tab w:leader="none" w:pos="1275"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Larger deal revenue (deals greater than $0.1 million) represented 71% of our software and products revenue in the nine months ended December 31, 2021 and 69% of our software and products revenue in the nine months ended December 31, 2020.</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–Software and products revenue increased $18.5 million, or 8%, as a result of the following:</w:t>
      </w:r>
    </w:p>
    <w:p>
      <w:pPr>
        <w:spacing w:after="0" w:line="98" w:lineRule="exact"/>
        <w:rPr>
          <w:sz w:val="20"/>
          <w:szCs w:val="20"/>
          <w:color w:val="auto"/>
        </w:rPr>
      </w:pPr>
    </w:p>
    <w:p>
      <w:pPr>
        <w:jc w:val="both"/>
        <w:ind w:left="1280" w:hanging="121"/>
        <w:spacing w:after="0" w:line="248" w:lineRule="auto"/>
        <w:tabs>
          <w:tab w:leader="none" w:pos="1275"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 increase of $18.2 million, or 11%, in larger deal revenue. This was driven by an increase of 21% in the volume of larger deal revenue transactions, which included 573 deals for the nine months ended December 31, 2021, up from 475 deals for the nine months ended December 31, 2020.</w:t>
      </w:r>
    </w:p>
    <w:p>
      <w:pPr>
        <w:spacing w:after="0" w:line="87" w:lineRule="exact"/>
        <w:rPr>
          <w:rFonts w:ascii="Arial" w:cs="Arial" w:eastAsia="Arial" w:hAnsi="Arial"/>
          <w:sz w:val="18"/>
          <w:szCs w:val="18"/>
          <w:color w:val="auto"/>
        </w:rPr>
      </w:pPr>
    </w:p>
    <w:p>
      <w:pPr>
        <w:jc w:val="both"/>
        <w:ind w:left="1280" w:hanging="121"/>
        <w:spacing w:after="0" w:line="248" w:lineRule="auto"/>
        <w:tabs>
          <w:tab w:leader="none" w:pos="1275" w:val="left"/>
        </w:tabs>
        <w:numPr>
          <w:ilvl w:val="2"/>
          <w:numId w:val="22"/>
        </w:numPr>
        <w:rPr>
          <w:rFonts w:ascii="Arial" w:cs="Arial" w:eastAsia="Arial" w:hAnsi="Arial"/>
          <w:sz w:val="18"/>
          <w:szCs w:val="18"/>
          <w:i w:val="1"/>
          <w:iCs w:val="1"/>
          <w:color w:val="auto"/>
        </w:rPr>
      </w:pPr>
      <w:r>
        <w:rPr>
          <w:rFonts w:ascii="Arial" w:cs="Arial" w:eastAsia="Arial" w:hAnsi="Arial"/>
          <w:sz w:val="18"/>
          <w:szCs w:val="18"/>
          <w:color w:val="auto"/>
        </w:rPr>
        <w:t>The average dollar amount of larger deal revenue transactions was approximately $317 thousand and $344 thousand for the nine months ended December 31, 2021 and 2020, respectively, an 8% decrease. The prior year included a high seven-figure transaction that significantly impacted the average dollar amount per transaction.</w:t>
      </w:r>
    </w:p>
    <w:p>
      <w:pPr>
        <w:spacing w:after="0" w:line="73" w:lineRule="exact"/>
        <w:rPr>
          <w:rFonts w:ascii="Arial" w:cs="Arial" w:eastAsia="Arial" w:hAnsi="Arial"/>
          <w:sz w:val="18"/>
          <w:szCs w:val="18"/>
          <w:i w:val="1"/>
          <w:iCs w:val="1"/>
          <w:color w:val="auto"/>
        </w:rPr>
      </w:pPr>
    </w:p>
    <w:p>
      <w:pPr>
        <w:ind w:left="1280" w:hanging="121"/>
        <w:spacing w:after="0"/>
        <w:tabs>
          <w:tab w:leader="none" w:pos="1280" w:val="left"/>
        </w:tabs>
        <w:numPr>
          <w:ilvl w:val="2"/>
          <w:numId w:val="22"/>
        </w:numPr>
        <w:rPr>
          <w:rFonts w:ascii="Arial" w:cs="Arial" w:eastAsia="Arial" w:hAnsi="Arial"/>
          <w:sz w:val="18"/>
          <w:szCs w:val="18"/>
          <w:i w:val="1"/>
          <w:iCs w:val="1"/>
          <w:color w:val="auto"/>
        </w:rPr>
      </w:pPr>
      <w:r>
        <w:rPr>
          <w:rFonts w:ascii="Arial" w:cs="Arial" w:eastAsia="Arial" w:hAnsi="Arial"/>
          <w:sz w:val="18"/>
          <w:szCs w:val="18"/>
          <w:color w:val="auto"/>
        </w:rPr>
        <w:t>An increase of $0.3 million in transactions less than $0.1 million.</w:t>
      </w:r>
    </w:p>
    <w:p>
      <w:pPr>
        <w:spacing w:after="0" w:line="79" w:lineRule="exact"/>
        <w:rPr>
          <w:rFonts w:ascii="Arial" w:cs="Arial" w:eastAsia="Arial" w:hAnsi="Arial"/>
          <w:sz w:val="18"/>
          <w:szCs w:val="18"/>
          <w:i w:val="1"/>
          <w:iCs w:val="1"/>
          <w:color w:val="auto"/>
        </w:rPr>
      </w:pPr>
    </w:p>
    <w:p>
      <w:pPr>
        <w:ind w:left="640" w:hanging="159"/>
        <w:spacing w:after="0" w:line="272"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Services revenue represented 55% of our total revenue in both the nine months ended December 31, 2021 and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revenue increased $13.0 million primarily due to the following:</w:t>
      </w:r>
    </w:p>
    <w:p>
      <w:pPr>
        <w:spacing w:after="0" w:line="65" w:lineRule="exact"/>
        <w:rPr>
          <w:rFonts w:ascii="Arial" w:cs="Arial" w:eastAsia="Arial" w:hAnsi="Arial"/>
          <w:sz w:val="18"/>
          <w:szCs w:val="18"/>
          <w:i w:val="1"/>
          <w:iCs w:val="1"/>
          <w:color w:val="auto"/>
        </w:rPr>
      </w:pPr>
    </w:p>
    <w:p>
      <w:pPr>
        <w:ind w:left="1280" w:hanging="161"/>
        <w:spacing w:after="0"/>
        <w:tabs>
          <w:tab w:leader="none" w:pos="12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 increase of $18.3 million in other services revenue, driven primarily by the year over year increase in revenue from Metallic.</w:t>
      </w:r>
    </w:p>
    <w:p>
      <w:pPr>
        <w:spacing w:after="0" w:line="96" w:lineRule="exact"/>
        <w:rPr>
          <w:rFonts w:ascii="Arial" w:cs="Arial" w:eastAsia="Arial" w:hAnsi="Arial"/>
          <w:sz w:val="17"/>
          <w:szCs w:val="17"/>
          <w:color w:val="auto"/>
        </w:rPr>
      </w:pPr>
    </w:p>
    <w:p>
      <w:pPr>
        <w:ind w:left="1280" w:hanging="161"/>
        <w:spacing w:after="0"/>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This increase was partially offset by a decrease of $5.3 million in revenue from customer support agreements.</w:t>
      </w:r>
    </w:p>
    <w:p>
      <w:pPr>
        <w:spacing w:after="0" w:line="98" w:lineRule="exact"/>
        <w:rPr>
          <w:sz w:val="20"/>
          <w:szCs w:val="20"/>
          <w:color w:val="auto"/>
        </w:rPr>
      </w:pPr>
    </w:p>
    <w:p>
      <w:pPr>
        <w:jc w:val="both"/>
        <w:ind w:firstLine="437"/>
        <w:spacing w:after="0" w:line="266" w:lineRule="auto"/>
        <w:rPr>
          <w:sz w:val="20"/>
          <w:szCs w:val="20"/>
          <w:color w:val="auto"/>
        </w:rPr>
      </w:pPr>
      <w:r>
        <w:rPr>
          <w:rFonts w:ascii="Arial" w:cs="Arial" w:eastAsia="Arial" w:hAnsi="Arial"/>
          <w:sz w:val="17"/>
          <w:szCs w:val="17"/>
          <w:color w:val="auto"/>
        </w:rPr>
        <w:t>We track software and products revenue on a geographic basis. The geographic regions that are tracked are the Americas (United States, Canada, Latin America), EMEA (Europe, Middle East, Africa) and APJ (Australia, New Zealand, Southeast Asia, China, Japan). Americas, EMEA and APJ represented 60%, 30% and 10% of total software and products revenue, respectively, for the nine months ended December 31, 2021. Software and products revenue increased year over year by 15% in the Americas and 3% in EMEA and declined 13% in APJ.</w:t>
      </w:r>
    </w:p>
    <w:p>
      <w:pPr>
        <w:spacing w:after="0" w:line="140" w:lineRule="exact"/>
        <w:rPr>
          <w:sz w:val="20"/>
          <w:szCs w:val="20"/>
          <w:color w:val="auto"/>
        </w:rPr>
      </w:pPr>
    </w:p>
    <w:p>
      <w:pPr>
        <w:ind w:left="640" w:hanging="316"/>
        <w:spacing w:after="0" w:line="251" w:lineRule="auto"/>
        <w:tabs>
          <w:tab w:leader="none" w:pos="636"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The increase in Americas software and products revenue was primarily the result of a 15% increase in larger deal transactions revenue driven by an increase in the volume of larger deal transactions.</w:t>
      </w:r>
    </w:p>
    <w:p>
      <w:pPr>
        <w:spacing w:after="0" w:line="150" w:lineRule="exact"/>
        <w:rPr>
          <w:rFonts w:ascii="Arial" w:cs="Arial" w:eastAsia="Arial" w:hAnsi="Arial"/>
          <w:sz w:val="18"/>
          <w:szCs w:val="18"/>
          <w:i w:val="1"/>
          <w:iCs w:val="1"/>
          <w:color w:val="auto"/>
        </w:rPr>
      </w:pPr>
    </w:p>
    <w:p>
      <w:pPr>
        <w:ind w:left="640" w:hanging="316"/>
        <w:spacing w:after="0" w:line="251" w:lineRule="auto"/>
        <w:tabs>
          <w:tab w:leader="none" w:pos="6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EMEA software and products revenue increased as a result of a 12% increase in revenue on larger deal transactions, partially offset by a decrease in transactions less than $0.1 million.</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decrease in APJ was the result of a decrease in larger deal transactions compared to the same period in the prior year.</w:t>
      </w:r>
    </w:p>
    <w:p>
      <w:pPr>
        <w:spacing w:after="0" w:line="244"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Our software and products revenue in EMEA and APJ is subject to changes in foreign exchange rates as more fully discussed above in the “Foreign Currency Exchange Rates’ Impact on Results of Operations” section.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00B2A9"/>
        </w:rPr>
        <w:t>Cost of Revenues and Gross Margin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225425</wp:posOffset>
            </wp:positionV>
            <wp:extent cx="5620385" cy="29952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0385" cy="299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hanging="318"/>
        <w:spacing w:after="0" w:line="272"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Total cost of revenues increased $2.0 million and represented 15% of our total revenues for both the nine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December 31, 2020.</w:t>
      </w:r>
    </w:p>
    <w:p>
      <w:pPr>
        <w:spacing w:after="0" w:line="34" w:lineRule="exact"/>
        <w:rPr>
          <w:sz w:val="20"/>
          <w:szCs w:val="20"/>
          <w:color w:val="auto"/>
        </w:rPr>
      </w:pPr>
    </w:p>
    <w:p>
      <w:pPr>
        <w:ind w:left="640" w:hanging="318"/>
        <w:spacing w:after="0" w:line="252"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Cost of software and products revenue decreased $11.2 million and represented 4% of our total software and products revenue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December 31, 2021 compared to 9% for the nine months ended December 31, 2020. The decrease was the result of reduced sales of hardware associated with our appliances as well as reduced software royalties associated with sales of HyperScale appliances and software. Beginning with the launch of HyperScale X in mid fiscal 2021, we began transitioning to a software only model. HyperScale X also has reduced software royalties relative to prior versions of HyperScale.</w:t>
      </w:r>
    </w:p>
    <w:p>
      <w:pPr>
        <w:spacing w:after="0" w:line="66" w:lineRule="exact"/>
        <w:rPr>
          <w:sz w:val="20"/>
          <w:szCs w:val="20"/>
          <w:color w:val="auto"/>
        </w:rPr>
      </w:pPr>
    </w:p>
    <w:p>
      <w:pPr>
        <w:ind w:left="640" w:hanging="318"/>
        <w:spacing w:after="0" w:line="254"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Cost of services revenue increased $13.2 million, representing 24% of our total services revenue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compared to 20% for the nine months ended December 31, 2020. The increase in cost of services revenue related to an increase in the cost of infrastructure related to Metallic, as well as an increase in employee compensation and related expenses compared to the prior year due to temporary pay cuts enacted in 2021.</w:t>
      </w:r>
    </w:p>
    <w:p>
      <w:pPr>
        <w:sectPr>
          <w:pgSz w:w="11900" w:h="16838" w:orient="portrait"/>
          <w:cols w:equalWidth="0" w:num="1">
            <w:col w:w="11240"/>
          </w:cols>
          <w:pgMar w:left="320" w:top="8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i w:val="1"/>
          <w:iCs w:val="1"/>
          <w:color w:val="00B2A9"/>
        </w:rPr>
        <w:t>Operating Expenses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65405</wp:posOffset>
            </wp:positionV>
            <wp:extent cx="5553075" cy="3214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5307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0" w:hanging="119"/>
        <w:spacing w:after="0" w:line="251" w:lineRule="auto"/>
        <w:rPr>
          <w:sz w:val="20"/>
          <w:szCs w:val="20"/>
          <w:color w:val="auto"/>
        </w:rPr>
      </w:pPr>
      <w:r>
        <w:rPr>
          <w:rFonts w:ascii="Arial" w:cs="Arial" w:eastAsia="Arial" w:hAnsi="Arial"/>
          <w:sz w:val="18"/>
          <w:szCs w:val="18"/>
          <w:color w:val="auto"/>
        </w:rPr>
        <w:t>– Sales and marketing expenses increased $3.2 million, or 1%, primarily due to an increase in employee compensation and sales commissions associated with increased revenue.</w:t>
      </w:r>
    </w:p>
    <w:p>
      <w:pPr>
        <w:spacing w:after="0" w:line="83" w:lineRule="exact"/>
        <w:rPr>
          <w:sz w:val="20"/>
          <w:szCs w:val="20"/>
          <w:color w:val="auto"/>
        </w:rPr>
      </w:pPr>
    </w:p>
    <w:p>
      <w:pPr>
        <w:ind w:left="440" w:right="20" w:hanging="119"/>
        <w:spacing w:after="0" w:line="251" w:lineRule="auto"/>
        <w:rPr>
          <w:sz w:val="20"/>
          <w:szCs w:val="20"/>
          <w:color w:val="auto"/>
        </w:rPr>
      </w:pPr>
      <w:r>
        <w:rPr>
          <w:rFonts w:ascii="Arial" w:cs="Arial" w:eastAsia="Arial" w:hAnsi="Arial"/>
          <w:sz w:val="18"/>
          <w:szCs w:val="18"/>
          <w:color w:val="auto"/>
        </w:rPr>
        <w:t>– Research and development expenses increased $15.3 million, or 16%, as a result of an increase in employee compensation and related expenses attributable to the expansion of our engineering group.</w:t>
      </w:r>
    </w:p>
    <w:p>
      <w:pPr>
        <w:spacing w:after="0" w:line="70" w:lineRule="exact"/>
        <w:rPr>
          <w:sz w:val="20"/>
          <w:szCs w:val="20"/>
          <w:color w:val="auto"/>
        </w:rPr>
      </w:pPr>
    </w:p>
    <w:p>
      <w:pPr>
        <w:ind w:left="1080" w:hanging="121"/>
        <w:spacing w:after="0"/>
        <w:tabs>
          <w:tab w:leader="none" w:pos="1080" w:val="left"/>
        </w:tabs>
        <w:numPr>
          <w:ilvl w:val="1"/>
          <w:numId w:val="25"/>
        </w:numPr>
        <w:rPr>
          <w:rFonts w:ascii="Arial" w:cs="Arial" w:eastAsia="Arial" w:hAnsi="Arial"/>
          <w:sz w:val="17"/>
          <w:szCs w:val="17"/>
          <w:color w:val="auto"/>
          <w:strike w:val="1"/>
        </w:rPr>
      </w:pPr>
      <w:r>
        <w:rPr>
          <w:rFonts w:ascii="Arial" w:cs="Arial" w:eastAsia="Arial" w:hAnsi="Arial"/>
          <w:sz w:val="17"/>
          <w:szCs w:val="17"/>
          <w:color w:val="auto"/>
        </w:rPr>
        <w:t>Increase in employee compensation including an increase in stock-based compensation of $7.0 million compared to prior year.</w:t>
      </w:r>
    </w:p>
    <w:p>
      <w:pPr>
        <w:spacing w:after="0" w:line="109" w:lineRule="exact"/>
        <w:rPr>
          <w:rFonts w:ascii="Arial" w:cs="Arial" w:eastAsia="Arial" w:hAnsi="Arial"/>
          <w:sz w:val="17"/>
          <w:szCs w:val="17"/>
          <w:color w:val="auto"/>
          <w:strike w:val="1"/>
        </w:rPr>
      </w:pPr>
    </w:p>
    <w:p>
      <w:pPr>
        <w:ind w:left="1080" w:hanging="121"/>
        <w:spacing w:after="0" w:line="251" w:lineRule="auto"/>
        <w:tabs>
          <w:tab w:leader="none" w:pos="1075" w:val="left"/>
        </w:tabs>
        <w:numPr>
          <w:ilvl w:val="1"/>
          <w:numId w:val="25"/>
        </w:numPr>
        <w:rPr>
          <w:rFonts w:ascii="Arial" w:cs="Arial" w:eastAsia="Arial" w:hAnsi="Arial"/>
          <w:sz w:val="18"/>
          <w:szCs w:val="18"/>
          <w:color w:val="auto"/>
          <w:strike w:val="1"/>
        </w:rPr>
      </w:pPr>
      <w:r>
        <w:rPr>
          <w:rFonts w:ascii="Arial" w:cs="Arial" w:eastAsia="Arial" w:hAnsi="Arial"/>
          <w:sz w:val="18"/>
          <w:szCs w:val="18"/>
          <w:color w:val="auto"/>
        </w:rPr>
        <w:t>Investing in research and development has been a priority for Commvault, and we anticipate continued spending related to the development of our data and information management software applications.</w:t>
      </w:r>
    </w:p>
    <w:p>
      <w:pPr>
        <w:spacing w:after="0" w:line="65" w:lineRule="exact"/>
        <w:rPr>
          <w:rFonts w:ascii="Arial" w:cs="Arial" w:eastAsia="Arial" w:hAnsi="Arial"/>
          <w:sz w:val="18"/>
          <w:szCs w:val="18"/>
          <w:color w:val="auto"/>
          <w:strike w:val="1"/>
        </w:rPr>
      </w:pPr>
    </w:p>
    <w:p>
      <w:pPr>
        <w:ind w:left="320"/>
        <w:spacing w:after="0"/>
        <w:rPr>
          <w:rFonts w:ascii="Arial" w:cs="Arial" w:eastAsia="Arial" w:hAnsi="Arial"/>
          <w:sz w:val="18"/>
          <w:szCs w:val="18"/>
          <w:color w:val="auto"/>
          <w:strike w:val="1"/>
        </w:rPr>
      </w:pP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$11.9 million, or 17%, primarily due to the following:</w:t>
      </w:r>
    </w:p>
    <w:p>
      <w:pPr>
        <w:spacing w:after="0" w:line="102" w:lineRule="exact"/>
        <w:rPr>
          <w:rFonts w:ascii="Arial" w:cs="Arial" w:eastAsia="Arial" w:hAnsi="Arial"/>
          <w:sz w:val="18"/>
          <w:szCs w:val="18"/>
          <w:color w:val="auto"/>
          <w:strike w:val="1"/>
        </w:rPr>
      </w:pPr>
    </w:p>
    <w:p>
      <w:pPr>
        <w:ind w:left="1080" w:hanging="121"/>
        <w:spacing w:after="0" w:line="251" w:lineRule="auto"/>
        <w:tabs>
          <w:tab w:leader="none" w:pos="10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Increase in employee compensation and related expenses compared to the prior year. Stock-based compensation increased $7.2 million compared to the prior year.</w:t>
      </w:r>
    </w:p>
    <w:p>
      <w:pPr>
        <w:spacing w:after="0" w:line="83" w:lineRule="exact"/>
        <w:rPr>
          <w:rFonts w:ascii="Arial" w:cs="Arial" w:eastAsia="Arial" w:hAnsi="Arial"/>
          <w:sz w:val="18"/>
          <w:szCs w:val="18"/>
          <w:color w:val="auto"/>
        </w:rPr>
      </w:pPr>
    </w:p>
    <w:p>
      <w:pPr>
        <w:ind w:left="1080" w:hanging="121"/>
        <w:spacing w:after="0" w:line="251" w:lineRule="auto"/>
        <w:tabs>
          <w:tab w:leader="none" w:pos="1075"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Increase in legal expenses for legal costs related to intellectual property matters partially offset by a $2.5 million settlement gain net against related legal expenses that was recorded in General and administrative expense.</w:t>
      </w:r>
    </w:p>
    <w:p>
      <w:pPr>
        <w:spacing w:after="0" w:line="61" w:lineRule="exact"/>
        <w:rPr>
          <w:rFonts w:ascii="Arial" w:cs="Arial" w:eastAsia="Arial" w:hAnsi="Arial"/>
          <w:sz w:val="18"/>
          <w:szCs w:val="18"/>
          <w:b w:val="1"/>
          <w:bCs w:val="1"/>
          <w:color w:val="auto"/>
        </w:rPr>
      </w:pPr>
    </w:p>
    <w:p>
      <w:pPr>
        <w:ind w:left="440" w:hanging="119"/>
        <w:spacing w:after="0" w:line="242" w:lineRule="auto"/>
        <w:rPr>
          <w:rFonts w:ascii="Arial" w:cs="Arial" w:eastAsia="Arial" w:hAnsi="Arial"/>
          <w:sz w:val="18"/>
          <w:szCs w:val="18"/>
          <w:b w:val="1"/>
          <w:bCs w:val="1"/>
          <w:color w:val="auto"/>
        </w:rPr>
      </w:pP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Restructuring: Our restructuring plan is intended to increase efficiency in our sales, marketing and distribution functions, as well as reduce costs across all functional areas. Restructuring expenses were $2.1 million and $19.7 million in the nine months ended December 31, 2021 and 2020, respectively. These restructuring charges relate primarily to severance and related costs associated with headcount reductions. These charges include $0.4 million and $1.9 million in the nine months ended December 31, 2021 and 2020, respectively,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200" w:lineRule="exact"/>
        <w:rPr>
          <w:sz w:val="20"/>
          <w:szCs w:val="20"/>
          <w:color w:val="auto"/>
        </w:rPr>
      </w:pPr>
    </w:p>
    <w:p>
      <w:pPr>
        <w:spacing w:after="0" w:line="34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58420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40"/>
          </w:cols>
          <w:pgMar w:left="520" w:top="969" w:right="339" w:bottom="1440" w:gutter="0" w:footer="0" w:header="0"/>
        </w:sectPr>
      </w:pPr>
    </w:p>
    <w:bookmarkStart w:id="27" w:name="page28"/>
    <w:bookmarkEnd w:id="27"/>
    <w:p>
      <w:pPr>
        <w:ind w:left="640" w:hanging="119"/>
        <w:spacing w:after="0" w:line="236" w:lineRule="auto"/>
        <w:rPr>
          <w:sz w:val="20"/>
          <w:szCs w:val="20"/>
          <w:color w:val="auto"/>
        </w:rPr>
      </w:pP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Depreciation and amortization expense decreased $5.4 million, from $12.4 million in the nine months ended December 31, 2020 to $7.1 million in the nine months ended December 31, 2021, driven by the elimination of amortization of intangible assets related to Hedvig due to their impairment in the second quarter of fiscal 2021.</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00B2A9"/>
        </w:rPr>
        <w:t>Income Tax Expense</w:t>
      </w:r>
    </w:p>
    <w:p>
      <w:pPr>
        <w:spacing w:after="0" w:line="116"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Income tax expense was $5.6 million in the nine months ended December 31, 2021 compared to expense of $5.4 million in the nine months ended December 31, 2020. The income tax expense for the nine months ended December 31, 2021 and 2020 relates primarily to current foreign taxes.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Liquidity and Capital Resources</w:t>
      </w:r>
    </w:p>
    <w:p>
      <w:pPr>
        <w:spacing w:after="0" w:line="120"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As of December 31, 2021, our cash balance was $233.7 million. In recent fiscal years, our principal source of liquidity has been cash provided by operations.</w:t>
      </w:r>
    </w:p>
    <w:p>
      <w:pPr>
        <w:spacing w:after="0" w:line="15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As of December 31, 2021, the amount of cash and cash equivalents held outside of the United States by our foreign legal entities was approximately $171.6 million. These balances are dispersed across many international locations around the world. We believe that such dispersion meets the current and anticipated future liquidity needs of our foreign legal entities. In the event we need to repatriate funds from outside of the United States, such repatriation would likely be subject to restrictions by local laws and/or tax consequences including foreign withholding taxes.</w:t>
      </w:r>
    </w:p>
    <w:p>
      <w:pPr>
        <w:spacing w:after="0" w:line="154"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We have a five-year $100 million senior secured revolving credit facility (the “Credit Facility”) with J.P. Morgan.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 to, among other things, declare all loans then outstanding to be immediately due and payable if such default is not cured within applicable grace periods. The Credit Facility also limits our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Secured Overnight Financing Rate plus 1.25% subject to increases based on our actual leverage. The unused balance on the Credit Facility is also subject to a 0.25% annual interest charge subject to increases based on our actual leverage. As of December 31, 2021, there were no borrowings under the Credit Facility and we were in compliance with all covenants.</w:t>
      </w:r>
    </w:p>
    <w:p>
      <w:pPr>
        <w:spacing w:after="0" w:line="157"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During the nine months ended December 31, 2021, we repurchased $265.4 million of our common stock under our share repurchase program. Our stock repurchase program has been funded by our existing cash and cash equivalent balances, as well as cash flows provided by our operations.</w:t>
      </w:r>
    </w:p>
    <w:p>
      <w:pPr>
        <w:spacing w:after="0" w:line="153"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Our Board has approved, and we intend to execute, a capital allocation policy that provides for the repurchase of $200 million of our common stock for the period from February 1, 2021 through the end of our 2022 fiscal year, plus the use of approximately 75% of our fiscal 2022 free cash flow for additional repurchases during fiscal year 2022. Since February 1, 2021 through December 31, 2021 we have repurchased $327.5 million of common stock.</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279" w:lineRule="exact"/>
        <w:rPr>
          <w:sz w:val="20"/>
          <w:szCs w:val="20"/>
          <w:color w:val="auto"/>
        </w:rPr>
      </w:pPr>
    </w:p>
    <w:tbl>
      <w:tblPr>
        <w:tblLayout w:type="fixed"/>
        <w:tblInd w:w="720" w:type="dxa"/>
        <w:tblCellMar>
          <w:top w:w="0" w:type="dxa"/>
          <w:left w:w="0" w:type="dxa"/>
          <w:bottom w:w="0" w:type="dxa"/>
          <w:right w:w="0" w:type="dxa"/>
        </w:tblCellMar>
      </w:tblPr>
      <w:tr>
        <w:trPr>
          <w:trHeight w:val="214"/>
        </w:trPr>
        <w:tc>
          <w:tcPr>
            <w:tcW w:w="6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6"/>
                <w:szCs w:val="16"/>
                <w:b w:val="1"/>
                <w:bCs w:val="1"/>
                <w:color w:val="auto"/>
              </w:rPr>
              <w:t>Nine Months Ended December 31,</w:t>
            </w:r>
          </w:p>
        </w:tc>
      </w:tr>
      <w:tr>
        <w:trPr>
          <w:trHeight w:val="208"/>
        </w:trPr>
        <w:tc>
          <w:tcPr>
            <w:tcW w:w="6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2020</w:t>
            </w:r>
          </w:p>
        </w:tc>
      </w:tr>
      <w:tr>
        <w:trPr>
          <w:trHeight w:val="205"/>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90,064</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w w:val="98"/>
              </w:rPr>
              <w:t>59,247</w:t>
            </w:r>
          </w:p>
        </w:tc>
      </w:tr>
      <w:tr>
        <w:trPr>
          <w:trHeight w:val="209"/>
        </w:trPr>
        <w:tc>
          <w:tcPr>
            <w:tcW w:w="626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(6,355)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left="561"/>
              <w:spacing w:after="0"/>
              <w:rPr>
                <w:sz w:val="20"/>
                <w:szCs w:val="20"/>
                <w:color w:val="auto"/>
              </w:rPr>
            </w:pPr>
            <w:r>
              <w:rPr>
                <w:rFonts w:ascii="Arial" w:cs="Arial" w:eastAsia="Arial" w:hAnsi="Arial"/>
                <w:sz w:val="16"/>
                <w:szCs w:val="16"/>
                <w:color w:val="auto"/>
                <w:w w:val="98"/>
              </w:rPr>
              <w:t>26,806</w:t>
            </w:r>
          </w:p>
        </w:tc>
      </w:tr>
      <w:tr>
        <w:trPr>
          <w:trHeight w:val="215"/>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(242,335)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541"/>
              <w:spacing w:after="0"/>
              <w:rPr>
                <w:sz w:val="20"/>
                <w:szCs w:val="20"/>
                <w:color w:val="auto"/>
              </w:rPr>
            </w:pPr>
            <w:r>
              <w:rPr>
                <w:rFonts w:ascii="Arial" w:cs="Arial" w:eastAsia="Arial" w:hAnsi="Arial"/>
                <w:sz w:val="16"/>
                <w:szCs w:val="16"/>
                <w:color w:val="auto"/>
                <w:w w:val="97"/>
              </w:rPr>
              <w:t>(26,129)</w:t>
            </w: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Effects of exchange rate-changes in cash</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(4,920)</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561"/>
              <w:spacing w:after="0"/>
              <w:rPr>
                <w:sz w:val="20"/>
                <w:szCs w:val="20"/>
                <w:color w:val="auto"/>
              </w:rPr>
            </w:pPr>
            <w:r>
              <w:rPr>
                <w:rFonts w:ascii="Arial" w:cs="Arial" w:eastAsia="Arial" w:hAnsi="Arial"/>
                <w:sz w:val="16"/>
                <w:szCs w:val="16"/>
                <w:color w:val="auto"/>
                <w:w w:val="98"/>
              </w:rPr>
              <w:t>21,563</w:t>
            </w:r>
          </w:p>
        </w:tc>
      </w:tr>
      <w:tr>
        <w:trPr>
          <w:trHeight w:val="23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(163,546)</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center"/>
              <w:ind w:left="561"/>
              <w:spacing w:after="0"/>
              <w:rPr>
                <w:sz w:val="20"/>
                <w:szCs w:val="20"/>
                <w:color w:val="auto"/>
              </w:rPr>
            </w:pPr>
            <w:r>
              <w:rPr>
                <w:rFonts w:ascii="Arial" w:cs="Arial" w:eastAsia="Arial" w:hAnsi="Arial"/>
                <w:sz w:val="16"/>
                <w:szCs w:val="16"/>
                <w:color w:val="auto"/>
                <w:w w:val="98"/>
              </w:rPr>
              <w:t>81,487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1064895</wp:posOffset>
            </wp:positionH>
            <wp:positionV relativeFrom="page">
              <wp:posOffset>779145</wp:posOffset>
            </wp:positionV>
            <wp:extent cx="5553075" cy="1682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53075" cy="168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40" w:hanging="119"/>
        <w:spacing w:after="0" w:line="251" w:lineRule="auto"/>
        <w:rPr>
          <w:sz w:val="20"/>
          <w:szCs w:val="20"/>
          <w:color w:val="auto"/>
        </w:rPr>
      </w:pPr>
      <w:r>
        <w:rPr>
          <w:rFonts w:ascii="Arial" w:cs="Arial" w:eastAsia="Arial" w:hAnsi="Arial"/>
          <w:sz w:val="18"/>
          <w:szCs w:val="18"/>
          <w:color w:val="auto"/>
        </w:rPr>
        <w:t>– Net cash provided by operating activities was impacted by net income adjusted for the impact of non-cash charges, an increase in accounts receivable and deferred commissions and a decrease in accrued liabilities.</w:t>
      </w:r>
    </w:p>
    <w:p>
      <w:pPr>
        <w:spacing w:after="0" w:line="70" w:lineRule="exact"/>
        <w:rPr>
          <w:sz w:val="20"/>
          <w:szCs w:val="20"/>
          <w:color w:val="auto"/>
        </w:rPr>
      </w:pPr>
    </w:p>
    <w:p>
      <w:pPr>
        <w:ind w:left="640" w:hanging="119"/>
        <w:spacing w:after="0" w:line="251" w:lineRule="auto"/>
        <w:rPr>
          <w:sz w:val="20"/>
          <w:szCs w:val="20"/>
          <w:color w:val="auto"/>
        </w:rPr>
      </w:pPr>
      <w:r>
        <w:rPr>
          <w:rFonts w:ascii="Arial" w:cs="Arial" w:eastAsia="Arial" w:hAnsi="Arial"/>
          <w:sz w:val="18"/>
          <w:szCs w:val="18"/>
          <w:color w:val="auto"/>
        </w:rPr>
        <w:t>– Net cash used in investing activities was related to $3.6 million in the purchase of equity securities and $3.3 million of capital expenditures, partially offset by proceeds of $0.5 million related to the sale of an equity investment.</w:t>
      </w:r>
    </w:p>
    <w:p>
      <w:pPr>
        <w:spacing w:after="0" w:line="81" w:lineRule="exact"/>
        <w:rPr>
          <w:sz w:val="20"/>
          <w:szCs w:val="20"/>
          <w:color w:val="auto"/>
        </w:rPr>
      </w:pPr>
    </w:p>
    <w:p>
      <w:pPr>
        <w:ind w:left="640" w:hanging="119"/>
        <w:spacing w:after="0" w:line="271" w:lineRule="auto"/>
        <w:rPr>
          <w:sz w:val="20"/>
          <w:szCs w:val="20"/>
          <w:color w:val="auto"/>
        </w:rPr>
      </w:pPr>
      <w:r>
        <w:rPr>
          <w:rFonts w:ascii="Arial" w:cs="Arial" w:eastAsia="Arial" w:hAnsi="Arial"/>
          <w:sz w:val="19"/>
          <w:szCs w:val="19"/>
          <w:color w:val="auto"/>
        </w:rPr>
        <w:t xml:space="preserve">– </w:t>
      </w:r>
      <w:r>
        <w:rPr>
          <w:rFonts w:ascii="Arial" w:cs="Arial" w:eastAsia="Arial" w:hAnsi="Arial"/>
          <w:sz w:val="17"/>
          <w:szCs w:val="17"/>
          <w:color w:val="auto"/>
        </w:rPr>
        <w:t>Net cash used in financing activities was the result of $265.4 million of repurchases of common shares partially offset by $23.7 million</w:t>
      </w:r>
      <w:r>
        <w:rPr>
          <w:rFonts w:ascii="Arial" w:cs="Arial" w:eastAsia="Arial" w:hAnsi="Arial"/>
          <w:sz w:val="19"/>
          <w:szCs w:val="19"/>
          <w:color w:val="auto"/>
        </w:rPr>
        <w:t xml:space="preserve"> </w:t>
      </w:r>
      <w:r>
        <w:rPr>
          <w:rFonts w:ascii="Arial" w:cs="Arial" w:eastAsia="Arial" w:hAnsi="Arial"/>
          <w:sz w:val="17"/>
          <w:szCs w:val="17"/>
          <w:color w:val="auto"/>
        </w:rPr>
        <w:t>of proceeds from the exercise of stock options.</w:t>
      </w:r>
    </w:p>
    <w:p>
      <w:pPr>
        <w:spacing w:after="0" w:line="171"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Working capital decreased $133.1 million from $234.4 million as of March 31, 2021 to $101.3 million as of December 31, 2021. The net decrease in working capital was primarily the result of cash used for share repurchases during the quarter.</w:t>
      </w:r>
    </w:p>
    <w:p>
      <w:pPr>
        <w:spacing w:after="0" w:line="150"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Off-Balance Sheet Arrangements</w:t>
      </w:r>
    </w:p>
    <w:p>
      <w:pPr>
        <w:spacing w:after="0" w:line="107"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As of December 31, 2021, we did not have off-balance sheet financing arrangements, including any relationships with unconsolidated entities or financial partnerships, such as entities often referred to as structured finance or special purpose entities.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Indemnifications</w:t>
      </w:r>
    </w:p>
    <w:p>
      <w:pPr>
        <w:spacing w:after="0" w:line="12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00B2A9"/>
        </w:rPr>
        <w:t>Impact of Recently Issued Accounting Standards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3 - Quantitative and Qualitative Disclosures about Market Risk</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Interest Rate Risk</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Foreign Currency Risk</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116"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As a global company, we face exposure to adverse movements in foreign currency exchange rates. Our international sales are generally denominated in foreign currencies and this revenue could be materially affected by currency fluctuations. Approximately 49% of our sales were outside the United States for the nine months ended December 31, 2021.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116"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53"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We recognized net foreign currency transaction losses of $0.3 million and $0.5 million for the three and nine months ended December 31, 2021, respectively. We recognized net foreign currency transaction losses of approximately $0.5 million and $1.7 million for the three and nine months ended December 31, 2020, respectively.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4 - Controls and Procedures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7"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disclosure controls and procedures, as defined in Rules 13a-15(e) and 15d-15(e) of the Securities Exchange Act of 1934, as of December 31, 2021. Based on that evaluation, the Chief Executive Officer and Chief Financial Officer concluded that our disclosure controls and procedures were effective as of December 31, 2021.</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20" w:lineRule="exact"/>
        <w:rPr>
          <w:sz w:val="20"/>
          <w:szCs w:val="20"/>
          <w:color w:val="auto"/>
        </w:rPr>
      </w:pPr>
    </w:p>
    <w:p>
      <w:pPr>
        <w:jc w:val="both"/>
        <w:ind w:right="20" w:firstLine="437"/>
        <w:spacing w:after="0" w:line="251" w:lineRule="auto"/>
        <w:rPr>
          <w:sz w:val="20"/>
          <w:szCs w:val="20"/>
          <w:color w:val="auto"/>
        </w:rPr>
      </w:pPr>
      <w:r>
        <w:rPr>
          <w:rFonts w:ascii="Arial" w:cs="Arial" w:eastAsia="Arial" w:hAnsi="Arial"/>
          <w:sz w:val="18"/>
          <w:szCs w:val="18"/>
          <w:color w:val="auto"/>
        </w:rPr>
        <w:t>There was no change in our internal control over financial reporting that occurred during the third quarter of fiscal 2022 that has materially affected, or is reasonably likely to materially affect, our internal control over financial reporting.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30" w:name="page31"/>
    <w:bookmarkEnd w:id="30"/>
    <w:p>
      <w:pPr>
        <w:ind w:left="20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107" w:lineRule="exact"/>
        <w:rPr>
          <w:sz w:val="20"/>
          <w:szCs w:val="20"/>
          <w:color w:val="auto"/>
        </w:rPr>
      </w:pPr>
    </w:p>
    <w:p>
      <w:pPr>
        <w:jc w:val="both"/>
        <w:ind w:firstLine="437"/>
        <w:spacing w:after="0" w:line="262"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 controls and procedures or our internal control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p>
      <w:pPr>
        <w:jc w:val="center"/>
        <w:ind w:right="100"/>
        <w:spacing w:after="0"/>
        <w:rPr>
          <w:sz w:val="20"/>
          <w:szCs w:val="20"/>
          <w:color w:val="auto"/>
        </w:rPr>
      </w:pPr>
      <w:r>
        <w:rPr>
          <w:rFonts w:ascii="Arial" w:cs="Arial" w:eastAsia="Arial" w:hAnsi="Arial"/>
          <w:sz w:val="18"/>
          <w:szCs w:val="18"/>
          <w:b w:val="1"/>
          <w:bCs w:val="1"/>
          <w:color w:val="00B2A9"/>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1. Legal Proceedings</w:t>
      </w:r>
    </w:p>
    <w:p>
      <w:pPr>
        <w:spacing w:after="0" w:line="186" w:lineRule="exact"/>
        <w:rPr>
          <w:sz w:val="20"/>
          <w:szCs w:val="20"/>
          <w:color w:val="auto"/>
        </w:rPr>
      </w:pPr>
    </w:p>
    <w:p>
      <w:pPr>
        <w:jc w:val="both"/>
        <w:ind w:right="100" w:firstLine="437"/>
        <w:spacing w:after="0" w:line="247"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We do not believe that we are currently party to any pending legal action that could reasonably be expected to have a material adverse effect on our business or operating results. Please refer to Part I, “Item 1A. Risk Factors” in our Annual Report on Form 10-K for the year ended March 31, 2021 for additional information.</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1A. Risk Factors</w:t>
      </w:r>
    </w:p>
    <w:p>
      <w:pPr>
        <w:spacing w:after="0" w:line="120" w:lineRule="exact"/>
        <w:rPr>
          <w:sz w:val="20"/>
          <w:szCs w:val="20"/>
          <w:color w:val="auto"/>
        </w:rPr>
      </w:pPr>
    </w:p>
    <w:p>
      <w:pPr>
        <w:jc w:val="both"/>
        <w:ind w:right="100" w:firstLine="437"/>
        <w:spacing w:after="0" w:line="246"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March 31, 2021,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2. Unregistered Sales of Equity Securities and Use of Proceeds</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39" w:lineRule="exact"/>
        <w:rPr>
          <w:sz w:val="20"/>
          <w:szCs w:val="20"/>
          <w:color w:val="auto"/>
        </w:rPr>
      </w:pPr>
    </w:p>
    <w:p>
      <w:pPr>
        <w:jc w:val="both"/>
        <w:ind w:right="100" w:firstLine="437"/>
        <w:spacing w:after="0" w:line="251" w:lineRule="auto"/>
        <w:rPr>
          <w:sz w:val="20"/>
          <w:szCs w:val="20"/>
          <w:color w:val="auto"/>
        </w:rPr>
      </w:pPr>
      <w:r>
        <w:rPr>
          <w:rFonts w:ascii="Arial" w:cs="Arial" w:eastAsia="Arial" w:hAnsi="Arial"/>
          <w:sz w:val="18"/>
          <w:szCs w:val="18"/>
          <w:color w:val="auto"/>
        </w:rPr>
        <w:t>During the three months ended December 31, 2021, we repurchased $85.3 million of common stock, or approximately 1.3 million shares, under our share repurchase program. A summary of our repurchases of common stock is as follows:</w:t>
      </w: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Total number of</w:t>
            </w:r>
          </w:p>
        </w:tc>
        <w:tc>
          <w:tcPr>
            <w:tcW w:w="80" w:type="dxa"/>
            <w:vAlign w:val="bottom"/>
          </w:tcPr>
          <w:p>
            <w:pPr>
              <w:spacing w:after="0"/>
              <w:rPr>
                <w:sz w:val="16"/>
                <w:szCs w:val="16"/>
                <w:color w:val="auto"/>
              </w:rPr>
            </w:pPr>
          </w:p>
        </w:tc>
        <w:tc>
          <w:tcPr>
            <w:tcW w:w="1520" w:type="dxa"/>
            <w:vAlign w:val="bottom"/>
          </w:tcPr>
          <w:p>
            <w:pPr>
              <w:jc w:val="center"/>
              <w:ind w:left="461"/>
              <w:spacing w:after="0"/>
              <w:rPr>
                <w:sz w:val="20"/>
                <w:szCs w:val="20"/>
                <w:color w:val="auto"/>
              </w:rPr>
            </w:pPr>
            <w:r>
              <w:rPr>
                <w:rFonts w:ascii="Arial" w:cs="Arial" w:eastAsia="Arial" w:hAnsi="Arial"/>
                <w:sz w:val="16"/>
                <w:szCs w:val="16"/>
                <w:b w:val="1"/>
                <w:bCs w:val="1"/>
                <w:color w:val="auto"/>
              </w:rPr>
              <w:t>Approximate</w:t>
            </w: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9"/>
              </w:rPr>
              <w:t>dollar value of shar</w:t>
            </w: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Total number of</w:t>
            </w:r>
          </w:p>
        </w:tc>
        <w:tc>
          <w:tcPr>
            <w:tcW w:w="460" w:type="dxa"/>
            <w:vAlign w:val="bottom"/>
          </w:tcPr>
          <w:p>
            <w:pPr>
              <w:spacing w:after="0"/>
              <w:rPr>
                <w:sz w:val="13"/>
                <w:szCs w:val="13"/>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Average price paid</w:t>
            </w:r>
          </w:p>
        </w:tc>
        <w:tc>
          <w:tcPr>
            <w:tcW w:w="17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9"/>
              </w:rPr>
              <w:t>shares purchased as</w:t>
            </w:r>
          </w:p>
        </w:tc>
        <w:tc>
          <w:tcPr>
            <w:tcW w:w="80" w:type="dxa"/>
            <w:vAlign w:val="bottom"/>
          </w:tcPr>
          <w:p>
            <w:pPr>
              <w:spacing w:after="0"/>
              <w:rPr>
                <w:sz w:val="13"/>
                <w:szCs w:val="13"/>
                <w:color w:val="auto"/>
              </w:rPr>
            </w:pPr>
          </w:p>
        </w:tc>
        <w:tc>
          <w:tcPr>
            <w:tcW w:w="1520" w:type="dxa"/>
            <w:vAlign w:val="bottom"/>
          </w:tcPr>
          <w:p>
            <w:pPr>
              <w:jc w:val="center"/>
              <w:ind w:left="161"/>
              <w:spacing w:after="0" w:line="159" w:lineRule="exact"/>
              <w:rPr>
                <w:sz w:val="20"/>
                <w:szCs w:val="20"/>
                <w:color w:val="auto"/>
              </w:rPr>
            </w:pPr>
            <w:r>
              <w:rPr>
                <w:rFonts w:ascii="Arial" w:cs="Arial" w:eastAsia="Arial" w:hAnsi="Arial"/>
                <w:sz w:val="16"/>
                <w:szCs w:val="16"/>
                <w:b w:val="1"/>
                <w:bCs w:val="1"/>
                <w:color w:val="auto"/>
                <w:w w:val="99"/>
              </w:rPr>
              <w:t>that may yet be</w:t>
            </w:r>
          </w:p>
        </w:tc>
        <w:tc>
          <w:tcPr>
            <w:tcW w:w="0" w:type="dxa"/>
            <w:vAlign w:val="bottom"/>
          </w:tcPr>
          <w:p>
            <w:pPr>
              <w:spacing w:after="0"/>
              <w:rPr>
                <w:sz w:val="1"/>
                <w:szCs w:val="1"/>
                <w:color w:val="auto"/>
              </w:rPr>
            </w:pPr>
          </w:p>
        </w:tc>
      </w:tr>
      <w:tr>
        <w:trPr>
          <w:trHeight w:val="159"/>
        </w:trPr>
        <w:tc>
          <w:tcPr>
            <w:tcW w:w="3680" w:type="dxa"/>
            <w:vAlign w:val="bottom"/>
            <w:vMerge w:val="restart"/>
          </w:tcPr>
          <w:p>
            <w:pPr>
              <w:ind w:left="1760"/>
              <w:spacing w:after="0"/>
              <w:rPr>
                <w:sz w:val="20"/>
                <w:szCs w:val="20"/>
                <w:color w:val="auto"/>
              </w:rPr>
            </w:pPr>
            <w:r>
              <w:rPr>
                <w:rFonts w:ascii="Arial" w:cs="Arial" w:eastAsia="Arial" w:hAnsi="Arial"/>
                <w:sz w:val="16"/>
                <w:szCs w:val="16"/>
                <w:b w:val="1"/>
                <w:bCs w:val="1"/>
                <w:color w:val="auto"/>
              </w:rPr>
              <w:t>Period</w:t>
            </w:r>
          </w:p>
        </w:tc>
        <w:tc>
          <w:tcPr>
            <w:tcW w:w="80" w:type="dxa"/>
            <w:vAlign w:val="bottom"/>
            <w:vMerge w:val="restart"/>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7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9"/>
              </w:rPr>
              <w:t>part of publicly</w:t>
            </w:r>
          </w:p>
        </w:tc>
        <w:tc>
          <w:tcPr>
            <w:tcW w:w="80" w:type="dxa"/>
            <w:vAlign w:val="bottom"/>
          </w:tcPr>
          <w:p>
            <w:pPr>
              <w:spacing w:after="0"/>
              <w:rPr>
                <w:sz w:val="13"/>
                <w:szCs w:val="13"/>
                <w:color w:val="auto"/>
              </w:rPr>
            </w:pPr>
          </w:p>
        </w:tc>
        <w:tc>
          <w:tcPr>
            <w:tcW w:w="15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rPr>
              <w:t>purchased under t</w:t>
            </w:r>
          </w:p>
        </w:tc>
        <w:tc>
          <w:tcPr>
            <w:tcW w:w="0" w:type="dxa"/>
            <w:vAlign w:val="bottom"/>
          </w:tcPr>
          <w:p>
            <w:pPr>
              <w:spacing w:after="0"/>
              <w:rPr>
                <w:sz w:val="1"/>
                <w:szCs w:val="1"/>
                <w:color w:val="auto"/>
              </w:rPr>
            </w:pPr>
          </w:p>
        </w:tc>
      </w:tr>
      <w:tr>
        <w:trPr>
          <w:trHeight w:val="212"/>
        </w:trPr>
        <w:tc>
          <w:tcPr>
            <w:tcW w:w="3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7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shares purchased</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per share</w:t>
            </w:r>
          </w:p>
        </w:tc>
        <w:tc>
          <w:tcPr>
            <w:tcW w:w="8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announced programs</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ind w:left="141"/>
              <w:spacing w:after="0"/>
              <w:rPr>
                <w:sz w:val="20"/>
                <w:szCs w:val="20"/>
                <w:color w:val="auto"/>
              </w:rPr>
            </w:pPr>
            <w:r>
              <w:rPr>
                <w:rFonts w:ascii="Arial" w:cs="Arial" w:eastAsia="Arial" w:hAnsi="Arial"/>
                <w:sz w:val="16"/>
                <w:szCs w:val="16"/>
                <w:b w:val="1"/>
                <w:bCs w:val="1"/>
                <w:color w:val="auto"/>
              </w:rPr>
              <w:t>program</w:t>
            </w:r>
          </w:p>
        </w:tc>
        <w:tc>
          <w:tcPr>
            <w:tcW w:w="0" w:type="dxa"/>
            <w:vAlign w:val="bottom"/>
          </w:tcPr>
          <w:p>
            <w:pPr>
              <w:spacing w:after="0"/>
              <w:rPr>
                <w:sz w:val="1"/>
                <w:szCs w:val="1"/>
                <w:color w:val="auto"/>
              </w:rPr>
            </w:pPr>
          </w:p>
        </w:tc>
      </w:tr>
      <w:tr>
        <w:trPr>
          <w:trHeight w:val="205"/>
        </w:trPr>
        <w:tc>
          <w:tcPr>
            <w:tcW w:w="3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October 1 - 31, 2021</w:t>
            </w: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30,000</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61.63</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30,000</w:t>
            </w:r>
          </w:p>
        </w:tc>
        <w:tc>
          <w:tcPr>
            <w:tcW w:w="1600" w:type="dxa"/>
            <w:vAlign w:val="bottom"/>
            <w:gridSpan w:val="2"/>
            <w:shd w:val="clear" w:color="auto" w:fill="CCEEFF"/>
          </w:tcPr>
          <w:p>
            <w:pPr>
              <w:jc w:val="center"/>
              <w:ind w:left="54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3760" w:type="dxa"/>
            <w:vAlign w:val="bottom"/>
            <w:gridSpan w:val="2"/>
          </w:tcPr>
          <w:p>
            <w:pPr>
              <w:ind w:left="340"/>
              <w:spacing w:after="0"/>
              <w:rPr>
                <w:sz w:val="20"/>
                <w:szCs w:val="20"/>
                <w:color w:val="auto"/>
              </w:rPr>
            </w:pPr>
            <w:r>
              <w:rPr>
                <w:rFonts w:ascii="Arial" w:cs="Arial" w:eastAsia="Arial" w:hAnsi="Arial"/>
                <w:sz w:val="16"/>
                <w:szCs w:val="16"/>
                <w:color w:val="auto"/>
              </w:rPr>
              <w:t>November 1 - 30, 2021</w:t>
            </w:r>
          </w:p>
        </w:tc>
        <w:tc>
          <w:tcPr>
            <w:tcW w:w="1720" w:type="dxa"/>
            <w:vAlign w:val="bottom"/>
          </w:tcPr>
          <w:p>
            <w:pPr>
              <w:jc w:val="right"/>
              <w:ind w:right="1"/>
              <w:spacing w:after="0"/>
              <w:rPr>
                <w:sz w:val="20"/>
                <w:szCs w:val="20"/>
                <w:color w:val="auto"/>
              </w:rPr>
            </w:pPr>
            <w:r>
              <w:rPr>
                <w:rFonts w:ascii="Arial" w:cs="Arial" w:eastAsia="Arial" w:hAnsi="Arial"/>
                <w:sz w:val="16"/>
                <w:szCs w:val="16"/>
                <w:color w:val="auto"/>
              </w:rPr>
              <w:t>694,500</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65.35</w:t>
            </w:r>
          </w:p>
        </w:tc>
        <w:tc>
          <w:tcPr>
            <w:tcW w:w="8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694,500</w:t>
            </w:r>
          </w:p>
        </w:tc>
        <w:tc>
          <w:tcPr>
            <w:tcW w:w="1600" w:type="dxa"/>
            <w:vAlign w:val="bottom"/>
            <w:gridSpan w:val="2"/>
          </w:tcPr>
          <w:p>
            <w:pPr>
              <w:jc w:val="center"/>
              <w:ind w:left="54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2"/>
        </w:trPr>
        <w:tc>
          <w:tcPr>
            <w:tcW w:w="3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December 1 - 31, 2021</w:t>
            </w: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573,700</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66.39</w:t>
            </w:r>
          </w:p>
        </w:tc>
        <w:tc>
          <w:tcPr>
            <w:tcW w:w="8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573,700</w:t>
            </w:r>
          </w:p>
        </w:tc>
        <w:tc>
          <w:tcPr>
            <w:tcW w:w="1600" w:type="dxa"/>
            <w:vAlign w:val="bottom"/>
            <w:gridSpan w:val="2"/>
            <w:shd w:val="clear" w:color="auto" w:fill="CCEEFF"/>
          </w:tcPr>
          <w:p>
            <w:pPr>
              <w:jc w:val="center"/>
              <w:ind w:left="54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5"/>
        </w:trPr>
        <w:tc>
          <w:tcPr>
            <w:tcW w:w="3760" w:type="dxa"/>
            <w:vAlign w:val="bottom"/>
            <w:gridSpan w:val="2"/>
          </w:tcPr>
          <w:p>
            <w:pPr>
              <w:ind w:left="340"/>
              <w:spacing w:after="0"/>
              <w:rPr>
                <w:sz w:val="20"/>
                <w:szCs w:val="20"/>
                <w:color w:val="auto"/>
              </w:rPr>
            </w:pPr>
            <w:r>
              <w:rPr>
                <w:rFonts w:ascii="Arial" w:cs="Arial" w:eastAsia="Arial" w:hAnsi="Arial"/>
                <w:sz w:val="16"/>
                <w:szCs w:val="16"/>
                <w:color w:val="auto"/>
              </w:rPr>
              <w:t>Three months ended December 31, 2021</w:t>
            </w: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1,298,200</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65.72</w:t>
            </w:r>
          </w:p>
        </w:tc>
        <w:tc>
          <w:tcPr>
            <w:tcW w:w="80" w:type="dxa"/>
            <w:vAlign w:val="bottom"/>
          </w:tcPr>
          <w:p>
            <w:pPr>
              <w:spacing w:after="0"/>
              <w:rPr>
                <w:sz w:val="17"/>
                <w:szCs w:val="17"/>
                <w:color w:val="auto"/>
              </w:rPr>
            </w:pP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1,298,200</w:t>
            </w: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both"/>
        <w:ind w:left="320" w:right="100" w:firstLine="4"/>
        <w:spacing w:after="0" w:line="24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Board has approved, and we intend to execute, a capital allocation policy that provides for the repurchase of $200 million of our common stock for the period from February 1, 2021 through the end of our 2022 fiscal year, plus the use of approximately 75% of our fiscal 2022 free cash flow for additional repurchases during fiscal year 2022. Since February 1, 2021 through December 31, 2021 we have repurchased $327.5 million of common stock.</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3. Defaults upon Senior Securities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4. Mine Safety Disclosures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81" w:lineRule="exact"/>
        <w:rPr>
          <w:sz w:val="20"/>
          <w:szCs w:val="20"/>
          <w:color w:val="auto"/>
        </w:rPr>
      </w:pPr>
    </w:p>
    <w:p>
      <w:pPr>
        <w:jc w:val="center"/>
        <w:ind w:right="9240"/>
        <w:spacing w:after="0"/>
        <w:rPr>
          <w:sz w:val="20"/>
          <w:szCs w:val="20"/>
          <w:color w:val="auto"/>
        </w:rPr>
      </w:pPr>
      <w:r>
        <w:rPr>
          <w:rFonts w:ascii="Arial" w:cs="Arial" w:eastAsia="Arial" w:hAnsi="Arial"/>
          <w:sz w:val="17"/>
          <w:szCs w:val="17"/>
          <w:b w:val="1"/>
          <w:bCs w:val="1"/>
          <w:color w:val="00B2A9"/>
        </w:rPr>
        <w:t>Item 5. Other Information</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3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00B2A9"/>
        </w:rPr>
        <w:t>Item 6. Exhibits</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Arial" w:cs="Arial" w:eastAsia="Arial" w:hAnsi="Arial"/>
                <w:sz w:val="16"/>
                <w:szCs w:val="16"/>
                <w:b w:val="1"/>
                <w:bCs w:val="1"/>
                <w:color w:val="auto"/>
              </w:rPr>
              <w:t>Exhibit No.</w:t>
            </w:r>
          </w:p>
        </w:tc>
        <w:tc>
          <w:tcPr>
            <w:tcW w:w="466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192"/>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35">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Credit Agreement, dated December 13, 2021, by and among Commvault Systems, Inc., the Lenders from time to time party thereto, and</w:t>
            </w:r>
          </w:p>
        </w:tc>
      </w:tr>
      <w:tr>
        <w:trPr>
          <w:trHeight w:val="174"/>
        </w:trPr>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20" w:type="dxa"/>
            <w:vAlign w:val="bottom"/>
            <w:gridSpan w:val="3"/>
          </w:tcPr>
          <w:p>
            <w:pPr>
              <w:ind w:left="80"/>
              <w:spacing w:after="0" w:line="174" w:lineRule="exact"/>
              <w:rPr>
                <w:sz w:val="20"/>
                <w:szCs w:val="20"/>
                <w:color w:val="auto"/>
              </w:rPr>
            </w:pPr>
            <w:r>
              <w:rPr>
                <w:rFonts w:ascii="Arial" w:cs="Arial" w:eastAsia="Arial" w:hAnsi="Arial"/>
                <w:sz w:val="16"/>
                <w:szCs w:val="16"/>
                <w:color w:val="auto"/>
              </w:rPr>
              <w:t>JPMorgan Chase Bank, N.A., as Administrative Agent</w:t>
            </w:r>
          </w:p>
        </w:tc>
      </w:tr>
      <w:tr>
        <w:trPr>
          <w:trHeight w:val="177"/>
        </w:trPr>
        <w:tc>
          <w:tcPr>
            <w:tcW w:w="320" w:type="dxa"/>
            <w:vAlign w:val="bottom"/>
            <w:tcBorders>
              <w:bottom w:val="single" w:sz="8" w:color="0000FF"/>
            </w:tcBorders>
            <w:gridSpan w:val="2"/>
          </w:tcPr>
          <w:p>
            <w:pPr>
              <w:spacing w:after="0" w:line="178" w:lineRule="exact"/>
              <w:rPr>
                <w:rFonts w:ascii="Arial" w:cs="Arial" w:eastAsia="Arial" w:hAnsi="Arial"/>
                <w:sz w:val="16"/>
                <w:szCs w:val="16"/>
                <w:color w:val="0000FF"/>
                <w:w w:val="96"/>
              </w:rPr>
            </w:pPr>
            <w:hyperlink w:anchor="page148">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20" w:type="dxa"/>
            <w:vAlign w:val="bottom"/>
            <w:gridSpan w:val="3"/>
          </w:tcPr>
          <w:p>
            <w:pPr>
              <w:ind w:left="80"/>
              <w:spacing w:after="0" w:line="178" w:lineRule="exact"/>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192"/>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149">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192"/>
        </w:trPr>
        <w:tc>
          <w:tcPr>
            <w:tcW w:w="380" w:type="dxa"/>
            <w:vAlign w:val="bottom"/>
            <w:tcBorders>
              <w:bottom w:val="single" w:sz="8" w:color="0000FF"/>
            </w:tcBorders>
            <w:gridSpan w:val="3"/>
          </w:tcPr>
          <w:p>
            <w:pPr>
              <w:spacing w:after="0"/>
              <w:rPr>
                <w:rFonts w:ascii="Arial" w:cs="Arial" w:eastAsia="Arial" w:hAnsi="Arial"/>
                <w:sz w:val="16"/>
                <w:szCs w:val="16"/>
                <w:color w:val="0000FF"/>
                <w:w w:val="96"/>
              </w:rPr>
            </w:pPr>
            <w:hyperlink w:anchor="page150">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Certification of Chief Executive Officer Pursuant to Section 906 of the Sarbanes-Oxley Act of 2002</w:t>
            </w:r>
          </w:p>
        </w:tc>
      </w:tr>
      <w:tr>
        <w:trPr>
          <w:trHeight w:val="192"/>
        </w:trPr>
        <w:tc>
          <w:tcPr>
            <w:tcW w:w="380" w:type="dxa"/>
            <w:vAlign w:val="bottom"/>
            <w:tcBorders>
              <w:bottom w:val="single" w:sz="8" w:color="0000FF"/>
            </w:tcBorders>
            <w:gridSpan w:val="3"/>
          </w:tcPr>
          <w:p>
            <w:pPr>
              <w:spacing w:after="0"/>
              <w:rPr>
                <w:rFonts w:ascii="Arial" w:cs="Arial" w:eastAsia="Arial" w:hAnsi="Arial"/>
                <w:sz w:val="16"/>
                <w:szCs w:val="16"/>
                <w:color w:val="0000FF"/>
                <w:w w:val="96"/>
              </w:rPr>
            </w:pPr>
            <w:hyperlink w:anchor="page151">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Certification of Chief Financial Officer Pursuant to Section 906 of the Sarbanes-Oxley Act of 2002</w:t>
            </w:r>
          </w:p>
        </w:tc>
      </w:tr>
      <w:tr>
        <w:trPr>
          <w:trHeight w:val="194"/>
        </w:trPr>
        <w:tc>
          <w:tcPr>
            <w:tcW w:w="1080" w:type="dxa"/>
            <w:vAlign w:val="bottom"/>
            <w:gridSpan w:val="5"/>
          </w:tcPr>
          <w:p>
            <w:pPr>
              <w:spacing w:after="0"/>
              <w:rPr>
                <w:sz w:val="20"/>
                <w:szCs w:val="20"/>
                <w:color w:val="auto"/>
              </w:rPr>
            </w:pPr>
            <w:r>
              <w:rPr>
                <w:rFonts w:ascii="Arial" w:cs="Arial" w:eastAsia="Arial" w:hAnsi="Arial"/>
                <w:sz w:val="16"/>
                <w:szCs w:val="16"/>
                <w:color w:val="auto"/>
              </w:rPr>
              <w:t>101.INS</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w w:val="99"/>
              </w:rPr>
              <w:t>XBRL Instance Document - the instance document does not appear in the Interactive Data File because its XBRL tags are embedded within</w:t>
            </w:r>
          </w:p>
        </w:tc>
      </w:tr>
      <w:tr>
        <w:trPr>
          <w:trHeight w:val="192"/>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the Inline XBRL document.</w:t>
            </w:r>
          </w:p>
        </w:tc>
      </w:tr>
      <w:tr>
        <w:trPr>
          <w:trHeight w:val="212"/>
        </w:trPr>
        <w:tc>
          <w:tcPr>
            <w:tcW w:w="1080" w:type="dxa"/>
            <w:vAlign w:val="bottom"/>
            <w:gridSpan w:val="5"/>
          </w:tcPr>
          <w:p>
            <w:pPr>
              <w:spacing w:after="0"/>
              <w:rPr>
                <w:sz w:val="20"/>
                <w:szCs w:val="20"/>
                <w:color w:val="auto"/>
              </w:rPr>
            </w:pPr>
            <w:r>
              <w:rPr>
                <w:rFonts w:ascii="Arial" w:cs="Arial" w:eastAsia="Arial" w:hAnsi="Arial"/>
                <w:sz w:val="16"/>
                <w:szCs w:val="16"/>
                <w:color w:val="auto"/>
              </w:rPr>
              <w:t>101.SCH</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Schema Document</w:t>
            </w:r>
          </w:p>
        </w:tc>
      </w:tr>
      <w:tr>
        <w:trPr>
          <w:trHeight w:val="212"/>
        </w:trPr>
        <w:tc>
          <w:tcPr>
            <w:tcW w:w="1080" w:type="dxa"/>
            <w:vAlign w:val="bottom"/>
            <w:gridSpan w:val="5"/>
          </w:tcPr>
          <w:p>
            <w:pPr>
              <w:spacing w:after="0"/>
              <w:rPr>
                <w:sz w:val="20"/>
                <w:szCs w:val="20"/>
                <w:color w:val="auto"/>
              </w:rPr>
            </w:pPr>
            <w:r>
              <w:rPr>
                <w:rFonts w:ascii="Arial" w:cs="Arial" w:eastAsia="Arial" w:hAnsi="Arial"/>
                <w:sz w:val="16"/>
                <w:szCs w:val="16"/>
                <w:color w:val="auto"/>
              </w:rPr>
              <w:t>101.CAL</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2"/>
        </w:trPr>
        <w:tc>
          <w:tcPr>
            <w:tcW w:w="1080" w:type="dxa"/>
            <w:vAlign w:val="bottom"/>
            <w:gridSpan w:val="5"/>
          </w:tcPr>
          <w:p>
            <w:pPr>
              <w:spacing w:after="0"/>
              <w:rPr>
                <w:sz w:val="20"/>
                <w:szCs w:val="20"/>
                <w:color w:val="auto"/>
              </w:rPr>
            </w:pPr>
            <w:r>
              <w:rPr>
                <w:rFonts w:ascii="Arial" w:cs="Arial" w:eastAsia="Arial" w:hAnsi="Arial"/>
                <w:sz w:val="16"/>
                <w:szCs w:val="16"/>
                <w:color w:val="auto"/>
              </w:rPr>
              <w:t>101.DEF</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2"/>
        </w:trPr>
        <w:tc>
          <w:tcPr>
            <w:tcW w:w="1080" w:type="dxa"/>
            <w:vAlign w:val="bottom"/>
            <w:gridSpan w:val="5"/>
          </w:tcPr>
          <w:p>
            <w:pPr>
              <w:spacing w:after="0"/>
              <w:rPr>
                <w:sz w:val="20"/>
                <w:szCs w:val="20"/>
                <w:color w:val="auto"/>
              </w:rPr>
            </w:pPr>
            <w:r>
              <w:rPr>
                <w:rFonts w:ascii="Arial" w:cs="Arial" w:eastAsia="Arial" w:hAnsi="Arial"/>
                <w:sz w:val="16"/>
                <w:szCs w:val="16"/>
                <w:color w:val="auto"/>
              </w:rPr>
              <w:t>101.LAB</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Label Linkbase Document</w:t>
            </w:r>
          </w:p>
        </w:tc>
      </w:tr>
      <w:tr>
        <w:trPr>
          <w:trHeight w:val="212"/>
        </w:trPr>
        <w:tc>
          <w:tcPr>
            <w:tcW w:w="1080" w:type="dxa"/>
            <w:vAlign w:val="bottom"/>
            <w:gridSpan w:val="5"/>
          </w:tcPr>
          <w:p>
            <w:pPr>
              <w:spacing w:after="0"/>
              <w:rPr>
                <w:sz w:val="20"/>
                <w:szCs w:val="20"/>
                <w:color w:val="auto"/>
              </w:rPr>
            </w:pPr>
            <w:r>
              <w:rPr>
                <w:rFonts w:ascii="Arial" w:cs="Arial" w:eastAsia="Arial" w:hAnsi="Arial"/>
                <w:sz w:val="16"/>
                <w:szCs w:val="16"/>
                <w:color w:val="auto"/>
              </w:rPr>
              <w:t>101.PRE</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p>
    <w:p>
      <w:pPr>
        <w:ind w:left="20" w:right="3580" w:firstLine="4"/>
        <w:spacing w:after="0" w:line="632" w:lineRule="auto"/>
        <w:tabs>
          <w:tab w:leader="none" w:pos="1186" w:val="left"/>
        </w:tabs>
        <w:numPr>
          <w:ilvl w:val="0"/>
          <w:numId w:val="29"/>
        </w:numPr>
        <w:rPr>
          <w:rFonts w:ascii="Arial" w:cs="Arial" w:eastAsia="Arial" w:hAnsi="Arial"/>
          <w:sz w:val="16"/>
          <w:szCs w:val="16"/>
          <w:color w:val="auto"/>
        </w:rPr>
      </w:pPr>
      <w:r>
        <w:rPr>
          <w:rFonts w:ascii="Arial" w:cs="Arial" w:eastAsia="Arial" w:hAnsi="Arial"/>
          <w:sz w:val="16"/>
          <w:szCs w:val="16"/>
          <w:color w:val="222222"/>
        </w:rPr>
        <w:t xml:space="preserve">Cover Page Interactive Data File (formatted as Inline XBRL and contained in Exhibit 101) </w:t>
      </w:r>
      <w:r>
        <w:rPr>
          <w:rFonts w:ascii="Arial" w:cs="Arial" w:eastAsia="Arial" w:hAnsi="Arial"/>
          <w:sz w:val="16"/>
          <w:szCs w:val="16"/>
          <w:color w:val="000000"/>
        </w:rPr>
        <w:t>* Furnished herewith.</w:t>
      </w: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031" w:right="5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Signatures</w:t>
      </w:r>
    </w:p>
    <w:p>
      <w:pPr>
        <w:spacing w:after="0" w:line="120" w:lineRule="exact"/>
        <w:rPr>
          <w:sz w:val="20"/>
          <w:szCs w:val="20"/>
          <w:color w:val="auto"/>
        </w:rPr>
      </w:pPr>
    </w:p>
    <w:p>
      <w:pPr>
        <w:ind w:right="80" w:firstLine="437"/>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980" w:type="dxa"/>
            <w:vAlign w:val="bottom"/>
          </w:tcPr>
          <w:p>
            <w:pPr>
              <w:ind w:left="680"/>
              <w:spacing w:after="0"/>
              <w:rPr>
                <w:sz w:val="20"/>
                <w:szCs w:val="20"/>
                <w:color w:val="auto"/>
              </w:rPr>
            </w:pPr>
            <w:r>
              <w:rPr>
                <w:rFonts w:ascii="Arial" w:cs="Arial" w:eastAsia="Arial" w:hAnsi="Arial"/>
                <w:sz w:val="18"/>
                <w:szCs w:val="18"/>
                <w:color w:val="auto"/>
              </w:rPr>
              <w:t>Commvault Systems, Inc.</w:t>
            </w:r>
          </w:p>
        </w:tc>
      </w:tr>
      <w:tr>
        <w:trPr>
          <w:trHeight w:val="491"/>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60" w:type="dxa"/>
            <w:vAlign w:val="bottom"/>
          </w:tcPr>
          <w:p>
            <w:pPr>
              <w:ind w:left="160"/>
              <w:spacing w:after="0"/>
              <w:rPr>
                <w:sz w:val="20"/>
                <w:szCs w:val="20"/>
                <w:color w:val="auto"/>
              </w:rPr>
            </w:pPr>
            <w:r>
              <w:rPr>
                <w:rFonts w:ascii="Arial" w:cs="Arial" w:eastAsia="Arial" w:hAnsi="Arial"/>
                <w:sz w:val="18"/>
                <w:szCs w:val="18"/>
                <w:color w:val="auto"/>
              </w:rPr>
              <w:t>January 26, 2022</w:t>
            </w:r>
          </w:p>
        </w:tc>
        <w:tc>
          <w:tcPr>
            <w:tcW w:w="3340" w:type="dxa"/>
            <w:vAlign w:val="bottom"/>
          </w:tcPr>
          <w:p>
            <w:pPr>
              <w:ind w:left="27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Sanjay Mirchandani</w:t>
            </w:r>
          </w:p>
        </w:tc>
      </w:tr>
      <w:tr>
        <w:trPr>
          <w:trHeight w:val="206"/>
        </w:trPr>
        <w:tc>
          <w:tcPr>
            <w:tcW w:w="7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340" w:type="dxa"/>
            <w:vAlign w:val="bottom"/>
          </w:tcPr>
          <w:p>
            <w:pPr>
              <w:ind w:left="2740"/>
              <w:spacing w:after="0" w:line="205" w:lineRule="exact"/>
              <w:rPr>
                <w:sz w:val="20"/>
                <w:szCs w:val="20"/>
                <w:color w:val="auto"/>
              </w:rPr>
            </w:pPr>
            <w:r>
              <w:rPr>
                <w:rFonts w:ascii="Arial" w:cs="Arial" w:eastAsia="Arial" w:hAnsi="Arial"/>
                <w:sz w:val="18"/>
                <w:szCs w:val="18"/>
                <w:color w:val="auto"/>
              </w:rPr>
              <w:t>Sanjay</w:t>
            </w:r>
          </w:p>
        </w:tc>
        <w:tc>
          <w:tcPr>
            <w:tcW w:w="3980" w:type="dxa"/>
            <w:vAlign w:val="bottom"/>
          </w:tcPr>
          <w:p>
            <w:pPr>
              <w:spacing w:after="0" w:line="206" w:lineRule="exact"/>
              <w:rPr>
                <w:sz w:val="20"/>
                <w:szCs w:val="20"/>
                <w:color w:val="auto"/>
              </w:rPr>
            </w:pPr>
            <w:r>
              <w:rPr>
                <w:rFonts w:ascii="Arial" w:cs="Arial" w:eastAsia="Arial" w:hAnsi="Arial"/>
                <w:sz w:val="18"/>
                <w:szCs w:val="18"/>
                <w:color w:val="auto"/>
              </w:rPr>
              <w:t>Mirchandani</w:t>
            </w:r>
          </w:p>
        </w:tc>
      </w:tr>
      <w:tr>
        <w:trPr>
          <w:trHeight w:val="224"/>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7320" w:type="dxa"/>
            <w:vAlign w:val="bottom"/>
            <w:gridSpan w:val="2"/>
          </w:tcPr>
          <w:p>
            <w:pPr>
              <w:ind w:left="2740"/>
              <w:spacing w:after="0"/>
              <w:rPr>
                <w:sz w:val="20"/>
                <w:szCs w:val="20"/>
                <w:color w:val="auto"/>
              </w:rPr>
            </w:pPr>
            <w:r>
              <w:rPr>
                <w:rFonts w:ascii="Arial" w:cs="Arial" w:eastAsia="Arial" w:hAnsi="Arial"/>
                <w:sz w:val="18"/>
                <w:szCs w:val="18"/>
                <w:color w:val="auto"/>
              </w:rPr>
              <w:t>Director, President and Chief Executive Officer</w:t>
            </w:r>
          </w:p>
        </w:tc>
      </w:tr>
      <w:tr>
        <w:trPr>
          <w:trHeight w:val="491"/>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60" w:type="dxa"/>
            <w:vAlign w:val="bottom"/>
          </w:tcPr>
          <w:p>
            <w:pPr>
              <w:ind w:left="160"/>
              <w:spacing w:after="0"/>
              <w:rPr>
                <w:sz w:val="20"/>
                <w:szCs w:val="20"/>
                <w:color w:val="auto"/>
              </w:rPr>
            </w:pPr>
            <w:r>
              <w:rPr>
                <w:rFonts w:ascii="Arial" w:cs="Arial" w:eastAsia="Arial" w:hAnsi="Arial"/>
                <w:sz w:val="18"/>
                <w:szCs w:val="18"/>
                <w:color w:val="auto"/>
              </w:rPr>
              <w:t>January 26, 2022</w:t>
            </w:r>
          </w:p>
        </w:tc>
        <w:tc>
          <w:tcPr>
            <w:tcW w:w="3340" w:type="dxa"/>
            <w:vAlign w:val="bottom"/>
          </w:tcPr>
          <w:p>
            <w:pPr>
              <w:ind w:left="27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Carolan</w:t>
            </w:r>
          </w:p>
        </w:tc>
      </w:tr>
      <w:tr>
        <w:trPr>
          <w:trHeight w:val="206"/>
        </w:trPr>
        <w:tc>
          <w:tcPr>
            <w:tcW w:w="7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340" w:type="dxa"/>
            <w:vAlign w:val="bottom"/>
          </w:tcPr>
          <w:p>
            <w:pPr>
              <w:ind w:left="2740"/>
              <w:spacing w:after="0" w:line="205" w:lineRule="exact"/>
              <w:rPr>
                <w:sz w:val="20"/>
                <w:szCs w:val="20"/>
                <w:color w:val="auto"/>
              </w:rPr>
            </w:pPr>
            <w:r>
              <w:rPr>
                <w:rFonts w:ascii="Arial" w:cs="Arial" w:eastAsia="Arial" w:hAnsi="Arial"/>
                <w:sz w:val="18"/>
                <w:szCs w:val="18"/>
                <w:color w:val="auto"/>
              </w:rPr>
              <w:t>Brian</w:t>
            </w:r>
          </w:p>
        </w:tc>
        <w:tc>
          <w:tcPr>
            <w:tcW w:w="3980" w:type="dxa"/>
            <w:vAlign w:val="bottom"/>
          </w:tcPr>
          <w:p>
            <w:pPr>
              <w:spacing w:after="0" w:line="206" w:lineRule="exact"/>
              <w:rPr>
                <w:sz w:val="20"/>
                <w:szCs w:val="20"/>
                <w:color w:val="auto"/>
              </w:rPr>
            </w:pPr>
            <w:r>
              <w:rPr>
                <w:rFonts w:ascii="Arial" w:cs="Arial" w:eastAsia="Arial" w:hAnsi="Arial"/>
                <w:sz w:val="18"/>
                <w:szCs w:val="18"/>
                <w:color w:val="auto"/>
              </w:rPr>
              <w:t>Carolan</w:t>
            </w:r>
          </w:p>
        </w:tc>
      </w:tr>
      <w:tr>
        <w:trPr>
          <w:trHeight w:val="224"/>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7320" w:type="dxa"/>
            <w:vAlign w:val="bottom"/>
            <w:gridSpan w:val="2"/>
          </w:tcPr>
          <w:p>
            <w:pPr>
              <w:ind w:left="2740"/>
              <w:spacing w:after="0"/>
              <w:rPr>
                <w:sz w:val="20"/>
                <w:szCs w:val="20"/>
                <w:color w:val="auto"/>
              </w:rPr>
            </w:pPr>
            <w:r>
              <w:rPr>
                <w:rFonts w:ascii="Arial" w:cs="Arial" w:eastAsia="Arial" w:hAnsi="Arial"/>
                <w:sz w:val="18"/>
                <w:szCs w:val="18"/>
                <w:color w:val="auto"/>
              </w:rPr>
              <w:t>Vice President and Chief Financial Officer</w:t>
            </w:r>
          </w:p>
        </w:tc>
      </w:tr>
      <w:tr>
        <w:trPr>
          <w:trHeight w:val="848"/>
        </w:trPr>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340" w:type="dxa"/>
            <w:vAlign w:val="bottom"/>
          </w:tcPr>
          <w:p>
            <w:pPr>
              <w:ind w:left="1640"/>
              <w:spacing w:after="0"/>
              <w:rPr>
                <w:sz w:val="20"/>
                <w:szCs w:val="20"/>
                <w:color w:val="auto"/>
              </w:rPr>
            </w:pPr>
            <w:r>
              <w:rPr>
                <w:rFonts w:ascii="Arial" w:cs="Arial" w:eastAsia="Arial" w:hAnsi="Arial"/>
                <w:sz w:val="18"/>
                <w:szCs w:val="18"/>
                <w:color w:val="auto"/>
              </w:rPr>
              <w:t>32</w:t>
            </w:r>
          </w:p>
        </w:tc>
        <w:tc>
          <w:tcPr>
            <w:tcW w:w="3980" w:type="dxa"/>
            <w:vAlign w:val="bottom"/>
          </w:tcPr>
          <w:p>
            <w:pPr>
              <w:spacing w:after="0"/>
              <w:rPr>
                <w:sz w:val="24"/>
                <w:szCs w:val="24"/>
                <w:color w:val="auto"/>
              </w:rPr>
            </w:pPr>
          </w:p>
        </w:tc>
      </w:tr>
    </w:tbl>
    <w:p>
      <w:pPr>
        <w:sectPr>
          <w:pgSz w:w="11900" w:h="16838" w:orient="portrait"/>
          <w:cols w:equalWidth="0" w:num="1">
            <w:col w:w="11200"/>
          </w:cols>
          <w:pgMar w:left="320" w:top="1031" w:right="37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1763395</wp:posOffset>
            </wp:positionV>
            <wp:extent cx="679005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90055" cy="16510"/>
                    </a:xfrm>
                    <a:prstGeom prst="rect">
                      <a:avLst/>
                    </a:prstGeom>
                    <a:noFill/>
                  </pic:spPr>
                </pic:pic>
              </a:graphicData>
            </a:graphic>
          </wp:anchor>
        </w:drawing>
        <w:drawing>
          <wp:anchor simplePos="0" relativeHeight="251657728" behindDoc="1" locked="0" layoutInCell="0" allowOverlap="1">
            <wp:simplePos x="0" y="0"/>
            <wp:positionH relativeFrom="page">
              <wp:posOffset>2781300</wp:posOffset>
            </wp:positionH>
            <wp:positionV relativeFrom="page">
              <wp:posOffset>2183765</wp:posOffset>
            </wp:positionV>
            <wp:extent cx="1649095" cy="361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649095" cy="36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CREDIT AGREEMENT</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dated as of</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December 13, 2021</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among</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COMMVAULT SYSTEMS, INC.</w:t>
      </w:r>
    </w:p>
    <w:p>
      <w:pPr>
        <w:spacing w:after="0" w:line="285"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The Lenders Party Hereto</w:t>
      </w:r>
    </w:p>
    <w:p>
      <w:pPr>
        <w:spacing w:after="0" w:line="285"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and</w:t>
      </w:r>
    </w:p>
    <w:p>
      <w:pPr>
        <w:spacing w:after="0" w:line="136" w:lineRule="exact"/>
        <w:rPr>
          <w:sz w:val="20"/>
          <w:szCs w:val="20"/>
          <w:color w:val="auto"/>
        </w:rPr>
      </w:pPr>
    </w:p>
    <w:p>
      <w:pPr>
        <w:ind w:left="2820"/>
        <w:spacing w:after="0"/>
        <w:rPr>
          <w:sz w:val="20"/>
          <w:szCs w:val="20"/>
          <w:color w:val="auto"/>
        </w:rPr>
      </w:pPr>
      <w:r>
        <w:rPr>
          <w:rFonts w:ascii="Arial" w:cs="Arial" w:eastAsia="Arial" w:hAnsi="Arial"/>
          <w:sz w:val="19"/>
          <w:szCs w:val="19"/>
          <w:color w:val="auto"/>
        </w:rPr>
        <w:t>JPMORGAN CHASE BANK, N.A.</w:t>
      </w:r>
    </w:p>
    <w:p>
      <w:pPr>
        <w:ind w:left="3280"/>
        <w:spacing w:after="0"/>
        <w:rPr>
          <w:sz w:val="20"/>
          <w:szCs w:val="20"/>
          <w:color w:val="auto"/>
        </w:rPr>
      </w:pPr>
      <w:r>
        <w:rPr>
          <w:rFonts w:ascii="Arial" w:cs="Arial" w:eastAsia="Arial" w:hAnsi="Arial"/>
          <w:sz w:val="19"/>
          <w:szCs w:val="19"/>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207010</wp:posOffset>
            </wp:positionV>
            <wp:extent cx="2969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6989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JPMORGAN CHASE BANK, N.A.</w:t>
      </w:r>
    </w:p>
    <w:p>
      <w:pPr>
        <w:jc w:val="center"/>
        <w:ind w:right="539"/>
        <w:spacing w:after="0"/>
        <w:rPr>
          <w:sz w:val="20"/>
          <w:szCs w:val="20"/>
          <w:color w:val="auto"/>
        </w:rPr>
      </w:pPr>
      <w:r>
        <w:rPr>
          <w:rFonts w:ascii="Arial" w:cs="Arial" w:eastAsia="Arial" w:hAnsi="Arial"/>
          <w:sz w:val="17"/>
          <w:szCs w:val="17"/>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19685</wp:posOffset>
            </wp:positionV>
            <wp:extent cx="679005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90055" cy="165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 w:name="page36"/>
    <w:bookmarkEnd w:id="35"/>
    <w:p>
      <w:pPr>
        <w:jc w:val="center"/>
        <w:ind w:right="80"/>
        <w:spacing w:after="0"/>
        <w:rPr>
          <w:sz w:val="20"/>
          <w:szCs w:val="20"/>
          <w:color w:val="auto"/>
        </w:rPr>
      </w:pPr>
      <w:r>
        <w:rPr>
          <w:rFonts w:ascii="Arial" w:cs="Arial" w:eastAsia="Arial" w:hAnsi="Arial"/>
          <w:sz w:val="19"/>
          <w:szCs w:val="19"/>
          <w:u w:val="single" w:color="auto"/>
          <w:color w:val="auto"/>
        </w:rPr>
        <w:t>Table of Contents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820" w:type="dxa"/>
            <w:vAlign w:val="bottom"/>
            <w:gridSpan w:val="2"/>
          </w:tcPr>
          <w:p>
            <w:pPr>
              <w:spacing w:after="0"/>
              <w:rPr>
                <w:rFonts w:ascii="Arial" w:cs="Arial" w:eastAsia="Arial" w:hAnsi="Arial"/>
                <w:sz w:val="19"/>
                <w:szCs w:val="19"/>
                <w:color w:val="0000FF"/>
                <w:w w:val="96"/>
              </w:rPr>
            </w:pPr>
            <w:hyperlink w:anchor="page39">
              <w:r>
                <w:rPr>
                  <w:rFonts w:ascii="Arial" w:cs="Arial" w:eastAsia="Arial" w:hAnsi="Arial"/>
                  <w:sz w:val="19"/>
                  <w:szCs w:val="19"/>
                  <w:color w:val="0000FF"/>
                  <w:w w:val="96"/>
                </w:rPr>
                <w:t>ARTICLE I Definitions</w:t>
              </w:r>
            </w:hyperlink>
          </w:p>
        </w:tc>
        <w:tc>
          <w:tcPr>
            <w:tcW w:w="8660" w:type="dxa"/>
            <w:vAlign w:val="bottom"/>
            <w:gridSpan w:val="30"/>
          </w:tcPr>
          <w:p>
            <w:pPr>
              <w:spacing w:after="0"/>
              <w:rPr>
                <w:sz w:val="18"/>
                <w:szCs w:val="18"/>
                <w:color w:val="auto"/>
              </w:rPr>
            </w:pPr>
          </w:p>
        </w:tc>
        <w:tc>
          <w:tcPr>
            <w:tcW w:w="18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1</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3"/>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1.01.</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Defined Terms</w:t>
              </w:r>
            </w:hyperlink>
          </w:p>
        </w:tc>
        <w:tc>
          <w:tcPr>
            <w:tcW w:w="18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1</w:t>
              </w:r>
            </w:hyperlink>
          </w:p>
        </w:tc>
      </w:tr>
      <w:tr>
        <w:trPr>
          <w:trHeight w:val="20"/>
        </w:trPr>
        <w:tc>
          <w:tcPr>
            <w:tcW w:w="18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10480" w:type="dxa"/>
            <w:vAlign w:val="bottom"/>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1.02.  Classification of Loans and Borrowings</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32</w:t>
              </w:r>
            </w:hyperlink>
          </w:p>
        </w:tc>
      </w:tr>
      <w:tr>
        <w:trPr>
          <w:trHeight w:val="218"/>
        </w:trPr>
        <w:tc>
          <w:tcPr>
            <w:tcW w:w="1360" w:type="dxa"/>
            <w:vAlign w:val="bottom"/>
            <w:tcBorders>
              <w:top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1.03.</w:t>
              </w:r>
            </w:hyperlink>
          </w:p>
        </w:tc>
        <w:tc>
          <w:tcPr>
            <w:tcW w:w="3200" w:type="dxa"/>
            <w:vAlign w:val="bottom"/>
            <w:tcBorders>
              <w:top w:val="single" w:sz="8" w:color="0000FF"/>
            </w:tcBorders>
            <w:gridSpan w:val="26"/>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Terms Generally</w:t>
              </w:r>
            </w:hyperlink>
          </w:p>
        </w:tc>
        <w:tc>
          <w:tcPr>
            <w:tcW w:w="5920" w:type="dxa"/>
            <w:vAlign w:val="bottom"/>
            <w:gridSpan w:val="5"/>
          </w:tcPr>
          <w:p>
            <w:pPr>
              <w:spacing w:after="0"/>
              <w:rPr>
                <w:sz w:val="19"/>
                <w:szCs w:val="19"/>
                <w:color w:val="auto"/>
              </w:rPr>
            </w:pPr>
          </w:p>
        </w:tc>
        <w:tc>
          <w:tcPr>
            <w:tcW w:w="180" w:type="dxa"/>
            <w:vAlign w:val="bottom"/>
            <w:tcBorders>
              <w:top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32</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18"/>
        </w:trPr>
        <w:tc>
          <w:tcPr>
            <w:tcW w:w="5480" w:type="dxa"/>
            <w:vAlign w:val="bottom"/>
            <w:tcBorders>
              <w:bottom w:val="single" w:sz="8" w:color="0000FF"/>
            </w:tcBorders>
            <w:gridSpan w:val="30"/>
          </w:tcPr>
          <w:p>
            <w:pPr>
              <w:spacing w:after="0"/>
              <w:rPr>
                <w:rFonts w:ascii="Arial" w:cs="Arial" w:eastAsia="Arial" w:hAnsi="Arial"/>
                <w:sz w:val="19"/>
                <w:szCs w:val="19"/>
                <w:color w:val="0000FF"/>
                <w:w w:val="96"/>
              </w:rPr>
            </w:pPr>
            <w:hyperlink w:anchor="page39">
              <w:r>
                <w:rPr>
                  <w:rFonts w:ascii="Arial" w:cs="Arial" w:eastAsia="Arial" w:hAnsi="Arial"/>
                  <w:sz w:val="19"/>
                  <w:szCs w:val="19"/>
                  <w:color w:val="0000FF"/>
                  <w:w w:val="96"/>
                </w:rPr>
                <w:t>SECTION 1.04.  Accounting Terms; GAAP; Pro Forma Calculations</w:t>
              </w:r>
            </w:hyperlink>
          </w:p>
        </w:tc>
        <w:tc>
          <w:tcPr>
            <w:tcW w:w="5000" w:type="dxa"/>
            <w:vAlign w:val="bottom"/>
            <w:gridSpan w:val="2"/>
          </w:tcPr>
          <w:p>
            <w:pPr>
              <w:spacing w:after="0"/>
              <w:rPr>
                <w:sz w:val="19"/>
                <w:szCs w:val="19"/>
                <w:color w:val="auto"/>
              </w:rPr>
            </w:pP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33</w:t>
              </w:r>
            </w:hyperlink>
          </w:p>
        </w:tc>
      </w:tr>
      <w:tr>
        <w:trPr>
          <w:trHeight w:val="219"/>
        </w:trPr>
        <w:tc>
          <w:tcPr>
            <w:tcW w:w="4520" w:type="dxa"/>
            <w:vAlign w:val="bottom"/>
            <w:tcBorders>
              <w:bottom w:val="single" w:sz="8" w:color="0000FF"/>
            </w:tcBorders>
            <w:gridSpan w:val="25"/>
          </w:tcPr>
          <w:p>
            <w:pPr>
              <w:spacing w:after="0"/>
              <w:rPr>
                <w:rFonts w:ascii="Arial" w:cs="Arial" w:eastAsia="Arial" w:hAnsi="Arial"/>
                <w:sz w:val="19"/>
                <w:szCs w:val="19"/>
                <w:color w:val="0000FF"/>
                <w:w w:val="96"/>
              </w:rPr>
            </w:pPr>
            <w:hyperlink w:anchor="page39">
              <w:r>
                <w:rPr>
                  <w:rFonts w:ascii="Arial" w:cs="Arial" w:eastAsia="Arial" w:hAnsi="Arial"/>
                  <w:sz w:val="19"/>
                  <w:szCs w:val="19"/>
                  <w:color w:val="0000FF"/>
                  <w:w w:val="96"/>
                </w:rPr>
                <w:t>SECTION 1.05.  Interest Rates; Benchmark Notification</w:t>
              </w:r>
            </w:hyperlink>
          </w:p>
        </w:tc>
        <w:tc>
          <w:tcPr>
            <w:tcW w:w="5960" w:type="dxa"/>
            <w:vAlign w:val="bottom"/>
            <w:gridSpan w:val="7"/>
          </w:tcPr>
          <w:p>
            <w:pPr>
              <w:spacing w:after="0"/>
              <w:rPr>
                <w:sz w:val="19"/>
                <w:szCs w:val="19"/>
                <w:color w:val="auto"/>
              </w:rPr>
            </w:pP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34</w:t>
              </w:r>
            </w:hyperlink>
          </w:p>
        </w:tc>
      </w:tr>
      <w:tr>
        <w:trPr>
          <w:trHeight w:val="219"/>
        </w:trPr>
        <w:tc>
          <w:tcPr>
            <w:tcW w:w="10480" w:type="dxa"/>
            <w:vAlign w:val="bottom"/>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1.06.  Status of Obligations</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34</w:t>
              </w:r>
            </w:hyperlink>
          </w:p>
        </w:tc>
      </w:tr>
      <w:tr>
        <w:trPr>
          <w:trHeight w:val="20"/>
        </w:trPr>
        <w:tc>
          <w:tcPr>
            <w:tcW w:w="18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18"/>
        </w:trPr>
        <w:tc>
          <w:tcPr>
            <w:tcW w:w="3460" w:type="dxa"/>
            <w:vAlign w:val="bottom"/>
            <w:tcBorders>
              <w:bottom w:val="single" w:sz="8" w:color="0000FF"/>
            </w:tcBorders>
            <w:gridSpan w:val="20"/>
          </w:tcPr>
          <w:p>
            <w:pPr>
              <w:spacing w:after="0"/>
              <w:rPr>
                <w:rFonts w:ascii="Arial" w:cs="Arial" w:eastAsia="Arial" w:hAnsi="Arial"/>
                <w:sz w:val="19"/>
                <w:szCs w:val="19"/>
                <w:color w:val="0000FF"/>
                <w:w w:val="98"/>
              </w:rPr>
            </w:pPr>
            <w:hyperlink w:anchor="page39">
              <w:r>
                <w:rPr>
                  <w:rFonts w:ascii="Arial" w:cs="Arial" w:eastAsia="Arial" w:hAnsi="Arial"/>
                  <w:sz w:val="19"/>
                  <w:szCs w:val="19"/>
                  <w:color w:val="0000FF"/>
                  <w:w w:val="98"/>
                </w:rPr>
                <w:t>SECTION 1.07.  Letter of Credit Amounts</w:t>
              </w:r>
            </w:hyperlink>
          </w:p>
        </w:tc>
        <w:tc>
          <w:tcPr>
            <w:tcW w:w="7020" w:type="dxa"/>
            <w:vAlign w:val="bottom"/>
            <w:gridSpan w:val="12"/>
          </w:tcPr>
          <w:p>
            <w:pPr>
              <w:spacing w:after="0"/>
              <w:rPr>
                <w:sz w:val="19"/>
                <w:szCs w:val="19"/>
                <w:color w:val="auto"/>
              </w:rPr>
            </w:pP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34</w:t>
              </w:r>
            </w:hyperlink>
          </w:p>
        </w:tc>
      </w:t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1.08.</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Divisions</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35</w:t>
              </w:r>
            </w:hyperlink>
          </w:p>
        </w:tc>
      </w:tr>
      <w:tr>
        <w:trPr>
          <w:trHeight w:val="470"/>
        </w:trPr>
        <w:tc>
          <w:tcPr>
            <w:tcW w:w="1940" w:type="dxa"/>
            <w:vAlign w:val="bottom"/>
            <w:tcBorders>
              <w:top w:val="single" w:sz="8" w:color="0000FF"/>
              <w:bottom w:val="single" w:sz="8" w:color="0000FF"/>
            </w:tcBorders>
            <w:gridSpan w:val="4"/>
          </w:tcPr>
          <w:p>
            <w:pPr>
              <w:spacing w:after="0"/>
              <w:rPr>
                <w:rFonts w:ascii="Arial" w:cs="Arial" w:eastAsia="Arial" w:hAnsi="Arial"/>
                <w:sz w:val="19"/>
                <w:szCs w:val="19"/>
                <w:color w:val="0000FF"/>
                <w:w w:val="96"/>
              </w:rPr>
            </w:pPr>
            <w:hyperlink w:anchor="page39">
              <w:r>
                <w:rPr>
                  <w:rFonts w:ascii="Arial" w:cs="Arial" w:eastAsia="Arial" w:hAnsi="Arial"/>
                  <w:sz w:val="19"/>
                  <w:szCs w:val="19"/>
                  <w:color w:val="0000FF"/>
                  <w:w w:val="96"/>
                </w:rPr>
                <w:t>ARTICLE II The Credits</w:t>
              </w:r>
            </w:hyperlink>
          </w:p>
        </w:tc>
        <w:tc>
          <w:tcPr>
            <w:tcW w:w="260" w:type="dxa"/>
            <w:vAlign w:val="bottom"/>
            <w:tcBorders>
              <w:top w:val="single" w:sz="8" w:color="0000FF"/>
            </w:tcBorders>
            <w:gridSpan w:val="2"/>
          </w:tcPr>
          <w:p>
            <w:pPr>
              <w:spacing w:after="0"/>
              <w:rPr>
                <w:sz w:val="24"/>
                <w:szCs w:val="24"/>
                <w:color w:val="auto"/>
              </w:rPr>
            </w:pPr>
          </w:p>
        </w:tc>
        <w:tc>
          <w:tcPr>
            <w:tcW w:w="8280" w:type="dxa"/>
            <w:vAlign w:val="bottom"/>
            <w:gridSpan w:val="26"/>
          </w:tcPr>
          <w:p>
            <w:pPr>
              <w:spacing w:after="0"/>
              <w:rPr>
                <w:sz w:val="24"/>
                <w:szCs w:val="24"/>
                <w:color w:val="auto"/>
              </w:rPr>
            </w:pPr>
          </w:p>
        </w:tc>
        <w:tc>
          <w:tcPr>
            <w:tcW w:w="180" w:type="dxa"/>
            <w:vAlign w:val="bottom"/>
            <w:tcBorders>
              <w:top w:val="single" w:sz="8" w:color="auto"/>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35</w:t>
              </w:r>
            </w:hyperlink>
          </w:p>
        </w:tc>
      </w:tr>
      <w:tr>
        <w:trPr>
          <w:trHeight w:val="483"/>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2.01.</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Commitments</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35</w:t>
              </w:r>
            </w:hyperlink>
          </w:p>
        </w:tc>
      </w:tr>
      <w:tr>
        <w:trPr>
          <w:trHeight w:val="20"/>
        </w:trPr>
        <w:tc>
          <w:tcPr>
            <w:tcW w:w="18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18"/>
        </w:trPr>
        <w:tc>
          <w:tcPr>
            <w:tcW w:w="3240" w:type="dxa"/>
            <w:vAlign w:val="bottom"/>
            <w:tcBorders>
              <w:bottom w:val="single" w:sz="8" w:color="0000FF"/>
            </w:tcBorders>
            <w:gridSpan w:val="16"/>
          </w:tcPr>
          <w:p>
            <w:pPr>
              <w:spacing w:after="0"/>
              <w:rPr>
                <w:rFonts w:ascii="Arial" w:cs="Arial" w:eastAsia="Arial" w:hAnsi="Arial"/>
                <w:sz w:val="19"/>
                <w:szCs w:val="19"/>
                <w:color w:val="0000FF"/>
                <w:w w:val="97"/>
              </w:rPr>
            </w:pPr>
            <w:hyperlink w:anchor="page39">
              <w:r>
                <w:rPr>
                  <w:rFonts w:ascii="Arial" w:cs="Arial" w:eastAsia="Arial" w:hAnsi="Arial"/>
                  <w:sz w:val="19"/>
                  <w:szCs w:val="19"/>
                  <w:color w:val="0000FF"/>
                  <w:w w:val="97"/>
                </w:rPr>
                <w:t>SECTION 2.02.  Loans and Borrowings</w:t>
              </w:r>
            </w:hyperlink>
          </w:p>
        </w:tc>
        <w:tc>
          <w:tcPr>
            <w:tcW w:w="7240" w:type="dxa"/>
            <w:vAlign w:val="bottom"/>
            <w:gridSpan w:val="16"/>
          </w:tcPr>
          <w:p>
            <w:pPr>
              <w:spacing w:after="0"/>
              <w:rPr>
                <w:sz w:val="19"/>
                <w:szCs w:val="19"/>
                <w:color w:val="auto"/>
              </w:rPr>
            </w:pP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35</w:t>
              </w:r>
            </w:hyperlink>
          </w:p>
        </w:tc>
      </w:tr>
      <w:tr>
        <w:trPr>
          <w:trHeight w:val="219"/>
        </w:trPr>
        <w:tc>
          <w:tcPr>
            <w:tcW w:w="10480" w:type="dxa"/>
            <w:vAlign w:val="bottom"/>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2.03.  Requests for Revolving Borrowings</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36</w:t>
              </w:r>
            </w:hyperlink>
          </w:p>
        </w:tc>
      </w:tr>
      <w:tr>
        <w:trPr>
          <w:trHeight w:val="218"/>
        </w:trPr>
        <w:tc>
          <w:tcPr>
            <w:tcW w:w="1360" w:type="dxa"/>
            <w:vAlign w:val="bottom"/>
            <w:tcBorders>
              <w:top w:val="single" w:sz="8" w:color="0000FF"/>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2.04.</w:t>
              </w:r>
            </w:hyperlink>
          </w:p>
        </w:tc>
        <w:tc>
          <w:tcPr>
            <w:tcW w:w="1920" w:type="dxa"/>
            <w:vAlign w:val="bottom"/>
            <w:tcBorders>
              <w:top w:val="single" w:sz="8" w:color="0000FF"/>
              <w:bottom w:val="single" w:sz="8" w:color="0000FF"/>
            </w:tcBorders>
            <w:gridSpan w:val="16"/>
          </w:tcPr>
          <w:p>
            <w:pPr>
              <w:ind w:left="100"/>
              <w:spacing w:after="0"/>
              <w:rPr>
                <w:rFonts w:ascii="Arial" w:cs="Arial" w:eastAsia="Arial" w:hAnsi="Arial"/>
                <w:sz w:val="19"/>
                <w:szCs w:val="19"/>
                <w:color w:val="0000FF"/>
                <w:w w:val="97"/>
              </w:rPr>
            </w:pPr>
            <w:hyperlink w:anchor="page39">
              <w:r>
                <w:rPr>
                  <w:rFonts w:ascii="Arial" w:cs="Arial" w:eastAsia="Arial" w:hAnsi="Arial"/>
                  <w:sz w:val="19"/>
                  <w:szCs w:val="19"/>
                  <w:color w:val="0000FF"/>
                  <w:w w:val="97"/>
                </w:rPr>
                <w:t>[Intentionally Omitted]</w:t>
              </w:r>
            </w:hyperlink>
          </w:p>
        </w:tc>
        <w:tc>
          <w:tcPr>
            <w:tcW w:w="980" w:type="dxa"/>
            <w:vAlign w:val="bottom"/>
            <w:tcBorders>
              <w:top w:val="single" w:sz="8" w:color="0000FF"/>
            </w:tcBorders>
            <w:gridSpan w:val="7"/>
          </w:tcPr>
          <w:p>
            <w:pPr>
              <w:spacing w:after="0"/>
              <w:rPr>
                <w:sz w:val="19"/>
                <w:szCs w:val="19"/>
                <w:color w:val="auto"/>
              </w:rPr>
            </w:pPr>
          </w:p>
        </w:tc>
        <w:tc>
          <w:tcPr>
            <w:tcW w:w="6220" w:type="dxa"/>
            <w:vAlign w:val="bottom"/>
            <w:gridSpan w:val="8"/>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36</w:t>
              </w:r>
            </w:hyperlink>
          </w:p>
        </w:tc>
      </w:tr>
      <w:tr>
        <w:trPr>
          <w:trHeight w:val="219"/>
        </w:trPr>
        <w:tc>
          <w:tcPr>
            <w:tcW w:w="1360" w:type="dxa"/>
            <w:vAlign w:val="bottom"/>
            <w:tcBorders>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2.05.</w:t>
              </w:r>
            </w:hyperlink>
          </w:p>
        </w:tc>
        <w:tc>
          <w:tcPr>
            <w:tcW w:w="1420" w:type="dxa"/>
            <w:vAlign w:val="bottom"/>
            <w:tcBorders>
              <w:bottom w:val="single" w:sz="8" w:color="0000FF"/>
            </w:tcBorders>
            <w:gridSpan w:val="9"/>
          </w:tcPr>
          <w:p>
            <w:pPr>
              <w:ind w:left="100"/>
              <w:spacing w:after="0"/>
              <w:rPr>
                <w:rFonts w:ascii="Arial" w:cs="Arial" w:eastAsia="Arial" w:hAnsi="Arial"/>
                <w:sz w:val="19"/>
                <w:szCs w:val="19"/>
                <w:color w:val="0000FF"/>
                <w:w w:val="93"/>
              </w:rPr>
            </w:pPr>
            <w:hyperlink w:anchor="page39">
              <w:r>
                <w:rPr>
                  <w:rFonts w:ascii="Arial" w:cs="Arial" w:eastAsia="Arial" w:hAnsi="Arial"/>
                  <w:sz w:val="19"/>
                  <w:szCs w:val="19"/>
                  <w:color w:val="0000FF"/>
                  <w:w w:val="93"/>
                </w:rPr>
                <w:t>Swingline Loans</w:t>
              </w:r>
            </w:hyperlink>
          </w:p>
        </w:tc>
        <w:tc>
          <w:tcPr>
            <w:tcW w:w="7700" w:type="dxa"/>
            <w:vAlign w:val="bottom"/>
            <w:gridSpan w:val="22"/>
          </w:tcPr>
          <w:p>
            <w:pPr>
              <w:spacing w:after="0"/>
              <w:rPr>
                <w:sz w:val="19"/>
                <w:szCs w:val="19"/>
                <w:color w:val="auto"/>
              </w:rPr>
            </w:pP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36</w:t>
              </w:r>
            </w:hyperlink>
          </w:p>
        </w:tc>
      </w:t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2.06.</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Letters of Credit</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38</w:t>
              </w:r>
            </w:hyperlink>
          </w:p>
        </w:tc>
      </w:tr>
      <w:tr>
        <w:trPr>
          <w:trHeight w:val="20"/>
        </w:trPr>
        <w:tc>
          <w:tcPr>
            <w:tcW w:w="18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18"/>
        </w:trPr>
        <w:tc>
          <w:tcPr>
            <w:tcW w:w="10480" w:type="dxa"/>
            <w:vAlign w:val="bottom"/>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2.07.  Funding of Borrowings</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42</w:t>
              </w:r>
            </w:hyperlink>
          </w:p>
        </w:tc>
      </w:tr>
      <w:tr>
        <w:trPr>
          <w:trHeight w:val="218"/>
        </w:trPr>
        <w:tc>
          <w:tcPr>
            <w:tcW w:w="1360" w:type="dxa"/>
            <w:vAlign w:val="bottom"/>
            <w:tcBorders>
              <w:top w:val="single" w:sz="8" w:color="0000FF"/>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2.08.</w:t>
              </w:r>
            </w:hyperlink>
          </w:p>
        </w:tc>
        <w:tc>
          <w:tcPr>
            <w:tcW w:w="1460" w:type="dxa"/>
            <w:vAlign w:val="bottom"/>
            <w:tcBorders>
              <w:top w:val="single" w:sz="8" w:color="0000FF"/>
              <w:bottom w:val="single" w:sz="8" w:color="0000FF"/>
            </w:tcBorders>
            <w:gridSpan w:val="10"/>
          </w:tcPr>
          <w:p>
            <w:pPr>
              <w:ind w:left="100"/>
              <w:spacing w:after="0"/>
              <w:rPr>
                <w:rFonts w:ascii="Arial" w:cs="Arial" w:eastAsia="Arial" w:hAnsi="Arial"/>
                <w:sz w:val="19"/>
                <w:szCs w:val="19"/>
                <w:color w:val="0000FF"/>
                <w:w w:val="91"/>
              </w:rPr>
            </w:pPr>
            <w:hyperlink w:anchor="page39">
              <w:r>
                <w:rPr>
                  <w:rFonts w:ascii="Arial" w:cs="Arial" w:eastAsia="Arial" w:hAnsi="Arial"/>
                  <w:sz w:val="19"/>
                  <w:szCs w:val="19"/>
                  <w:color w:val="0000FF"/>
                  <w:w w:val="91"/>
                </w:rPr>
                <w:t>Interest Elections</w:t>
              </w:r>
            </w:hyperlink>
          </w:p>
        </w:tc>
        <w:tc>
          <w:tcPr>
            <w:tcW w:w="460" w:type="dxa"/>
            <w:vAlign w:val="bottom"/>
            <w:tcBorders>
              <w:top w:val="single" w:sz="8" w:color="0000FF"/>
            </w:tcBorders>
            <w:gridSpan w:val="6"/>
          </w:tcPr>
          <w:p>
            <w:pPr>
              <w:spacing w:after="0"/>
              <w:rPr>
                <w:sz w:val="19"/>
                <w:szCs w:val="19"/>
                <w:color w:val="auto"/>
              </w:rPr>
            </w:pPr>
          </w:p>
        </w:tc>
        <w:tc>
          <w:tcPr>
            <w:tcW w:w="7200" w:type="dxa"/>
            <w:vAlign w:val="bottom"/>
            <w:gridSpan w:val="15"/>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43</w:t>
              </w:r>
            </w:hyperlink>
          </w:p>
        </w:tc>
      </w:tr>
      <w:tr>
        <w:trPr>
          <w:trHeight w:val="219"/>
        </w:trPr>
        <w:tc>
          <w:tcPr>
            <w:tcW w:w="10480" w:type="dxa"/>
            <w:vAlign w:val="bottom"/>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2.09.  Termination and Reduction of Commitments</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44</w:t>
              </w:r>
            </w:hyperlink>
          </w:p>
        </w:tc>
      </w:tr>
      <w:tr>
        <w:trPr>
          <w:trHeight w:val="218"/>
        </w:trPr>
        <w:tc>
          <w:tcPr>
            <w:tcW w:w="4940" w:type="dxa"/>
            <w:vAlign w:val="bottom"/>
            <w:tcBorders>
              <w:top w:val="single" w:sz="8" w:color="0000FF"/>
            </w:tcBorders>
            <w:gridSpan w:val="28"/>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2.10.  Repayment of Loans; Evidence of Debt</w:t>
              </w:r>
            </w:hyperlink>
          </w:p>
        </w:tc>
        <w:tc>
          <w:tcPr>
            <w:tcW w:w="5540" w:type="dxa"/>
            <w:vAlign w:val="bottom"/>
            <w:gridSpan w:val="4"/>
          </w:tcPr>
          <w:p>
            <w:pPr>
              <w:spacing w:after="0"/>
              <w:rPr>
                <w:sz w:val="19"/>
                <w:szCs w:val="19"/>
                <w:color w:val="auto"/>
              </w:rPr>
            </w:pPr>
          </w:p>
        </w:tc>
        <w:tc>
          <w:tcPr>
            <w:tcW w:w="180" w:type="dxa"/>
            <w:vAlign w:val="bottom"/>
            <w:tcBorders>
              <w:top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44</w:t>
              </w:r>
            </w:hyperlink>
          </w:p>
        </w:tc>
      </w:tr>
      <w:tr>
        <w:trPr>
          <w:trHeight w:val="218"/>
        </w:trPr>
        <w:tc>
          <w:tcPr>
            <w:tcW w:w="3120" w:type="dxa"/>
            <w:vAlign w:val="bottom"/>
            <w:tcBorders>
              <w:top w:val="single" w:sz="8" w:color="0000FF"/>
              <w:bottom w:val="single" w:sz="8" w:color="0000FF"/>
            </w:tcBorders>
            <w:gridSpan w:val="15"/>
          </w:tcPr>
          <w:p>
            <w:pPr>
              <w:spacing w:after="0"/>
              <w:rPr>
                <w:rFonts w:ascii="Arial" w:cs="Arial" w:eastAsia="Arial" w:hAnsi="Arial"/>
                <w:sz w:val="19"/>
                <w:szCs w:val="19"/>
                <w:color w:val="0000FF"/>
                <w:w w:val="95"/>
              </w:rPr>
            </w:pPr>
            <w:hyperlink w:anchor="page39">
              <w:r>
                <w:rPr>
                  <w:rFonts w:ascii="Arial" w:cs="Arial" w:eastAsia="Arial" w:hAnsi="Arial"/>
                  <w:sz w:val="19"/>
                  <w:szCs w:val="19"/>
                  <w:color w:val="0000FF"/>
                  <w:w w:val="95"/>
                </w:rPr>
                <w:t>SECTION 2.11.  Prepayment of Loans</w:t>
              </w:r>
            </w:hyperlink>
          </w:p>
        </w:tc>
        <w:tc>
          <w:tcPr>
            <w:tcW w:w="1420" w:type="dxa"/>
            <w:vAlign w:val="bottom"/>
            <w:tcBorders>
              <w:top w:val="single" w:sz="8" w:color="0000FF"/>
            </w:tcBorders>
            <w:gridSpan w:val="11"/>
          </w:tcPr>
          <w:p>
            <w:pPr>
              <w:spacing w:after="0"/>
              <w:rPr>
                <w:sz w:val="19"/>
                <w:szCs w:val="19"/>
                <w:color w:val="auto"/>
              </w:rPr>
            </w:pPr>
          </w:p>
        </w:tc>
        <w:tc>
          <w:tcPr>
            <w:tcW w:w="5940" w:type="dxa"/>
            <w:vAlign w:val="bottom"/>
            <w:gridSpan w:val="6"/>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45</w:t>
              </w:r>
            </w:hyperlink>
          </w:p>
        </w:tc>
      </w:tr>
      <w:tr>
        <w:trPr>
          <w:trHeight w:val="219"/>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2.12.</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Fees</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45</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2.13.</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Interest</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46</w:t>
              </w:r>
            </w:hyperlink>
          </w:p>
        </w:tc>
      </w:tr>
      <w:tr>
        <w:trPr>
          <w:trHeight w:val="20"/>
        </w:trPr>
        <w:tc>
          <w:tcPr>
            <w:tcW w:w="19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19"/>
        </w:trPr>
        <w:tc>
          <w:tcPr>
            <w:tcW w:w="3440" w:type="dxa"/>
            <w:vAlign w:val="bottom"/>
            <w:tcBorders>
              <w:bottom w:val="single" w:sz="8" w:color="0000FF"/>
            </w:tcBorders>
            <w:gridSpan w:val="19"/>
          </w:tcPr>
          <w:p>
            <w:pPr>
              <w:spacing w:after="0"/>
              <w:rPr>
                <w:rFonts w:ascii="Arial" w:cs="Arial" w:eastAsia="Arial" w:hAnsi="Arial"/>
                <w:sz w:val="19"/>
                <w:szCs w:val="19"/>
                <w:color w:val="0000FF"/>
                <w:w w:val="96"/>
              </w:rPr>
            </w:pPr>
            <w:hyperlink w:anchor="page39">
              <w:r>
                <w:rPr>
                  <w:rFonts w:ascii="Arial" w:cs="Arial" w:eastAsia="Arial" w:hAnsi="Arial"/>
                  <w:sz w:val="19"/>
                  <w:szCs w:val="19"/>
                  <w:color w:val="0000FF"/>
                  <w:w w:val="96"/>
                </w:rPr>
                <w:t>SECTION 2.14.  Alternate Rate of Interest</w:t>
              </w:r>
            </w:hyperlink>
          </w:p>
        </w:tc>
        <w:tc>
          <w:tcPr>
            <w:tcW w:w="7040" w:type="dxa"/>
            <w:vAlign w:val="bottom"/>
            <w:gridSpan w:val="13"/>
          </w:tcPr>
          <w:p>
            <w:pPr>
              <w:spacing w:after="0"/>
              <w:rPr>
                <w:sz w:val="19"/>
                <w:szCs w:val="19"/>
                <w:color w:val="auto"/>
              </w:rPr>
            </w:pP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47</w:t>
              </w:r>
            </w:hyperlink>
          </w:p>
        </w:tc>
      </w:t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2.15.</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Increased Costs</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49</w:t>
              </w:r>
            </w:hyperlink>
          </w:p>
        </w:tc>
      </w:tr>
      <w:tr>
        <w:trPr>
          <w:trHeight w:val="20"/>
        </w:trPr>
        <w:tc>
          <w:tcPr>
            <w:tcW w:w="1920" w:type="dxa"/>
            <w:vAlign w:val="bottom"/>
            <w:gridSpan w:val="3"/>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18"/>
        </w:trPr>
        <w:tc>
          <w:tcPr>
            <w:tcW w:w="10480" w:type="dxa"/>
            <w:vAlign w:val="bottom"/>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2.16.  Break Funding Payments</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50</w:t>
              </w:r>
            </w:hyperlink>
          </w:p>
        </w:tc>
      </w:tr>
      <w:tr>
        <w:trPr>
          <w:trHeight w:val="219"/>
        </w:trPr>
        <w:tc>
          <w:tcPr>
            <w:tcW w:w="1360" w:type="dxa"/>
            <w:vAlign w:val="bottom"/>
            <w:tcBorders>
              <w:top w:val="single" w:sz="8" w:color="0000FF"/>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2.17.</w:t>
              </w:r>
            </w:hyperlink>
          </w:p>
        </w:tc>
        <w:tc>
          <w:tcPr>
            <w:tcW w:w="560" w:type="dxa"/>
            <w:vAlign w:val="bottom"/>
            <w:tcBorders>
              <w:top w:val="single" w:sz="8" w:color="0000FF"/>
              <w:bottom w:val="single" w:sz="8" w:color="0000FF"/>
            </w:tcBorders>
            <w:gridSpan w:val="2"/>
          </w:tcPr>
          <w:p>
            <w:pPr>
              <w:ind w:left="100"/>
              <w:spacing w:after="0"/>
              <w:rPr>
                <w:rFonts w:ascii="Arial" w:cs="Arial" w:eastAsia="Arial" w:hAnsi="Arial"/>
                <w:sz w:val="19"/>
                <w:szCs w:val="19"/>
                <w:color w:val="0000FF"/>
                <w:w w:val="84"/>
              </w:rPr>
            </w:pPr>
            <w:hyperlink w:anchor="page39">
              <w:r>
                <w:rPr>
                  <w:rFonts w:ascii="Arial" w:cs="Arial" w:eastAsia="Arial" w:hAnsi="Arial"/>
                  <w:sz w:val="19"/>
                  <w:szCs w:val="19"/>
                  <w:color w:val="0000FF"/>
                  <w:w w:val="84"/>
                </w:rPr>
                <w:t>Taxes</w:t>
              </w:r>
            </w:hyperlink>
          </w:p>
        </w:tc>
        <w:tc>
          <w:tcPr>
            <w:tcW w:w="1500" w:type="dxa"/>
            <w:vAlign w:val="bottom"/>
            <w:tcBorders>
              <w:top w:val="single" w:sz="8" w:color="0000FF"/>
            </w:tcBorders>
            <w:gridSpan w:val="15"/>
          </w:tcPr>
          <w:p>
            <w:pPr>
              <w:spacing w:after="0"/>
              <w:rPr>
                <w:sz w:val="19"/>
                <w:szCs w:val="19"/>
                <w:color w:val="auto"/>
              </w:rPr>
            </w:pPr>
          </w:p>
        </w:tc>
        <w:tc>
          <w:tcPr>
            <w:tcW w:w="7060" w:type="dxa"/>
            <w:vAlign w:val="bottom"/>
            <w:gridSpan w:val="14"/>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51</w:t>
              </w:r>
            </w:hyperlink>
          </w:p>
        </w:tc>
      </w:tr>
      <w:tr>
        <w:trPr>
          <w:trHeight w:val="218"/>
        </w:trPr>
        <w:tc>
          <w:tcPr>
            <w:tcW w:w="10480" w:type="dxa"/>
            <w:vAlign w:val="bottom"/>
            <w:tcBorders>
              <w:bottom w:val="single" w:sz="8" w:color="0000FF"/>
            </w:tcBorders>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2.18.  Payments Generally; Allocations of Proceeds; Pro Rata Treatment; Sharing of Setoffs</w:t>
              </w:r>
            </w:hyperlink>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54</w:t>
              </w:r>
            </w:hyperlink>
          </w:p>
        </w:tc>
      </w:tr>
      <w:tr>
        <w:trPr>
          <w:trHeight w:val="218"/>
        </w:trPr>
        <w:tc>
          <w:tcPr>
            <w:tcW w:w="10480" w:type="dxa"/>
            <w:vAlign w:val="bottom"/>
            <w:tcBorders>
              <w:bottom w:val="single" w:sz="8" w:color="0000FF"/>
            </w:tcBorders>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2.19.  Mitigation Obligations; Replacement of Lenders</w:t>
              </w:r>
            </w:hyperlink>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56</w:t>
              </w:r>
            </w:hyperlink>
          </w:p>
        </w:tc>
      </w:tr>
      <w:tr>
        <w:trPr>
          <w:trHeight w:val="219"/>
        </w:trPr>
        <w:tc>
          <w:tcPr>
            <w:tcW w:w="1360" w:type="dxa"/>
            <w:vAlign w:val="bottom"/>
            <w:tcBorders>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2.20.</w:t>
              </w:r>
            </w:hyperlink>
          </w:p>
        </w:tc>
        <w:tc>
          <w:tcPr>
            <w:tcW w:w="1520" w:type="dxa"/>
            <w:vAlign w:val="bottom"/>
            <w:tcBorders>
              <w:bottom w:val="single" w:sz="8" w:color="0000FF"/>
            </w:tcBorders>
            <w:gridSpan w:val="11"/>
          </w:tcPr>
          <w:p>
            <w:pPr>
              <w:ind w:left="100"/>
              <w:spacing w:after="0"/>
              <w:rPr>
                <w:rFonts w:ascii="Arial" w:cs="Arial" w:eastAsia="Arial" w:hAnsi="Arial"/>
                <w:sz w:val="19"/>
                <w:szCs w:val="19"/>
                <w:color w:val="0000FF"/>
                <w:w w:val="93"/>
              </w:rPr>
            </w:pPr>
            <w:hyperlink w:anchor="page39">
              <w:r>
                <w:rPr>
                  <w:rFonts w:ascii="Arial" w:cs="Arial" w:eastAsia="Arial" w:hAnsi="Arial"/>
                  <w:sz w:val="19"/>
                  <w:szCs w:val="19"/>
                  <w:color w:val="0000FF"/>
                  <w:w w:val="93"/>
                </w:rPr>
                <w:t>Expansion Option</w:t>
              </w:r>
            </w:hyperlink>
          </w:p>
        </w:tc>
        <w:tc>
          <w:tcPr>
            <w:tcW w:w="7600" w:type="dxa"/>
            <w:vAlign w:val="bottom"/>
            <w:gridSpan w:val="20"/>
          </w:tcPr>
          <w:p>
            <w:pPr>
              <w:spacing w:after="0"/>
              <w:rPr>
                <w:sz w:val="19"/>
                <w:szCs w:val="19"/>
                <w:color w:val="auto"/>
              </w:rPr>
            </w:pP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57</w:t>
              </w:r>
            </w:hyperlink>
          </w:p>
        </w:tc>
      </w:t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2.21.</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Defaulting Lenders</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58</w:t>
              </w:r>
            </w:hyperlink>
          </w:p>
        </w:tc>
      </w:tr>
      <w:tr>
        <w:trPr>
          <w:trHeight w:val="20"/>
        </w:trPr>
        <w:tc>
          <w:tcPr>
            <w:tcW w:w="2960" w:type="dxa"/>
            <w:vAlign w:val="bottom"/>
            <w:gridSpan w:val="13"/>
            <w:shd w:val="clear" w:color="auto" w:fill="0000FF"/>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470"/>
        </w:trPr>
        <w:tc>
          <w:tcPr>
            <w:tcW w:w="10480" w:type="dxa"/>
            <w:vAlign w:val="bottom"/>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ARTICLE III Representations and Warranties</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60</w:t>
              </w:r>
            </w:hyperlink>
          </w:p>
        </w:tc>
      </w:tr>
      <w:tr>
        <w:trPr>
          <w:trHeight w:val="20"/>
        </w:trPr>
        <w:tc>
          <w:tcPr>
            <w:tcW w:w="3540" w:type="dxa"/>
            <w:vAlign w:val="bottom"/>
            <w:gridSpan w:val="21"/>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483"/>
        </w:trPr>
        <w:tc>
          <w:tcPr>
            <w:tcW w:w="10480" w:type="dxa"/>
            <w:vAlign w:val="bottom"/>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3.01.  Organization; Powers; Subsidiaries</w:t>
              </w:r>
            </w:hyperlink>
          </w:p>
        </w:tc>
        <w:tc>
          <w:tcPr>
            <w:tcW w:w="180" w:type="dxa"/>
            <w:vAlign w:val="bottom"/>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60</w:t>
              </w:r>
            </w:hyperlink>
          </w:p>
        </w:tc>
      </w:tr>
      <w:tr>
        <w:trPr>
          <w:trHeight w:val="218"/>
        </w:trPr>
        <w:tc>
          <w:tcPr>
            <w:tcW w:w="1360" w:type="dxa"/>
            <w:vAlign w:val="bottom"/>
            <w:tcBorders>
              <w:top w:val="single" w:sz="8" w:color="0000FF"/>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3.02.</w:t>
              </w:r>
            </w:hyperlink>
          </w:p>
        </w:tc>
        <w:tc>
          <w:tcPr>
            <w:tcW w:w="2400" w:type="dxa"/>
            <w:vAlign w:val="bottom"/>
            <w:tcBorders>
              <w:top w:val="single" w:sz="8" w:color="0000FF"/>
              <w:bottom w:val="single" w:sz="8" w:color="0000FF"/>
            </w:tcBorders>
            <w:gridSpan w:val="21"/>
          </w:tcPr>
          <w:p>
            <w:pPr>
              <w:ind w:left="100"/>
              <w:spacing w:after="0"/>
              <w:rPr>
                <w:rFonts w:ascii="Arial" w:cs="Arial" w:eastAsia="Arial" w:hAnsi="Arial"/>
                <w:sz w:val="19"/>
                <w:szCs w:val="19"/>
                <w:color w:val="0000FF"/>
                <w:w w:val="96"/>
              </w:rPr>
            </w:pPr>
            <w:hyperlink w:anchor="page39">
              <w:r>
                <w:rPr>
                  <w:rFonts w:ascii="Arial" w:cs="Arial" w:eastAsia="Arial" w:hAnsi="Arial"/>
                  <w:sz w:val="19"/>
                  <w:szCs w:val="19"/>
                  <w:color w:val="0000FF"/>
                  <w:w w:val="96"/>
                </w:rPr>
                <w:t>Authorization; Enforceability</w:t>
              </w:r>
            </w:hyperlink>
          </w:p>
        </w:tc>
        <w:tc>
          <w:tcPr>
            <w:tcW w:w="440" w:type="dxa"/>
            <w:vAlign w:val="bottom"/>
            <w:tcBorders>
              <w:top w:val="single" w:sz="8" w:color="0000FF"/>
            </w:tcBorders>
          </w:tcPr>
          <w:p>
            <w:pPr>
              <w:spacing w:after="0"/>
              <w:rPr>
                <w:sz w:val="19"/>
                <w:szCs w:val="19"/>
                <w:color w:val="auto"/>
              </w:rPr>
            </w:pPr>
          </w:p>
        </w:tc>
        <w:tc>
          <w:tcPr>
            <w:tcW w:w="6280" w:type="dxa"/>
            <w:vAlign w:val="bottom"/>
            <w:gridSpan w:val="9"/>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61</w:t>
              </w:r>
            </w:hyperlink>
          </w:p>
        </w:tc>
      </w:tr>
      <w:tr>
        <w:trPr>
          <w:trHeight w:val="219"/>
        </w:trPr>
        <w:tc>
          <w:tcPr>
            <w:tcW w:w="1360" w:type="dxa"/>
            <w:vAlign w:val="bottom"/>
            <w:tcBorders>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3.03.</w:t>
              </w:r>
            </w:hyperlink>
          </w:p>
        </w:tc>
        <w:tc>
          <w:tcPr>
            <w:tcW w:w="3180" w:type="dxa"/>
            <w:vAlign w:val="bottom"/>
            <w:tcBorders>
              <w:bottom w:val="single" w:sz="8" w:color="0000FF"/>
            </w:tcBorders>
            <w:gridSpan w:val="25"/>
          </w:tcPr>
          <w:p>
            <w:pPr>
              <w:ind w:left="100"/>
              <w:spacing w:after="0"/>
              <w:rPr>
                <w:rFonts w:ascii="Arial" w:cs="Arial" w:eastAsia="Arial" w:hAnsi="Arial"/>
                <w:sz w:val="19"/>
                <w:szCs w:val="19"/>
                <w:color w:val="0000FF"/>
                <w:w w:val="95"/>
              </w:rPr>
            </w:pPr>
            <w:hyperlink w:anchor="page39">
              <w:r>
                <w:rPr>
                  <w:rFonts w:ascii="Arial" w:cs="Arial" w:eastAsia="Arial" w:hAnsi="Arial"/>
                  <w:sz w:val="19"/>
                  <w:szCs w:val="19"/>
                  <w:color w:val="0000FF"/>
                  <w:w w:val="95"/>
                </w:rPr>
                <w:t>Governmental Approvals; No Conflicts</w:t>
              </w:r>
            </w:hyperlink>
          </w:p>
        </w:tc>
        <w:tc>
          <w:tcPr>
            <w:tcW w:w="5940" w:type="dxa"/>
            <w:vAlign w:val="bottom"/>
            <w:gridSpan w:val="6"/>
          </w:tcPr>
          <w:p>
            <w:pPr>
              <w:spacing w:after="0"/>
              <w:rPr>
                <w:sz w:val="19"/>
                <w:szCs w:val="19"/>
                <w:color w:val="auto"/>
              </w:rPr>
            </w:pPr>
          </w:p>
        </w:tc>
        <w:tc>
          <w:tcPr>
            <w:tcW w:w="180" w:type="dxa"/>
            <w:vAlign w:val="bottom"/>
            <w:tcBorders>
              <w:bottom w:val="single" w:sz="8" w:color="auto"/>
            </w:tcBorders>
            <w:gridSpan w:val="2"/>
          </w:tcPr>
          <w:p>
            <w:pPr>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1160"/>
          </w:cols>
          <w:pgMar w:left="400" w:top="110" w:right="339" w:bottom="1440" w:gutter="0" w:footer="0" w:header="0"/>
        </w:sectPr>
      </w:pPr>
    </w:p>
    <w:bookmarkStart w:id="36" w:name="page37"/>
    <w:bookmarkEnd w:id="36"/>
    <w:p>
      <w:pPr>
        <w:jc w:val="center"/>
        <w:ind w:right="80"/>
        <w:spacing w:after="0"/>
        <w:rPr>
          <w:sz w:val="20"/>
          <w:szCs w:val="20"/>
          <w:color w:val="auto"/>
        </w:rPr>
      </w:pPr>
      <w:r>
        <w:rPr>
          <w:rFonts w:ascii="Arial" w:cs="Arial" w:eastAsia="Arial" w:hAnsi="Arial"/>
          <w:sz w:val="19"/>
          <w:szCs w:val="19"/>
          <w:u w:val="single" w:color="auto"/>
          <w:color w:val="auto"/>
        </w:rPr>
        <w:t>Table of Contents</w:t>
      </w:r>
    </w:p>
    <w:p>
      <w:pPr>
        <w:jc w:val="center"/>
        <w:ind w:right="80"/>
        <w:spacing w:after="0" w:line="203" w:lineRule="auto"/>
        <w:rPr>
          <w:sz w:val="20"/>
          <w:szCs w:val="20"/>
          <w:color w:val="auto"/>
        </w:rPr>
      </w:pPr>
      <w:r>
        <w:rPr>
          <w:rFonts w:ascii="Arial" w:cs="Arial" w:eastAsia="Arial" w:hAnsi="Arial"/>
          <w:sz w:val="19"/>
          <w:szCs w:val="19"/>
          <w:color w:val="auto"/>
        </w:rPr>
        <w:t>(continued)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00" w:type="dxa"/>
            <w:vAlign w:val="bottom"/>
            <w:tcBorders>
              <w:bottom w:val="single" w:sz="8" w:color="0000FF"/>
            </w:tcBorders>
            <w:gridSpan w:val="29"/>
          </w:tcPr>
          <w:p>
            <w:pPr>
              <w:spacing w:after="0"/>
              <w:rPr>
                <w:rFonts w:ascii="Arial" w:cs="Arial" w:eastAsia="Arial" w:hAnsi="Arial"/>
                <w:sz w:val="19"/>
                <w:szCs w:val="19"/>
                <w:color w:val="0000FF"/>
                <w:w w:val="96"/>
              </w:rPr>
            </w:pPr>
            <w:hyperlink w:anchor="page39">
              <w:r>
                <w:rPr>
                  <w:rFonts w:ascii="Arial" w:cs="Arial" w:eastAsia="Arial" w:hAnsi="Arial"/>
                  <w:sz w:val="19"/>
                  <w:szCs w:val="19"/>
                  <w:color w:val="0000FF"/>
                  <w:w w:val="96"/>
                </w:rPr>
                <w:t>SECTION 3.04.  Financial Condition; No Material Adverse Change</w:t>
              </w:r>
            </w:hyperlink>
          </w:p>
        </w:tc>
        <w:tc>
          <w:tcPr>
            <w:tcW w:w="5080" w:type="dxa"/>
            <w:vAlign w:val="bottom"/>
            <w:gridSpan w:val="3"/>
          </w:tcPr>
          <w:p>
            <w:pPr>
              <w:spacing w:after="0"/>
              <w:rPr>
                <w:sz w:val="18"/>
                <w:szCs w:val="18"/>
                <w:color w:val="auto"/>
              </w:rPr>
            </w:pP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61</w:t>
              </w:r>
            </w:hyperlink>
          </w:p>
        </w:tc>
      </w:tr>
      <w:tr>
        <w:trPr>
          <w:trHeight w:val="218"/>
        </w:trPr>
        <w:tc>
          <w:tcPr>
            <w:tcW w:w="1360" w:type="dxa"/>
            <w:vAlign w:val="bottom"/>
            <w:tcBorders>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3.05.</w:t>
              </w:r>
            </w:hyperlink>
          </w:p>
        </w:tc>
        <w:tc>
          <w:tcPr>
            <w:tcW w:w="900" w:type="dxa"/>
            <w:vAlign w:val="bottom"/>
            <w:tcBorders>
              <w:bottom w:val="single" w:sz="8" w:color="0000FF"/>
            </w:tcBorders>
            <w:gridSpan w:val="6"/>
          </w:tcPr>
          <w:p>
            <w:pPr>
              <w:ind w:left="100"/>
              <w:spacing w:after="0"/>
              <w:rPr>
                <w:rFonts w:ascii="Arial" w:cs="Arial" w:eastAsia="Arial" w:hAnsi="Arial"/>
                <w:sz w:val="19"/>
                <w:szCs w:val="19"/>
                <w:color w:val="0000FF"/>
                <w:w w:val="90"/>
              </w:rPr>
            </w:pPr>
            <w:hyperlink w:anchor="page39">
              <w:r>
                <w:rPr>
                  <w:rFonts w:ascii="Arial" w:cs="Arial" w:eastAsia="Arial" w:hAnsi="Arial"/>
                  <w:sz w:val="19"/>
                  <w:szCs w:val="19"/>
                  <w:color w:val="0000FF"/>
                  <w:w w:val="90"/>
                </w:rPr>
                <w:t>Properties</w:t>
              </w:r>
            </w:hyperlink>
          </w:p>
        </w:tc>
        <w:tc>
          <w:tcPr>
            <w:tcW w:w="8220" w:type="dxa"/>
            <w:vAlign w:val="bottom"/>
            <w:gridSpan w:val="25"/>
          </w:tcPr>
          <w:p>
            <w:pPr>
              <w:spacing w:after="0"/>
              <w:rPr>
                <w:sz w:val="19"/>
                <w:szCs w:val="19"/>
                <w:color w:val="auto"/>
              </w:rPr>
            </w:pP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61</w:t>
              </w:r>
            </w:hyperlink>
          </w:p>
        </w:tc>
      </w:tr>
      <w:tr>
        <w:trPr>
          <w:trHeight w:val="218"/>
        </w:trPr>
        <w:tc>
          <w:tcPr>
            <w:tcW w:w="10480" w:type="dxa"/>
            <w:vAlign w:val="bottom"/>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3.06.  Litigation and Environmental Matters</w:t>
              </w:r>
            </w:hyperlink>
          </w:p>
        </w:tc>
        <w:tc>
          <w:tcPr>
            <w:tcW w:w="180" w:type="dxa"/>
            <w:vAlign w:val="bottom"/>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62</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19"/>
        </w:trPr>
        <w:tc>
          <w:tcPr>
            <w:tcW w:w="10480" w:type="dxa"/>
            <w:vAlign w:val="bottom"/>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3.07.  Compliance with Laws and Agreements</w:t>
              </w:r>
            </w:hyperlink>
          </w:p>
        </w:tc>
        <w:tc>
          <w:tcPr>
            <w:tcW w:w="180" w:type="dxa"/>
            <w:vAlign w:val="bottom"/>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62</w:t>
              </w:r>
            </w:hyperlink>
          </w:p>
        </w:tc>
      </w:tr>
      <w:tr>
        <w:trPr>
          <w:trHeight w:val="218"/>
        </w:trPr>
        <w:tc>
          <w:tcPr>
            <w:tcW w:w="3660" w:type="dxa"/>
            <w:vAlign w:val="bottom"/>
            <w:tcBorders>
              <w:top w:val="single" w:sz="8" w:color="0000FF"/>
              <w:bottom w:val="single" w:sz="8" w:color="0000FF"/>
            </w:tcBorders>
            <w:gridSpan w:val="20"/>
          </w:tcPr>
          <w:p>
            <w:pPr>
              <w:spacing w:after="0"/>
              <w:rPr>
                <w:rFonts w:ascii="Arial" w:cs="Arial" w:eastAsia="Arial" w:hAnsi="Arial"/>
                <w:sz w:val="19"/>
                <w:szCs w:val="19"/>
                <w:color w:val="0000FF"/>
                <w:w w:val="95"/>
              </w:rPr>
            </w:pPr>
            <w:hyperlink w:anchor="page39">
              <w:r>
                <w:rPr>
                  <w:rFonts w:ascii="Arial" w:cs="Arial" w:eastAsia="Arial" w:hAnsi="Arial"/>
                  <w:sz w:val="19"/>
                  <w:szCs w:val="19"/>
                  <w:color w:val="0000FF"/>
                  <w:w w:val="95"/>
                </w:rPr>
                <w:t>SECTION 3.08.  Investment Company Status</w:t>
              </w:r>
            </w:hyperlink>
          </w:p>
        </w:tc>
        <w:tc>
          <w:tcPr>
            <w:tcW w:w="920" w:type="dxa"/>
            <w:vAlign w:val="bottom"/>
            <w:tcBorders>
              <w:top w:val="single" w:sz="8" w:color="0000FF"/>
            </w:tcBorders>
            <w:gridSpan w:val="7"/>
          </w:tcPr>
          <w:p>
            <w:pPr>
              <w:spacing w:after="0"/>
              <w:rPr>
                <w:sz w:val="19"/>
                <w:szCs w:val="19"/>
                <w:color w:val="auto"/>
              </w:rPr>
            </w:pPr>
          </w:p>
        </w:tc>
        <w:tc>
          <w:tcPr>
            <w:tcW w:w="5900" w:type="dxa"/>
            <w:vAlign w:val="bottom"/>
            <w:gridSpan w:val="5"/>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62</w:t>
              </w:r>
            </w:hyperlink>
          </w:p>
        </w:tc>
      </w:tr>
      <w:tr>
        <w:trPr>
          <w:trHeight w:val="219"/>
        </w:trPr>
        <w:tc>
          <w:tcPr>
            <w:tcW w:w="1360" w:type="dxa"/>
            <w:vAlign w:val="bottom"/>
            <w:tcBorders>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3.09.</w:t>
              </w:r>
            </w:hyperlink>
          </w:p>
        </w:tc>
        <w:tc>
          <w:tcPr>
            <w:tcW w:w="560" w:type="dxa"/>
            <w:vAlign w:val="bottom"/>
            <w:tcBorders>
              <w:bottom w:val="single" w:sz="8" w:color="0000FF"/>
            </w:tcBorders>
            <w:gridSpan w:val="2"/>
          </w:tcPr>
          <w:p>
            <w:pPr>
              <w:ind w:left="100"/>
              <w:spacing w:after="0"/>
              <w:rPr>
                <w:rFonts w:ascii="Arial" w:cs="Arial" w:eastAsia="Arial" w:hAnsi="Arial"/>
                <w:sz w:val="19"/>
                <w:szCs w:val="19"/>
                <w:color w:val="0000FF"/>
                <w:w w:val="84"/>
              </w:rPr>
            </w:pPr>
            <w:hyperlink w:anchor="page39">
              <w:r>
                <w:rPr>
                  <w:rFonts w:ascii="Arial" w:cs="Arial" w:eastAsia="Arial" w:hAnsi="Arial"/>
                  <w:sz w:val="19"/>
                  <w:szCs w:val="19"/>
                  <w:color w:val="0000FF"/>
                  <w:w w:val="84"/>
                </w:rPr>
                <w:t>Taxes</w:t>
              </w:r>
            </w:hyperlink>
          </w:p>
        </w:tc>
        <w:tc>
          <w:tcPr>
            <w:tcW w:w="8560" w:type="dxa"/>
            <w:vAlign w:val="bottom"/>
            <w:gridSpan w:val="29"/>
          </w:tcPr>
          <w:p>
            <w:pPr>
              <w:spacing w:after="0"/>
              <w:rPr>
                <w:sz w:val="19"/>
                <w:szCs w:val="19"/>
                <w:color w:val="auto"/>
              </w:rPr>
            </w:pP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62</w:t>
              </w:r>
            </w:hyperlink>
          </w:p>
        </w:tc>
      </w:t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3.10.</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ERISA</w:t>
              </w:r>
            </w:hyperlink>
          </w:p>
        </w:tc>
        <w:tc>
          <w:tcPr>
            <w:tcW w:w="180" w:type="dxa"/>
            <w:vAlign w:val="bottom"/>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62</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3.11.</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Disclosure</w:t>
              </w:r>
            </w:hyperlink>
          </w:p>
        </w:tc>
        <w:tc>
          <w:tcPr>
            <w:tcW w:w="180" w:type="dxa"/>
            <w:vAlign w:val="bottom"/>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62</w:t>
              </w:r>
            </w:hyperlink>
          </w:p>
        </w:tc>
      </w:tr>
      <w:tr>
        <w:trPr>
          <w:trHeight w:val="218"/>
        </w:trPr>
        <w:tc>
          <w:tcPr>
            <w:tcW w:w="1360" w:type="dxa"/>
            <w:vAlign w:val="bottom"/>
            <w:tcBorders>
              <w:top w:val="single" w:sz="8" w:color="0000FF"/>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3.12.</w:t>
              </w:r>
            </w:hyperlink>
          </w:p>
        </w:tc>
        <w:tc>
          <w:tcPr>
            <w:tcW w:w="540" w:type="dxa"/>
            <w:vAlign w:val="bottom"/>
            <w:tcBorders>
              <w:top w:val="single" w:sz="8" w:color="0000FF"/>
              <w:bottom w:val="single" w:sz="8" w:color="0000FF"/>
            </w:tcBorders>
          </w:tcPr>
          <w:p>
            <w:pPr>
              <w:ind w:left="100"/>
              <w:spacing w:after="0"/>
              <w:rPr>
                <w:rFonts w:ascii="Arial" w:cs="Arial" w:eastAsia="Arial" w:hAnsi="Arial"/>
                <w:sz w:val="19"/>
                <w:szCs w:val="19"/>
                <w:color w:val="0000FF"/>
                <w:w w:val="92"/>
              </w:rPr>
            </w:pPr>
            <w:hyperlink w:anchor="page39">
              <w:r>
                <w:rPr>
                  <w:rFonts w:ascii="Arial" w:cs="Arial" w:eastAsia="Arial" w:hAnsi="Arial"/>
                  <w:sz w:val="19"/>
                  <w:szCs w:val="19"/>
                  <w:color w:val="0000FF"/>
                  <w:w w:val="92"/>
                </w:rPr>
                <w:t>Liens</w:t>
              </w:r>
            </w:hyperlink>
          </w:p>
        </w:tc>
        <w:tc>
          <w:tcPr>
            <w:tcW w:w="380" w:type="dxa"/>
            <w:vAlign w:val="bottom"/>
            <w:tcBorders>
              <w:top w:val="single" w:sz="8" w:color="0000FF"/>
            </w:tcBorders>
            <w:gridSpan w:val="6"/>
          </w:tcPr>
          <w:p>
            <w:pPr>
              <w:spacing w:after="0"/>
              <w:rPr>
                <w:sz w:val="19"/>
                <w:szCs w:val="19"/>
                <w:color w:val="auto"/>
              </w:rPr>
            </w:pPr>
          </w:p>
        </w:tc>
        <w:tc>
          <w:tcPr>
            <w:tcW w:w="8200" w:type="dxa"/>
            <w:vAlign w:val="bottom"/>
            <w:gridSpan w:val="24"/>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63</w:t>
              </w:r>
            </w:hyperlink>
          </w:p>
        </w:tc>
      </w:tr>
      <w:tr>
        <w:trPr>
          <w:trHeight w:val="218"/>
        </w:trPr>
        <w:tc>
          <w:tcPr>
            <w:tcW w:w="1360" w:type="dxa"/>
            <w:vAlign w:val="bottom"/>
            <w:tcBorders>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3.13.</w:t>
              </w:r>
            </w:hyperlink>
          </w:p>
        </w:tc>
        <w:tc>
          <w:tcPr>
            <w:tcW w:w="980" w:type="dxa"/>
            <w:vAlign w:val="bottom"/>
            <w:tcBorders>
              <w:bottom w:val="single" w:sz="8" w:color="0000FF"/>
            </w:tcBorders>
            <w:gridSpan w:val="8"/>
          </w:tcPr>
          <w:p>
            <w:pPr>
              <w:ind w:left="100"/>
              <w:spacing w:after="0"/>
              <w:rPr>
                <w:rFonts w:ascii="Arial" w:cs="Arial" w:eastAsia="Arial" w:hAnsi="Arial"/>
                <w:sz w:val="19"/>
                <w:szCs w:val="19"/>
                <w:color w:val="0000FF"/>
                <w:w w:val="95"/>
              </w:rPr>
            </w:pPr>
            <w:hyperlink w:anchor="page39">
              <w:r>
                <w:rPr>
                  <w:rFonts w:ascii="Arial" w:cs="Arial" w:eastAsia="Arial" w:hAnsi="Arial"/>
                  <w:sz w:val="19"/>
                  <w:szCs w:val="19"/>
                  <w:color w:val="0000FF"/>
                  <w:w w:val="95"/>
                </w:rPr>
                <w:t>No Default</w:t>
              </w:r>
            </w:hyperlink>
          </w:p>
        </w:tc>
        <w:tc>
          <w:tcPr>
            <w:tcW w:w="8140" w:type="dxa"/>
            <w:vAlign w:val="bottom"/>
            <w:gridSpan w:val="23"/>
          </w:tcPr>
          <w:p>
            <w:pPr>
              <w:spacing w:after="0"/>
              <w:rPr>
                <w:sz w:val="19"/>
                <w:szCs w:val="19"/>
                <w:color w:val="auto"/>
              </w:rPr>
            </w:pP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63</w:t>
              </w:r>
            </w:hyperlink>
          </w:p>
        </w:tc>
      </w:tr>
      <w:tr>
        <w:trPr>
          <w:trHeight w:val="219"/>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3.14.</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Solvency</w:t>
              </w:r>
            </w:hyperlink>
          </w:p>
        </w:tc>
        <w:tc>
          <w:tcPr>
            <w:tcW w:w="180" w:type="dxa"/>
            <w:vAlign w:val="bottom"/>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63</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18"/>
        </w:trPr>
        <w:tc>
          <w:tcPr>
            <w:tcW w:w="1360" w:type="dxa"/>
            <w:vAlign w:val="bottom"/>
            <w:tcBorders>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3.15.</w:t>
              </w:r>
            </w:hyperlink>
          </w:p>
        </w:tc>
        <w:tc>
          <w:tcPr>
            <w:tcW w:w="860" w:type="dxa"/>
            <w:vAlign w:val="bottom"/>
            <w:tcBorders>
              <w:bottom w:val="single" w:sz="8" w:color="0000FF"/>
            </w:tcBorders>
            <w:gridSpan w:val="5"/>
          </w:tcPr>
          <w:p>
            <w:pPr>
              <w:ind w:left="100"/>
              <w:spacing w:after="0"/>
              <w:rPr>
                <w:rFonts w:ascii="Arial" w:cs="Arial" w:eastAsia="Arial" w:hAnsi="Arial"/>
                <w:sz w:val="19"/>
                <w:szCs w:val="19"/>
                <w:color w:val="0000FF"/>
                <w:w w:val="88"/>
              </w:rPr>
            </w:pPr>
            <w:hyperlink w:anchor="page39">
              <w:r>
                <w:rPr>
                  <w:rFonts w:ascii="Arial" w:cs="Arial" w:eastAsia="Arial" w:hAnsi="Arial"/>
                  <w:sz w:val="19"/>
                  <w:szCs w:val="19"/>
                  <w:color w:val="0000FF"/>
                  <w:w w:val="88"/>
                </w:rPr>
                <w:t>Insurance</w:t>
              </w:r>
            </w:hyperlink>
          </w:p>
        </w:tc>
        <w:tc>
          <w:tcPr>
            <w:tcW w:w="8260" w:type="dxa"/>
            <w:vAlign w:val="bottom"/>
            <w:gridSpan w:val="26"/>
          </w:tcPr>
          <w:p>
            <w:pPr>
              <w:spacing w:after="0"/>
              <w:rPr>
                <w:sz w:val="19"/>
                <w:szCs w:val="19"/>
                <w:color w:val="auto"/>
              </w:rPr>
            </w:pP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63</w:t>
              </w:r>
            </w:hyperlink>
          </w:p>
        </w:tc>
      </w:tr>
      <w:tr>
        <w:trPr>
          <w:trHeight w:val="218"/>
        </w:trPr>
        <w:tc>
          <w:tcPr>
            <w:tcW w:w="3760" w:type="dxa"/>
            <w:vAlign w:val="bottom"/>
            <w:tcBorders>
              <w:bottom w:val="single" w:sz="8" w:color="0000FF"/>
            </w:tcBorders>
            <w:gridSpan w:val="21"/>
          </w:tcPr>
          <w:p>
            <w:pPr>
              <w:spacing w:after="0"/>
              <w:rPr>
                <w:rFonts w:ascii="Arial" w:cs="Arial" w:eastAsia="Arial" w:hAnsi="Arial"/>
                <w:sz w:val="19"/>
                <w:szCs w:val="19"/>
                <w:color w:val="0000FF"/>
                <w:w w:val="97"/>
              </w:rPr>
            </w:pPr>
            <w:hyperlink w:anchor="page39">
              <w:r>
                <w:rPr>
                  <w:rFonts w:ascii="Arial" w:cs="Arial" w:eastAsia="Arial" w:hAnsi="Arial"/>
                  <w:sz w:val="19"/>
                  <w:szCs w:val="19"/>
                  <w:color w:val="0000FF"/>
                  <w:w w:val="97"/>
                </w:rPr>
                <w:t>SECTION 3.16.  Security Interest in Collateral</w:t>
              </w:r>
            </w:hyperlink>
          </w:p>
        </w:tc>
        <w:tc>
          <w:tcPr>
            <w:tcW w:w="6720" w:type="dxa"/>
            <w:vAlign w:val="bottom"/>
            <w:gridSpan w:val="11"/>
          </w:tcPr>
          <w:p>
            <w:pPr>
              <w:spacing w:after="0"/>
              <w:rPr>
                <w:sz w:val="19"/>
                <w:szCs w:val="19"/>
                <w:color w:val="auto"/>
              </w:rPr>
            </w:pP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63</w:t>
              </w:r>
            </w:hyperlink>
          </w:p>
        </w:tc>
      </w:tr>
      <w:tr>
        <w:trPr>
          <w:trHeight w:val="218"/>
        </w:trPr>
        <w:tc>
          <w:tcPr>
            <w:tcW w:w="10480" w:type="dxa"/>
            <w:vAlign w:val="bottom"/>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3.17.  Anti-Corruption Laws and Sanctions</w:t>
              </w:r>
            </w:hyperlink>
          </w:p>
        </w:tc>
        <w:tc>
          <w:tcPr>
            <w:tcW w:w="180" w:type="dxa"/>
            <w:vAlign w:val="bottom"/>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63</w:t>
              </w:r>
            </w:hyperlink>
          </w:p>
        </w:tc>
      </w:tr>
      <w:tr>
        <w:trPr>
          <w:trHeight w:val="218"/>
        </w:trPr>
        <w:tc>
          <w:tcPr>
            <w:tcW w:w="3840" w:type="dxa"/>
            <w:vAlign w:val="bottom"/>
            <w:tcBorders>
              <w:top w:val="single" w:sz="8" w:color="0000FF"/>
              <w:bottom w:val="single" w:sz="8" w:color="0000FF"/>
            </w:tcBorders>
            <w:gridSpan w:val="22"/>
          </w:tcPr>
          <w:p>
            <w:pPr>
              <w:spacing w:after="0"/>
              <w:rPr>
                <w:rFonts w:ascii="Arial" w:cs="Arial" w:eastAsia="Arial" w:hAnsi="Arial"/>
                <w:sz w:val="19"/>
                <w:szCs w:val="19"/>
                <w:color w:val="0000FF"/>
                <w:w w:val="98"/>
              </w:rPr>
            </w:pPr>
            <w:hyperlink w:anchor="page39">
              <w:r>
                <w:rPr>
                  <w:rFonts w:ascii="Arial" w:cs="Arial" w:eastAsia="Arial" w:hAnsi="Arial"/>
                  <w:sz w:val="19"/>
                  <w:szCs w:val="19"/>
                  <w:color w:val="0000FF"/>
                  <w:w w:val="98"/>
                </w:rPr>
                <w:t>SECTION 3.18.  Affected Financial Institutions</w:t>
              </w:r>
            </w:hyperlink>
          </w:p>
        </w:tc>
        <w:tc>
          <w:tcPr>
            <w:tcW w:w="480" w:type="dxa"/>
            <w:vAlign w:val="bottom"/>
            <w:tcBorders>
              <w:top w:val="single" w:sz="8" w:color="0000FF"/>
            </w:tcBorders>
            <w:gridSpan w:val="2"/>
          </w:tcPr>
          <w:p>
            <w:pPr>
              <w:spacing w:after="0"/>
              <w:rPr>
                <w:sz w:val="19"/>
                <w:szCs w:val="19"/>
                <w:color w:val="auto"/>
              </w:rPr>
            </w:pPr>
          </w:p>
        </w:tc>
        <w:tc>
          <w:tcPr>
            <w:tcW w:w="6160" w:type="dxa"/>
            <w:vAlign w:val="bottom"/>
            <w:gridSpan w:val="8"/>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64</w:t>
              </w:r>
            </w:hyperlink>
          </w:p>
        </w:tc>
      </w:tr>
      <w:tr>
        <w:trPr>
          <w:trHeight w:val="218"/>
        </w:trPr>
        <w:tc>
          <w:tcPr>
            <w:tcW w:w="4320" w:type="dxa"/>
            <w:vAlign w:val="bottom"/>
            <w:tcBorders>
              <w:bottom w:val="single" w:sz="8" w:color="0000FF"/>
            </w:tcBorders>
            <w:gridSpan w:val="24"/>
          </w:tcPr>
          <w:p>
            <w:pPr>
              <w:spacing w:after="0"/>
              <w:rPr>
                <w:rFonts w:ascii="Arial" w:cs="Arial" w:eastAsia="Arial" w:hAnsi="Arial"/>
                <w:sz w:val="19"/>
                <w:szCs w:val="19"/>
                <w:color w:val="0000FF"/>
                <w:w w:val="94"/>
              </w:rPr>
            </w:pPr>
            <w:hyperlink w:anchor="page39">
              <w:r>
                <w:rPr>
                  <w:rFonts w:ascii="Arial" w:cs="Arial" w:eastAsia="Arial" w:hAnsi="Arial"/>
                  <w:sz w:val="19"/>
                  <w:szCs w:val="19"/>
                  <w:color w:val="0000FF"/>
                  <w:w w:val="94"/>
                </w:rPr>
                <w:t>SECTION 3.19.  Plan Assets; Prohibited Transactions</w:t>
              </w:r>
            </w:hyperlink>
          </w:p>
        </w:tc>
        <w:tc>
          <w:tcPr>
            <w:tcW w:w="6160" w:type="dxa"/>
            <w:vAlign w:val="bottom"/>
            <w:gridSpan w:val="8"/>
          </w:tcPr>
          <w:p>
            <w:pPr>
              <w:spacing w:after="0"/>
              <w:rPr>
                <w:sz w:val="19"/>
                <w:szCs w:val="19"/>
                <w:color w:val="auto"/>
              </w:rPr>
            </w:pP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64</w:t>
              </w:r>
            </w:hyperlink>
          </w:p>
        </w:tc>
      </w:tr>
      <w:tr>
        <w:trPr>
          <w:trHeight w:val="219"/>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3.20.</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Margin Regulations</w:t>
              </w:r>
            </w:hyperlink>
          </w:p>
        </w:tc>
        <w:tc>
          <w:tcPr>
            <w:tcW w:w="180" w:type="dxa"/>
            <w:vAlign w:val="bottom"/>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64</w:t>
              </w:r>
            </w:hyperlink>
          </w:p>
        </w:tc>
      </w:tr>
      <w:tr>
        <w:trPr>
          <w:trHeight w:val="470"/>
        </w:trPr>
        <w:tc>
          <w:tcPr>
            <w:tcW w:w="2020" w:type="dxa"/>
            <w:vAlign w:val="bottom"/>
            <w:tcBorders>
              <w:top w:val="single" w:sz="8" w:color="0000FF"/>
              <w:bottom w:val="single" w:sz="8" w:color="0000FF"/>
            </w:tcBorders>
            <w:gridSpan w:val="4"/>
          </w:tcPr>
          <w:p>
            <w:pPr>
              <w:spacing w:after="0"/>
              <w:rPr>
                <w:rFonts w:ascii="Arial" w:cs="Arial" w:eastAsia="Arial" w:hAnsi="Arial"/>
                <w:sz w:val="19"/>
                <w:szCs w:val="19"/>
                <w:color w:val="0000FF"/>
                <w:w w:val="99"/>
              </w:rPr>
            </w:pPr>
            <w:hyperlink w:anchor="page39">
              <w:r>
                <w:rPr>
                  <w:rFonts w:ascii="Arial" w:cs="Arial" w:eastAsia="Arial" w:hAnsi="Arial"/>
                  <w:sz w:val="19"/>
                  <w:szCs w:val="19"/>
                  <w:color w:val="0000FF"/>
                  <w:w w:val="99"/>
                </w:rPr>
                <w:t>ARTICLE IV Conditions</w:t>
              </w:r>
            </w:hyperlink>
          </w:p>
        </w:tc>
        <w:tc>
          <w:tcPr>
            <w:tcW w:w="980" w:type="dxa"/>
            <w:vAlign w:val="bottom"/>
            <w:tcBorders>
              <w:top w:val="single" w:sz="8" w:color="0000FF"/>
            </w:tcBorders>
            <w:gridSpan w:val="12"/>
          </w:tcPr>
          <w:p>
            <w:pPr>
              <w:spacing w:after="0"/>
              <w:rPr>
                <w:sz w:val="24"/>
                <w:szCs w:val="24"/>
                <w:color w:val="auto"/>
              </w:rPr>
            </w:pPr>
          </w:p>
        </w:tc>
        <w:tc>
          <w:tcPr>
            <w:tcW w:w="7480" w:type="dxa"/>
            <w:vAlign w:val="bottom"/>
            <w:gridSpan w:val="16"/>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64</w:t>
              </w:r>
            </w:hyperlink>
          </w:p>
        </w:tc>
      </w:tr>
      <w:tr>
        <w:trPr>
          <w:trHeight w:val="484"/>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4.01.</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Effective Date</w:t>
              </w:r>
            </w:hyperlink>
          </w:p>
        </w:tc>
        <w:tc>
          <w:tcPr>
            <w:tcW w:w="180" w:type="dxa"/>
            <w:vAlign w:val="bottom"/>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64</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1120" w:type="dxa"/>
            <w:vAlign w:val="bottom"/>
            <w:gridSpan w:val="9"/>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4.02.</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Each Credit Event</w:t>
              </w:r>
            </w:hyperlink>
          </w:p>
        </w:tc>
        <w:tc>
          <w:tcPr>
            <w:tcW w:w="180" w:type="dxa"/>
            <w:vAlign w:val="bottom"/>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65</w:t>
              </w:r>
            </w:hyperlink>
          </w:p>
        </w:tc>
      </w:tr>
      <w:tr>
        <w:trPr>
          <w:trHeight w:val="470"/>
        </w:trPr>
        <w:tc>
          <w:tcPr>
            <w:tcW w:w="2820" w:type="dxa"/>
            <w:vAlign w:val="bottom"/>
            <w:tcBorders>
              <w:top w:val="single" w:sz="8" w:color="0000FF"/>
              <w:bottom w:val="single" w:sz="8" w:color="0000FF"/>
            </w:tcBorders>
            <w:gridSpan w:val="13"/>
          </w:tcPr>
          <w:p>
            <w:pPr>
              <w:spacing w:after="0"/>
              <w:rPr>
                <w:rFonts w:ascii="Arial" w:cs="Arial" w:eastAsia="Arial" w:hAnsi="Arial"/>
                <w:sz w:val="19"/>
                <w:szCs w:val="19"/>
                <w:color w:val="0000FF"/>
                <w:w w:val="96"/>
              </w:rPr>
            </w:pPr>
            <w:hyperlink w:anchor="page39">
              <w:r>
                <w:rPr>
                  <w:rFonts w:ascii="Arial" w:cs="Arial" w:eastAsia="Arial" w:hAnsi="Arial"/>
                  <w:sz w:val="19"/>
                  <w:szCs w:val="19"/>
                  <w:color w:val="0000FF"/>
                  <w:w w:val="96"/>
                </w:rPr>
                <w:t>ARTICLE V Affirmative Covenants</w:t>
              </w:r>
            </w:hyperlink>
          </w:p>
        </w:tc>
        <w:tc>
          <w:tcPr>
            <w:tcW w:w="60" w:type="dxa"/>
            <w:vAlign w:val="bottom"/>
            <w:tcBorders>
              <w:top w:val="single" w:sz="8" w:color="0000FF"/>
            </w:tcBorders>
            <w:gridSpan w:val="2"/>
          </w:tcPr>
          <w:p>
            <w:pPr>
              <w:spacing w:after="0"/>
              <w:rPr>
                <w:sz w:val="24"/>
                <w:szCs w:val="24"/>
                <w:color w:val="auto"/>
              </w:rPr>
            </w:pPr>
          </w:p>
        </w:tc>
        <w:tc>
          <w:tcPr>
            <w:tcW w:w="7600" w:type="dxa"/>
            <w:vAlign w:val="bottom"/>
            <w:gridSpan w:val="17"/>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65</w:t>
              </w:r>
            </w:hyperlink>
          </w:p>
        </w:tc>
      </w:tr>
      <w:tr>
        <w:trPr>
          <w:trHeight w:val="483"/>
        </w:trPr>
        <w:tc>
          <w:tcPr>
            <w:tcW w:w="10480" w:type="dxa"/>
            <w:vAlign w:val="bottom"/>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5.01.  Financial Statements and Other Information</w:t>
              </w:r>
            </w:hyperlink>
          </w:p>
        </w:tc>
        <w:tc>
          <w:tcPr>
            <w:tcW w:w="180" w:type="dxa"/>
            <w:vAlign w:val="bottom"/>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66</w:t>
              </w:r>
            </w:hyperlink>
          </w:p>
        </w:tc>
      </w:tr>
      <w:tr>
        <w:trPr>
          <w:trHeight w:val="219"/>
        </w:trPr>
        <w:tc>
          <w:tcPr>
            <w:tcW w:w="3560" w:type="dxa"/>
            <w:vAlign w:val="bottom"/>
            <w:tcBorders>
              <w:top w:val="single" w:sz="8" w:color="0000FF"/>
              <w:bottom w:val="single" w:sz="8" w:color="0000FF"/>
            </w:tcBorders>
            <w:gridSpan w:val="19"/>
          </w:tcPr>
          <w:p>
            <w:pPr>
              <w:spacing w:after="0"/>
              <w:rPr>
                <w:rFonts w:ascii="Arial" w:cs="Arial" w:eastAsia="Arial" w:hAnsi="Arial"/>
                <w:sz w:val="19"/>
                <w:szCs w:val="19"/>
                <w:color w:val="0000FF"/>
                <w:w w:val="97"/>
              </w:rPr>
            </w:pPr>
            <w:hyperlink w:anchor="page39">
              <w:r>
                <w:rPr>
                  <w:rFonts w:ascii="Arial" w:cs="Arial" w:eastAsia="Arial" w:hAnsi="Arial"/>
                  <w:sz w:val="19"/>
                  <w:szCs w:val="19"/>
                  <w:color w:val="0000FF"/>
                  <w:w w:val="97"/>
                </w:rPr>
                <w:t>SECTION 5.02.  Notices of Material Events</w:t>
              </w:r>
            </w:hyperlink>
          </w:p>
        </w:tc>
        <w:tc>
          <w:tcPr>
            <w:tcW w:w="1320" w:type="dxa"/>
            <w:vAlign w:val="bottom"/>
            <w:tcBorders>
              <w:top w:val="single" w:sz="8" w:color="0000FF"/>
            </w:tcBorders>
            <w:gridSpan w:val="9"/>
          </w:tcPr>
          <w:p>
            <w:pPr>
              <w:spacing w:after="0"/>
              <w:rPr>
                <w:sz w:val="19"/>
                <w:szCs w:val="19"/>
                <w:color w:val="auto"/>
              </w:rPr>
            </w:pPr>
          </w:p>
        </w:tc>
        <w:tc>
          <w:tcPr>
            <w:tcW w:w="5600" w:type="dxa"/>
            <w:vAlign w:val="bottom"/>
            <w:gridSpan w:val="4"/>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67</w:t>
              </w:r>
            </w:hyperlink>
          </w:p>
        </w:tc>
      </w:tr>
      <w:tr>
        <w:trPr>
          <w:trHeight w:val="218"/>
        </w:trPr>
        <w:tc>
          <w:tcPr>
            <w:tcW w:w="4400" w:type="dxa"/>
            <w:vAlign w:val="bottom"/>
            <w:tcBorders>
              <w:bottom w:val="single" w:sz="8" w:color="0000FF"/>
            </w:tcBorders>
            <w:gridSpan w:val="25"/>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5.03.  Existence; Conduct of Business</w:t>
              </w:r>
            </w:hyperlink>
          </w:p>
        </w:tc>
        <w:tc>
          <w:tcPr>
            <w:tcW w:w="6080" w:type="dxa"/>
            <w:vAlign w:val="bottom"/>
            <w:gridSpan w:val="7"/>
          </w:tcPr>
          <w:p>
            <w:pPr>
              <w:spacing w:after="0"/>
              <w:rPr>
                <w:sz w:val="19"/>
                <w:szCs w:val="19"/>
                <w:color w:val="auto"/>
              </w:rPr>
            </w:pP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68</w:t>
              </w:r>
            </w:hyperlink>
          </w:p>
        </w:tc>
      </w:tr>
      <w:tr>
        <w:trPr>
          <w:trHeight w:val="218"/>
        </w:trPr>
        <w:tc>
          <w:tcPr>
            <w:tcW w:w="1360" w:type="dxa"/>
            <w:vAlign w:val="bottom"/>
            <w:tcBorders>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5.04.</w:t>
              </w:r>
            </w:hyperlink>
          </w:p>
        </w:tc>
        <w:tc>
          <w:tcPr>
            <w:tcW w:w="1840" w:type="dxa"/>
            <w:vAlign w:val="bottom"/>
            <w:tcBorders>
              <w:bottom w:val="single" w:sz="8" w:color="0000FF"/>
            </w:tcBorders>
            <w:gridSpan w:val="16"/>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Payment of Taxes</w:t>
              </w:r>
            </w:hyperlink>
          </w:p>
        </w:tc>
        <w:tc>
          <w:tcPr>
            <w:tcW w:w="7280" w:type="dxa"/>
            <w:vAlign w:val="bottom"/>
            <w:gridSpan w:val="15"/>
          </w:tcPr>
          <w:p>
            <w:pPr>
              <w:spacing w:after="0"/>
              <w:rPr>
                <w:sz w:val="19"/>
                <w:szCs w:val="19"/>
                <w:color w:val="auto"/>
              </w:rPr>
            </w:pP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68</w:t>
              </w:r>
            </w:hyperlink>
          </w:p>
        </w:tc>
      </w:tr>
      <w:tr>
        <w:trPr>
          <w:trHeight w:val="219"/>
        </w:trPr>
        <w:tc>
          <w:tcPr>
            <w:tcW w:w="4400" w:type="dxa"/>
            <w:vAlign w:val="bottom"/>
            <w:tcBorders>
              <w:bottom w:val="single" w:sz="8" w:color="0000FF"/>
            </w:tcBorders>
            <w:gridSpan w:val="25"/>
          </w:tcPr>
          <w:p>
            <w:pPr>
              <w:spacing w:after="0"/>
              <w:rPr>
                <w:rFonts w:ascii="Arial" w:cs="Arial" w:eastAsia="Arial" w:hAnsi="Arial"/>
                <w:sz w:val="19"/>
                <w:szCs w:val="19"/>
                <w:color w:val="0000FF"/>
                <w:w w:val="95"/>
              </w:rPr>
            </w:pPr>
            <w:hyperlink w:anchor="page39">
              <w:r>
                <w:rPr>
                  <w:rFonts w:ascii="Arial" w:cs="Arial" w:eastAsia="Arial" w:hAnsi="Arial"/>
                  <w:sz w:val="19"/>
                  <w:szCs w:val="19"/>
                  <w:color w:val="0000FF"/>
                  <w:w w:val="95"/>
                </w:rPr>
                <w:t>SECTION 5.05.  Maintenance of Properties; Insurance</w:t>
              </w:r>
            </w:hyperlink>
          </w:p>
        </w:tc>
        <w:tc>
          <w:tcPr>
            <w:tcW w:w="6080" w:type="dxa"/>
            <w:vAlign w:val="bottom"/>
            <w:gridSpan w:val="7"/>
          </w:tcPr>
          <w:p>
            <w:pPr>
              <w:spacing w:after="0"/>
              <w:rPr>
                <w:sz w:val="19"/>
                <w:szCs w:val="19"/>
                <w:color w:val="auto"/>
              </w:rPr>
            </w:pP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68</w:t>
              </w:r>
            </w:hyperlink>
          </w:p>
        </w:tc>
      </w:tr>
      <w:tr>
        <w:trPr>
          <w:trHeight w:val="218"/>
        </w:trPr>
        <w:tc>
          <w:tcPr>
            <w:tcW w:w="10480" w:type="dxa"/>
            <w:vAlign w:val="bottom"/>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5.06.  Books and Records; Inspection Rights</w:t>
              </w:r>
            </w:hyperlink>
          </w:p>
        </w:tc>
        <w:tc>
          <w:tcPr>
            <w:tcW w:w="180" w:type="dxa"/>
            <w:vAlign w:val="bottom"/>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69</w:t>
              </w:r>
            </w:hyperlink>
          </w:p>
        </w:tc>
      </w:tr>
      <w:tr>
        <w:trPr>
          <w:trHeight w:val="20"/>
        </w:trPr>
        <w:tc>
          <w:tcPr>
            <w:tcW w:w="2480" w:type="dxa"/>
            <w:vAlign w:val="bottom"/>
            <w:gridSpan w:val="10"/>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80" w:type="dxa"/>
            <w:vAlign w:val="bottom"/>
            <w:gridSpan w:val="8"/>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18"/>
        </w:trPr>
        <w:tc>
          <w:tcPr>
            <w:tcW w:w="6220" w:type="dxa"/>
            <w:vAlign w:val="bottom"/>
            <w:tcBorders>
              <w:bottom w:val="single" w:sz="8" w:color="0000FF"/>
            </w:tcBorders>
            <w:gridSpan w:val="30"/>
          </w:tcPr>
          <w:p>
            <w:pPr>
              <w:spacing w:after="0"/>
              <w:rPr>
                <w:rFonts w:ascii="Arial" w:cs="Arial" w:eastAsia="Arial" w:hAnsi="Arial"/>
                <w:sz w:val="19"/>
                <w:szCs w:val="19"/>
                <w:color w:val="0000FF"/>
                <w:w w:val="96"/>
              </w:rPr>
            </w:pPr>
            <w:hyperlink w:anchor="page39">
              <w:r>
                <w:rPr>
                  <w:rFonts w:ascii="Arial" w:cs="Arial" w:eastAsia="Arial" w:hAnsi="Arial"/>
                  <w:sz w:val="19"/>
                  <w:szCs w:val="19"/>
                  <w:color w:val="0000FF"/>
                  <w:w w:val="96"/>
                </w:rPr>
                <w:t>SECTION 5.07.  Compliance with Laws and Material Contractual Obligations</w:t>
              </w:r>
            </w:hyperlink>
          </w:p>
        </w:tc>
        <w:tc>
          <w:tcPr>
            <w:tcW w:w="426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69</w:t>
              </w:r>
            </w:hyperlink>
          </w:p>
        </w:tc>
      </w:tr>
      <w:tr>
        <w:trPr>
          <w:trHeight w:val="219"/>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5.08.</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Use of Proceeds</w:t>
              </w:r>
            </w:hyperlink>
          </w:p>
        </w:tc>
        <w:tc>
          <w:tcPr>
            <w:tcW w:w="180" w:type="dxa"/>
            <w:vAlign w:val="bottom"/>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69</w:t>
              </w:r>
            </w:hyperlink>
          </w:p>
        </w:tc>
      </w:tr>
      <w:tr>
        <w:trPr>
          <w:trHeight w:val="20"/>
        </w:trPr>
        <w:tc>
          <w:tcPr>
            <w:tcW w:w="2480" w:type="dxa"/>
            <w:vAlign w:val="bottom"/>
            <w:gridSpan w:val="10"/>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1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18"/>
        </w:trPr>
        <w:tc>
          <w:tcPr>
            <w:tcW w:w="10480" w:type="dxa"/>
            <w:vAlign w:val="bottom"/>
            <w:tcBorders>
              <w:bottom w:val="single" w:sz="8" w:color="0000FF"/>
            </w:tcBorders>
            <w:gridSpan w:val="3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5.09.  Subsidiary Guarantors; Pledges; Additional Collateral; Further Assurances</w:t>
              </w:r>
            </w:hyperlink>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70</w:t>
              </w:r>
            </w:hyperlink>
          </w:p>
        </w:tc>
      </w:tr>
      <w:tr>
        <w:trPr>
          <w:trHeight w:val="219"/>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5.10.</w:t>
              </w:r>
            </w:hyperlink>
          </w:p>
        </w:tc>
        <w:tc>
          <w:tcPr>
            <w:tcW w:w="9120" w:type="dxa"/>
            <w:vAlign w:val="bottom"/>
            <w:gridSpan w:val="3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Post-Closing Covenant</w:t>
              </w:r>
            </w:hyperlink>
          </w:p>
        </w:tc>
        <w:tc>
          <w:tcPr>
            <w:tcW w:w="180" w:type="dxa"/>
            <w:vAlign w:val="bottom"/>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71</w:t>
              </w:r>
            </w:hyperlink>
          </w:p>
        </w:tc>
      </w:tr>
      <w:tr>
        <w:trPr>
          <w:trHeight w:val="470"/>
        </w:trPr>
        <w:tc>
          <w:tcPr>
            <w:tcW w:w="3200" w:type="dxa"/>
            <w:vAlign w:val="bottom"/>
            <w:tcBorders>
              <w:top w:val="single" w:sz="8" w:color="0000FF"/>
              <w:bottom w:val="single" w:sz="8" w:color="0000FF"/>
            </w:tcBorders>
            <w:gridSpan w:val="17"/>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ARTICLE VI Negative Covenants</w:t>
              </w:r>
            </w:hyperlink>
          </w:p>
        </w:tc>
        <w:tc>
          <w:tcPr>
            <w:tcW w:w="60" w:type="dxa"/>
            <w:vAlign w:val="bottom"/>
            <w:tcBorders>
              <w:top w:val="single" w:sz="8" w:color="0000FF"/>
            </w:tcBorders>
          </w:tcPr>
          <w:p>
            <w:pPr>
              <w:spacing w:after="0"/>
              <w:rPr>
                <w:sz w:val="24"/>
                <w:szCs w:val="24"/>
                <w:color w:val="auto"/>
              </w:rPr>
            </w:pPr>
          </w:p>
        </w:tc>
        <w:tc>
          <w:tcPr>
            <w:tcW w:w="7220" w:type="dxa"/>
            <w:vAlign w:val="bottom"/>
            <w:gridSpan w:val="14"/>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71</w:t>
              </w:r>
            </w:hyperlink>
          </w:p>
        </w:tc>
      </w:tr>
      <w:tr>
        <w:trPr>
          <w:trHeight w:val="483"/>
        </w:trPr>
        <w:tc>
          <w:tcPr>
            <w:tcW w:w="1360" w:type="dxa"/>
            <w:vAlign w:val="bottom"/>
            <w:tcBorders>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6.01.</w:t>
              </w:r>
            </w:hyperlink>
          </w:p>
        </w:tc>
        <w:tc>
          <w:tcPr>
            <w:tcW w:w="1120" w:type="dxa"/>
            <w:vAlign w:val="bottom"/>
            <w:tcBorders>
              <w:bottom w:val="single" w:sz="8" w:color="0000FF"/>
            </w:tcBorders>
            <w:gridSpan w:val="9"/>
          </w:tcPr>
          <w:p>
            <w:pPr>
              <w:ind w:left="100"/>
              <w:spacing w:after="0"/>
              <w:rPr>
                <w:rFonts w:ascii="Arial" w:cs="Arial" w:eastAsia="Arial" w:hAnsi="Arial"/>
                <w:sz w:val="19"/>
                <w:szCs w:val="19"/>
                <w:color w:val="0000FF"/>
                <w:w w:val="87"/>
              </w:rPr>
            </w:pPr>
            <w:hyperlink w:anchor="page39">
              <w:r>
                <w:rPr>
                  <w:rFonts w:ascii="Arial" w:cs="Arial" w:eastAsia="Arial" w:hAnsi="Arial"/>
                  <w:sz w:val="19"/>
                  <w:szCs w:val="19"/>
                  <w:color w:val="0000FF"/>
                  <w:w w:val="87"/>
                </w:rPr>
                <w:t>Indebtedness</w:t>
              </w:r>
            </w:hyperlink>
          </w:p>
        </w:tc>
        <w:tc>
          <w:tcPr>
            <w:tcW w:w="8000" w:type="dxa"/>
            <w:vAlign w:val="bottom"/>
            <w:gridSpan w:val="22"/>
          </w:tcPr>
          <w:p>
            <w:pPr>
              <w:spacing w:after="0"/>
              <w:rPr>
                <w:sz w:val="24"/>
                <w:szCs w:val="24"/>
                <w:color w:val="auto"/>
              </w:rPr>
            </w:pP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71</w:t>
              </w:r>
            </w:hyperlink>
          </w:p>
        </w:tc>
      </w:tr>
      <w:tr>
        <w:trPr>
          <w:trHeight w:val="219"/>
        </w:trPr>
        <w:tc>
          <w:tcPr>
            <w:tcW w:w="1360" w:type="dxa"/>
            <w:vAlign w:val="bottom"/>
            <w:tcBorders>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6.02.</w:t>
              </w:r>
            </w:hyperlink>
          </w:p>
        </w:tc>
        <w:tc>
          <w:tcPr>
            <w:tcW w:w="540" w:type="dxa"/>
            <w:vAlign w:val="bottom"/>
            <w:tcBorders>
              <w:bottom w:val="single" w:sz="8" w:color="0000FF"/>
            </w:tcBorders>
          </w:tcPr>
          <w:p>
            <w:pPr>
              <w:ind w:left="100"/>
              <w:spacing w:after="0"/>
              <w:rPr>
                <w:rFonts w:ascii="Arial" w:cs="Arial" w:eastAsia="Arial" w:hAnsi="Arial"/>
                <w:sz w:val="19"/>
                <w:szCs w:val="19"/>
                <w:color w:val="0000FF"/>
                <w:w w:val="92"/>
              </w:rPr>
            </w:pPr>
            <w:hyperlink w:anchor="page39">
              <w:r>
                <w:rPr>
                  <w:rFonts w:ascii="Arial" w:cs="Arial" w:eastAsia="Arial" w:hAnsi="Arial"/>
                  <w:sz w:val="19"/>
                  <w:szCs w:val="19"/>
                  <w:color w:val="0000FF"/>
                  <w:w w:val="92"/>
                </w:rPr>
                <w:t>Liens</w:t>
              </w:r>
            </w:hyperlink>
          </w:p>
        </w:tc>
        <w:tc>
          <w:tcPr>
            <w:tcW w:w="8580" w:type="dxa"/>
            <w:vAlign w:val="bottom"/>
            <w:gridSpan w:val="30"/>
          </w:tcPr>
          <w:p>
            <w:pPr>
              <w:spacing w:after="0"/>
              <w:rPr>
                <w:sz w:val="19"/>
                <w:szCs w:val="19"/>
                <w:color w:val="auto"/>
              </w:rPr>
            </w:pP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74</w:t>
              </w:r>
            </w:hyperlink>
          </w:p>
        </w:tc>
      </w:tr>
      <w:tr>
        <w:trPr>
          <w:trHeight w:val="218"/>
        </w:trPr>
        <w:tc>
          <w:tcPr>
            <w:tcW w:w="1360" w:type="dxa"/>
            <w:vAlign w:val="bottom"/>
            <w:tcBorders>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6.03.</w:t>
              </w:r>
            </w:hyperlink>
          </w:p>
        </w:tc>
        <w:tc>
          <w:tcPr>
            <w:tcW w:w="1840" w:type="dxa"/>
            <w:vAlign w:val="bottom"/>
            <w:tcBorders>
              <w:bottom w:val="single" w:sz="8" w:color="0000FF"/>
            </w:tcBorders>
            <w:gridSpan w:val="16"/>
          </w:tcPr>
          <w:p>
            <w:pPr>
              <w:ind w:left="100"/>
              <w:spacing w:after="0"/>
              <w:rPr>
                <w:rFonts w:ascii="Arial" w:cs="Arial" w:eastAsia="Arial" w:hAnsi="Arial"/>
                <w:sz w:val="19"/>
                <w:szCs w:val="19"/>
                <w:color w:val="0000FF"/>
                <w:w w:val="89"/>
              </w:rPr>
            </w:pPr>
            <w:hyperlink w:anchor="page39">
              <w:r>
                <w:rPr>
                  <w:rFonts w:ascii="Arial" w:cs="Arial" w:eastAsia="Arial" w:hAnsi="Arial"/>
                  <w:sz w:val="19"/>
                  <w:szCs w:val="19"/>
                  <w:color w:val="0000FF"/>
                  <w:w w:val="89"/>
                </w:rPr>
                <w:t>Fundamental Changes</w:t>
              </w:r>
            </w:hyperlink>
          </w:p>
        </w:tc>
        <w:tc>
          <w:tcPr>
            <w:tcW w:w="7280" w:type="dxa"/>
            <w:vAlign w:val="bottom"/>
            <w:gridSpan w:val="15"/>
          </w:tcPr>
          <w:p>
            <w:pPr>
              <w:spacing w:after="0"/>
              <w:rPr>
                <w:sz w:val="19"/>
                <w:szCs w:val="19"/>
                <w:color w:val="auto"/>
              </w:rPr>
            </w:pPr>
          </w:p>
        </w:tc>
        <w:tc>
          <w:tcPr>
            <w:tcW w:w="180" w:type="dxa"/>
            <w:vAlign w:val="bottom"/>
            <w:tcBorders>
              <w:bottom w:val="single" w:sz="8" w:color="auto"/>
            </w:tcBorders>
          </w:tcPr>
          <w:p>
            <w:pPr>
              <w:jc w:val="right"/>
              <w:spacing w:after="0"/>
              <w:rPr>
                <w:rFonts w:ascii="Arial" w:cs="Arial" w:eastAsia="Arial" w:hAnsi="Arial"/>
                <w:sz w:val="19"/>
                <w:szCs w:val="19"/>
                <w:color w:val="auto"/>
                <w:w w:val="75"/>
              </w:rPr>
            </w:pPr>
            <w:hyperlink w:anchor="page39">
              <w:r>
                <w:rPr>
                  <w:rFonts w:ascii="Arial" w:cs="Arial" w:eastAsia="Arial" w:hAnsi="Arial"/>
                  <w:sz w:val="19"/>
                  <w:szCs w:val="19"/>
                  <w:color w:val="auto"/>
                  <w:w w:val="75"/>
                </w:rPr>
                <w:t>76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1160"/>
          </w:cols>
          <w:pgMar w:left="400" w:top="92" w:right="339" w:bottom="1440" w:gutter="0" w:footer="0" w:header="0"/>
        </w:sectPr>
      </w:pPr>
    </w:p>
    <w:bookmarkStart w:id="37" w:name="page38"/>
    <w:bookmarkEnd w:id="37"/>
    <w:p>
      <w:pPr>
        <w:jc w:val="center"/>
        <w:ind w:right="80"/>
        <w:spacing w:after="0"/>
        <w:rPr>
          <w:sz w:val="20"/>
          <w:szCs w:val="20"/>
          <w:color w:val="auto"/>
        </w:rPr>
      </w:pPr>
      <w:r>
        <w:rPr>
          <w:rFonts w:ascii="Arial" w:cs="Arial" w:eastAsia="Arial" w:hAnsi="Arial"/>
          <w:sz w:val="19"/>
          <w:szCs w:val="19"/>
          <w:u w:val="single" w:color="auto"/>
          <w:color w:val="auto"/>
        </w:rPr>
        <w:t>Table of Contents</w:t>
      </w:r>
    </w:p>
    <w:p>
      <w:pPr>
        <w:jc w:val="center"/>
        <w:ind w:right="80"/>
        <w:spacing w:after="0" w:line="203" w:lineRule="auto"/>
        <w:rPr>
          <w:sz w:val="20"/>
          <w:szCs w:val="20"/>
          <w:color w:val="auto"/>
        </w:rPr>
      </w:pPr>
      <w:r>
        <w:rPr>
          <w:rFonts w:ascii="Arial" w:cs="Arial" w:eastAsia="Arial" w:hAnsi="Arial"/>
          <w:sz w:val="19"/>
          <w:szCs w:val="19"/>
          <w:color w:val="auto"/>
        </w:rPr>
        <w:t>(continued)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6.04.</w:t>
              </w:r>
            </w:hyperlink>
          </w:p>
        </w:tc>
        <w:tc>
          <w:tcPr>
            <w:tcW w:w="1080" w:type="dxa"/>
            <w:vAlign w:val="bottom"/>
            <w:gridSpan w:val="4"/>
          </w:tcPr>
          <w:p>
            <w:pPr>
              <w:ind w:left="100"/>
              <w:spacing w:after="0"/>
              <w:rPr>
                <w:rFonts w:ascii="Arial" w:cs="Arial" w:eastAsia="Arial" w:hAnsi="Arial"/>
                <w:sz w:val="19"/>
                <w:szCs w:val="19"/>
                <w:color w:val="0000FF"/>
                <w:w w:val="91"/>
              </w:rPr>
            </w:pPr>
            <w:hyperlink w:anchor="page39">
              <w:r>
                <w:rPr>
                  <w:rFonts w:ascii="Arial" w:cs="Arial" w:eastAsia="Arial" w:hAnsi="Arial"/>
                  <w:sz w:val="19"/>
                  <w:szCs w:val="19"/>
                  <w:color w:val="0000FF"/>
                  <w:w w:val="91"/>
                </w:rPr>
                <w:t>Dispositions</w:t>
              </w:r>
            </w:hyperlink>
          </w:p>
        </w:tc>
        <w:tc>
          <w:tcPr>
            <w:tcW w:w="8040" w:type="dxa"/>
            <w:vAlign w:val="bottom"/>
            <w:gridSpan w:val="20"/>
          </w:tcPr>
          <w:p>
            <w:pPr>
              <w:spacing w:after="0"/>
              <w:rPr>
                <w:sz w:val="18"/>
                <w:szCs w:val="18"/>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77</w:t>
              </w:r>
            </w:hyperlink>
          </w:p>
        </w:tc>
        <w:tc>
          <w:tcPr>
            <w:tcW w:w="20" w:type="dxa"/>
            <w:vAlign w:val="bottom"/>
          </w:tcPr>
          <w:p>
            <w:pPr>
              <w:spacing w:after="0"/>
              <w:rPr>
                <w:sz w:val="18"/>
                <w:szCs w:val="18"/>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480" w:type="dxa"/>
            <w:vAlign w:val="bottom"/>
            <w:gridSpan w:val="25"/>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6.05.  Investments, Loans, Advances, Guarantees and Acquisitions</w:t>
              </w:r>
            </w:hyperlink>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78</w:t>
              </w:r>
            </w:hyperlink>
          </w:p>
        </w:tc>
        <w:tc>
          <w:tcPr>
            <w:tcW w:w="20" w:type="dxa"/>
            <w:vAlign w:val="bottom"/>
          </w:tcPr>
          <w:p>
            <w:pPr>
              <w:spacing w:after="0"/>
              <w:rPr>
                <w:sz w:val="19"/>
                <w:szCs w:val="19"/>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6.06.</w:t>
              </w:r>
            </w:hyperlink>
          </w:p>
        </w:tc>
        <w:tc>
          <w:tcPr>
            <w:tcW w:w="4760" w:type="dxa"/>
            <w:vAlign w:val="bottom"/>
            <w:gridSpan w:val="20"/>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Swap Agreements</w:t>
              </w:r>
            </w:hyperlink>
          </w:p>
        </w:tc>
        <w:tc>
          <w:tcPr>
            <w:tcW w:w="4360" w:type="dxa"/>
            <w:vAlign w:val="bottom"/>
            <w:gridSpan w:val="4"/>
          </w:tcPr>
          <w:p>
            <w:pPr>
              <w:spacing w:after="0"/>
              <w:rPr>
                <w:sz w:val="19"/>
                <w:szCs w:val="19"/>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80</w:t>
              </w:r>
            </w:hyperlink>
          </w:p>
        </w:tc>
        <w:tc>
          <w:tcPr>
            <w:tcW w:w="20" w:type="dxa"/>
            <w:vAlign w:val="bottom"/>
          </w:tcPr>
          <w:p>
            <w:pPr>
              <w:spacing w:after="0"/>
              <w:rPr>
                <w:sz w:val="19"/>
                <w:szCs w:val="19"/>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10480" w:type="dxa"/>
            <w:vAlign w:val="bottom"/>
            <w:gridSpan w:val="25"/>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6.07.  Transactions with Affiliates</w:t>
              </w:r>
            </w:hyperlink>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80</w:t>
              </w:r>
            </w:hyperlink>
          </w:p>
        </w:tc>
        <w:tc>
          <w:tcPr>
            <w:tcW w:w="20" w:type="dxa"/>
            <w:vAlign w:val="bottom"/>
          </w:tcPr>
          <w:p>
            <w:pPr>
              <w:spacing w:after="0"/>
              <w:rPr>
                <w:sz w:val="19"/>
                <w:szCs w:val="19"/>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6.08.</w:t>
              </w:r>
            </w:hyperlink>
          </w:p>
        </w:tc>
        <w:tc>
          <w:tcPr>
            <w:tcW w:w="1700" w:type="dxa"/>
            <w:vAlign w:val="bottom"/>
            <w:gridSpan w:val="9"/>
          </w:tcPr>
          <w:p>
            <w:pPr>
              <w:ind w:left="100"/>
              <w:spacing w:after="0"/>
              <w:rPr>
                <w:rFonts w:ascii="Arial" w:cs="Arial" w:eastAsia="Arial" w:hAnsi="Arial"/>
                <w:sz w:val="19"/>
                <w:szCs w:val="19"/>
                <w:color w:val="0000FF"/>
                <w:w w:val="88"/>
              </w:rPr>
            </w:pPr>
            <w:hyperlink w:anchor="page39">
              <w:r>
                <w:rPr>
                  <w:rFonts w:ascii="Arial" w:cs="Arial" w:eastAsia="Arial" w:hAnsi="Arial"/>
                  <w:sz w:val="19"/>
                  <w:szCs w:val="19"/>
                  <w:color w:val="0000FF"/>
                  <w:w w:val="88"/>
                </w:rPr>
                <w:t>Restricted Payments</w:t>
              </w:r>
            </w:hyperlink>
          </w:p>
        </w:tc>
        <w:tc>
          <w:tcPr>
            <w:tcW w:w="560" w:type="dxa"/>
            <w:vAlign w:val="bottom"/>
            <w:gridSpan w:val="4"/>
          </w:tcPr>
          <w:p>
            <w:pPr>
              <w:spacing w:after="0"/>
              <w:rPr>
                <w:sz w:val="19"/>
                <w:szCs w:val="19"/>
                <w:color w:val="auto"/>
              </w:rPr>
            </w:pPr>
          </w:p>
        </w:tc>
        <w:tc>
          <w:tcPr>
            <w:tcW w:w="6860" w:type="dxa"/>
            <w:vAlign w:val="bottom"/>
            <w:gridSpan w:val="11"/>
          </w:tcPr>
          <w:p>
            <w:pPr>
              <w:spacing w:after="0"/>
              <w:rPr>
                <w:sz w:val="19"/>
                <w:szCs w:val="19"/>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81</w:t>
              </w:r>
            </w:hyperlink>
          </w:p>
        </w:tc>
        <w:tc>
          <w:tcPr>
            <w:tcW w:w="20" w:type="dxa"/>
            <w:vAlign w:val="bottom"/>
          </w:tcPr>
          <w:p>
            <w:pPr>
              <w:spacing w:after="0"/>
              <w:rPr>
                <w:sz w:val="19"/>
                <w:szCs w:val="19"/>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6.09.</w:t>
              </w:r>
            </w:hyperlink>
          </w:p>
        </w:tc>
        <w:tc>
          <w:tcPr>
            <w:tcW w:w="1920" w:type="dxa"/>
            <w:vAlign w:val="bottom"/>
            <w:gridSpan w:val="10"/>
          </w:tcPr>
          <w:p>
            <w:pPr>
              <w:ind w:left="100"/>
              <w:spacing w:after="0"/>
              <w:rPr>
                <w:rFonts w:ascii="Arial" w:cs="Arial" w:eastAsia="Arial" w:hAnsi="Arial"/>
                <w:sz w:val="19"/>
                <w:szCs w:val="19"/>
                <w:color w:val="0000FF"/>
                <w:w w:val="90"/>
              </w:rPr>
            </w:pPr>
            <w:hyperlink w:anchor="page39">
              <w:r>
                <w:rPr>
                  <w:rFonts w:ascii="Arial" w:cs="Arial" w:eastAsia="Arial" w:hAnsi="Arial"/>
                  <w:sz w:val="19"/>
                  <w:szCs w:val="19"/>
                  <w:color w:val="0000FF"/>
                  <w:w w:val="90"/>
                </w:rPr>
                <w:t>Restrictive Agreements</w:t>
              </w:r>
            </w:hyperlink>
          </w:p>
        </w:tc>
        <w:tc>
          <w:tcPr>
            <w:tcW w:w="7200" w:type="dxa"/>
            <w:vAlign w:val="bottom"/>
            <w:gridSpan w:val="14"/>
          </w:tcPr>
          <w:p>
            <w:pPr>
              <w:spacing w:after="0"/>
              <w:rPr>
                <w:sz w:val="19"/>
                <w:szCs w:val="19"/>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82</w:t>
              </w:r>
            </w:hyperlink>
          </w:p>
        </w:tc>
        <w:tc>
          <w:tcPr>
            <w:tcW w:w="20" w:type="dxa"/>
            <w:vAlign w:val="bottom"/>
          </w:tcPr>
          <w:p>
            <w:pPr>
              <w:spacing w:after="0"/>
              <w:rPr>
                <w:sz w:val="19"/>
                <w:szCs w:val="19"/>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8260" w:type="dxa"/>
            <w:vAlign w:val="bottom"/>
            <w:gridSpan w:val="24"/>
          </w:tcPr>
          <w:p>
            <w:pPr>
              <w:spacing w:after="0"/>
              <w:rPr>
                <w:rFonts w:ascii="Arial" w:cs="Arial" w:eastAsia="Arial" w:hAnsi="Arial"/>
                <w:sz w:val="19"/>
                <w:szCs w:val="19"/>
                <w:color w:val="0000FF"/>
                <w:w w:val="92"/>
              </w:rPr>
            </w:pPr>
            <w:hyperlink w:anchor="page39">
              <w:r>
                <w:rPr>
                  <w:rFonts w:ascii="Arial" w:cs="Arial" w:eastAsia="Arial" w:hAnsi="Arial"/>
                  <w:sz w:val="19"/>
                  <w:szCs w:val="19"/>
                  <w:color w:val="0000FF"/>
                  <w:w w:val="92"/>
                </w:rPr>
                <w:t>SECTION 6.10.  Subordinated Indebtedness and Amendments to Subordinated Indebtedness Documents</w:t>
              </w:r>
            </w:hyperlink>
          </w:p>
        </w:tc>
        <w:tc>
          <w:tcPr>
            <w:tcW w:w="2220" w:type="dxa"/>
            <w:vAlign w:val="bottom"/>
          </w:tcPr>
          <w:p>
            <w:pPr>
              <w:spacing w:after="0"/>
              <w:rPr>
                <w:sz w:val="19"/>
                <w:szCs w:val="19"/>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83</w:t>
              </w:r>
            </w:hyperlink>
          </w:p>
        </w:tc>
        <w:tc>
          <w:tcPr>
            <w:tcW w:w="20" w:type="dxa"/>
            <w:vAlign w:val="bottom"/>
          </w:tcPr>
          <w:p>
            <w:pPr>
              <w:spacing w:after="0"/>
              <w:rPr>
                <w:sz w:val="19"/>
                <w:szCs w:val="19"/>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8260" w:type="dxa"/>
            <w:vAlign w:val="bottom"/>
            <w:gridSpan w:val="24"/>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6.11.  Sale and Leaseback Transactions</w:t>
              </w:r>
            </w:hyperlink>
          </w:p>
        </w:tc>
        <w:tc>
          <w:tcPr>
            <w:tcW w:w="2220" w:type="dxa"/>
            <w:vAlign w:val="bottom"/>
          </w:tcPr>
          <w:p>
            <w:pPr>
              <w:spacing w:after="0"/>
              <w:rPr>
                <w:sz w:val="19"/>
                <w:szCs w:val="19"/>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84</w:t>
              </w:r>
            </w:hyperlink>
          </w:p>
        </w:tc>
        <w:tc>
          <w:tcPr>
            <w:tcW w:w="20" w:type="dxa"/>
            <w:vAlign w:val="bottom"/>
          </w:tcPr>
          <w:p>
            <w:pPr>
              <w:spacing w:after="0"/>
              <w:rPr>
                <w:sz w:val="19"/>
                <w:szCs w:val="19"/>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6.12.</w:t>
              </w:r>
            </w:hyperlink>
          </w:p>
        </w:tc>
        <w:tc>
          <w:tcPr>
            <w:tcW w:w="1700" w:type="dxa"/>
            <w:vAlign w:val="bottom"/>
            <w:gridSpan w:val="9"/>
          </w:tcPr>
          <w:p>
            <w:pPr>
              <w:ind w:left="100"/>
              <w:spacing w:after="0"/>
              <w:rPr>
                <w:rFonts w:ascii="Arial" w:cs="Arial" w:eastAsia="Arial" w:hAnsi="Arial"/>
                <w:sz w:val="19"/>
                <w:szCs w:val="19"/>
                <w:color w:val="0000FF"/>
                <w:w w:val="90"/>
              </w:rPr>
            </w:pPr>
            <w:hyperlink w:anchor="page39">
              <w:r>
                <w:rPr>
                  <w:rFonts w:ascii="Arial" w:cs="Arial" w:eastAsia="Arial" w:hAnsi="Arial"/>
                  <w:sz w:val="19"/>
                  <w:szCs w:val="19"/>
                  <w:color w:val="0000FF"/>
                  <w:w w:val="90"/>
                </w:rPr>
                <w:t>Financial Covenants</w:t>
              </w:r>
            </w:hyperlink>
          </w:p>
        </w:tc>
        <w:tc>
          <w:tcPr>
            <w:tcW w:w="920" w:type="dxa"/>
            <w:vAlign w:val="bottom"/>
            <w:gridSpan w:val="6"/>
          </w:tcPr>
          <w:p>
            <w:pPr>
              <w:spacing w:after="0"/>
              <w:rPr>
                <w:sz w:val="19"/>
                <w:szCs w:val="19"/>
                <w:color w:val="auto"/>
              </w:rPr>
            </w:pPr>
          </w:p>
        </w:tc>
        <w:tc>
          <w:tcPr>
            <w:tcW w:w="6500" w:type="dxa"/>
            <w:vAlign w:val="bottom"/>
            <w:gridSpan w:val="9"/>
          </w:tcPr>
          <w:p>
            <w:pPr>
              <w:spacing w:after="0"/>
              <w:rPr>
                <w:sz w:val="19"/>
                <w:szCs w:val="19"/>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84</w:t>
              </w:r>
            </w:hyperlink>
          </w:p>
        </w:tc>
        <w:tc>
          <w:tcPr>
            <w:tcW w:w="20" w:type="dxa"/>
            <w:vAlign w:val="bottom"/>
          </w:tcPr>
          <w:p>
            <w:pPr>
              <w:spacing w:after="0"/>
              <w:rPr>
                <w:sz w:val="19"/>
                <w:szCs w:val="19"/>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2540" w:type="dxa"/>
            <w:vAlign w:val="bottom"/>
            <w:gridSpan w:val="6"/>
          </w:tcPr>
          <w:p>
            <w:pPr>
              <w:spacing w:after="0"/>
              <w:rPr>
                <w:rFonts w:ascii="Arial" w:cs="Arial" w:eastAsia="Arial" w:hAnsi="Arial"/>
                <w:sz w:val="19"/>
                <w:szCs w:val="19"/>
                <w:color w:val="0000FF"/>
                <w:w w:val="97"/>
              </w:rPr>
            </w:pPr>
            <w:hyperlink w:anchor="page39">
              <w:r>
                <w:rPr>
                  <w:rFonts w:ascii="Arial" w:cs="Arial" w:eastAsia="Arial" w:hAnsi="Arial"/>
                  <w:sz w:val="19"/>
                  <w:szCs w:val="19"/>
                  <w:color w:val="0000FF"/>
                  <w:w w:val="97"/>
                </w:rPr>
                <w:t>ARTICLE VII Events of Default</w:t>
              </w:r>
            </w:hyperlink>
          </w:p>
        </w:tc>
        <w:tc>
          <w:tcPr>
            <w:tcW w:w="520" w:type="dxa"/>
            <w:vAlign w:val="bottom"/>
            <w:gridSpan w:val="4"/>
          </w:tcPr>
          <w:p>
            <w:pPr>
              <w:spacing w:after="0"/>
              <w:rPr>
                <w:sz w:val="24"/>
                <w:szCs w:val="24"/>
                <w:color w:val="auto"/>
              </w:rPr>
            </w:pPr>
          </w:p>
        </w:tc>
        <w:tc>
          <w:tcPr>
            <w:tcW w:w="7420" w:type="dxa"/>
            <w:vAlign w:val="bottom"/>
            <w:gridSpan w:val="15"/>
          </w:tcPr>
          <w:p>
            <w:pPr>
              <w:spacing w:after="0"/>
              <w:rPr>
                <w:sz w:val="24"/>
                <w:szCs w:val="24"/>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84</w:t>
              </w:r>
            </w:hyperlink>
          </w:p>
        </w:tc>
        <w:tc>
          <w:tcPr>
            <w:tcW w:w="20" w:type="dxa"/>
            <w:vAlign w:val="bottom"/>
          </w:tcPr>
          <w:p>
            <w:pPr>
              <w:spacing w:after="0"/>
              <w:rPr>
                <w:sz w:val="24"/>
                <w:szCs w:val="24"/>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3"/>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7.01.</w:t>
              </w:r>
            </w:hyperlink>
          </w:p>
        </w:tc>
        <w:tc>
          <w:tcPr>
            <w:tcW w:w="1480" w:type="dxa"/>
            <w:vAlign w:val="bottom"/>
            <w:gridSpan w:val="7"/>
          </w:tcPr>
          <w:p>
            <w:pPr>
              <w:ind w:left="100"/>
              <w:spacing w:after="0"/>
              <w:rPr>
                <w:rFonts w:ascii="Arial" w:cs="Arial" w:eastAsia="Arial" w:hAnsi="Arial"/>
                <w:sz w:val="19"/>
                <w:szCs w:val="19"/>
                <w:color w:val="0000FF"/>
                <w:w w:val="92"/>
              </w:rPr>
            </w:pPr>
            <w:hyperlink w:anchor="page39">
              <w:r>
                <w:rPr>
                  <w:rFonts w:ascii="Arial" w:cs="Arial" w:eastAsia="Arial" w:hAnsi="Arial"/>
                  <w:sz w:val="19"/>
                  <w:szCs w:val="19"/>
                  <w:color w:val="0000FF"/>
                  <w:w w:val="92"/>
                </w:rPr>
                <w:t>Events of Default</w:t>
              </w:r>
            </w:hyperlink>
          </w:p>
        </w:tc>
        <w:tc>
          <w:tcPr>
            <w:tcW w:w="7640" w:type="dxa"/>
            <w:vAlign w:val="bottom"/>
            <w:gridSpan w:val="17"/>
          </w:tcPr>
          <w:p>
            <w:pPr>
              <w:spacing w:after="0"/>
              <w:rPr>
                <w:sz w:val="24"/>
                <w:szCs w:val="24"/>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84</w:t>
              </w:r>
            </w:hyperlink>
          </w:p>
        </w:tc>
        <w:tc>
          <w:tcPr>
            <w:tcW w:w="20" w:type="dxa"/>
            <w:vAlign w:val="bottom"/>
          </w:tcPr>
          <w:p>
            <w:pPr>
              <w:spacing w:after="0"/>
              <w:rPr>
                <w:sz w:val="24"/>
                <w:szCs w:val="24"/>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480" w:type="dxa"/>
            <w:vAlign w:val="bottom"/>
            <w:gridSpan w:val="25"/>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7.02.  Remedies Upon an Event of Default</w:t>
              </w:r>
            </w:hyperlink>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87</w:t>
              </w:r>
            </w:hyperlink>
          </w:p>
        </w:tc>
        <w:tc>
          <w:tcPr>
            <w:tcW w:w="20" w:type="dxa"/>
            <w:vAlign w:val="bottom"/>
          </w:tcPr>
          <w:p>
            <w:pPr>
              <w:spacing w:after="0"/>
              <w:rPr>
                <w:sz w:val="19"/>
                <w:szCs w:val="19"/>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3400" w:type="dxa"/>
            <w:vAlign w:val="bottom"/>
            <w:gridSpan w:val="12"/>
          </w:tcPr>
          <w:p>
            <w:pPr>
              <w:spacing w:after="0"/>
              <w:rPr>
                <w:rFonts w:ascii="Arial" w:cs="Arial" w:eastAsia="Arial" w:hAnsi="Arial"/>
                <w:sz w:val="19"/>
                <w:szCs w:val="19"/>
                <w:color w:val="0000FF"/>
                <w:w w:val="97"/>
              </w:rPr>
            </w:pPr>
            <w:hyperlink w:anchor="page39">
              <w:r>
                <w:rPr>
                  <w:rFonts w:ascii="Arial" w:cs="Arial" w:eastAsia="Arial" w:hAnsi="Arial"/>
                  <w:sz w:val="19"/>
                  <w:szCs w:val="19"/>
                  <w:color w:val="0000FF"/>
                  <w:w w:val="97"/>
                </w:rPr>
                <w:t>SECTION 7.03.  Application of Payments</w:t>
              </w:r>
            </w:hyperlink>
          </w:p>
        </w:tc>
        <w:tc>
          <w:tcPr>
            <w:tcW w:w="880" w:type="dxa"/>
            <w:vAlign w:val="bottom"/>
            <w:gridSpan w:val="5"/>
          </w:tcPr>
          <w:p>
            <w:pPr>
              <w:spacing w:after="0"/>
              <w:rPr>
                <w:sz w:val="19"/>
                <w:szCs w:val="19"/>
                <w:color w:val="auto"/>
              </w:rPr>
            </w:pPr>
          </w:p>
        </w:tc>
        <w:tc>
          <w:tcPr>
            <w:tcW w:w="6200" w:type="dxa"/>
            <w:vAlign w:val="bottom"/>
            <w:gridSpan w:val="8"/>
          </w:tcPr>
          <w:p>
            <w:pPr>
              <w:spacing w:after="0"/>
              <w:rPr>
                <w:sz w:val="19"/>
                <w:szCs w:val="19"/>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88</w:t>
              </w:r>
            </w:hyperlink>
          </w:p>
        </w:tc>
        <w:tc>
          <w:tcPr>
            <w:tcW w:w="20" w:type="dxa"/>
            <w:vAlign w:val="bottom"/>
          </w:tcPr>
          <w:p>
            <w:pPr>
              <w:spacing w:after="0"/>
              <w:rPr>
                <w:sz w:val="19"/>
                <w:szCs w:val="19"/>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3280" w:type="dxa"/>
            <w:vAlign w:val="bottom"/>
            <w:gridSpan w:val="11"/>
          </w:tcPr>
          <w:p>
            <w:pPr>
              <w:spacing w:after="0"/>
              <w:rPr>
                <w:rFonts w:ascii="Arial" w:cs="Arial" w:eastAsia="Arial" w:hAnsi="Arial"/>
                <w:sz w:val="19"/>
                <w:szCs w:val="19"/>
                <w:color w:val="0000FF"/>
                <w:w w:val="97"/>
              </w:rPr>
            </w:pPr>
            <w:hyperlink w:anchor="page39">
              <w:r>
                <w:rPr>
                  <w:rFonts w:ascii="Arial" w:cs="Arial" w:eastAsia="Arial" w:hAnsi="Arial"/>
                  <w:sz w:val="19"/>
                  <w:szCs w:val="19"/>
                  <w:color w:val="0000FF"/>
                  <w:w w:val="97"/>
                </w:rPr>
                <w:t>ARTICLE VIII The Administrative Agent</w:t>
              </w:r>
            </w:hyperlink>
          </w:p>
        </w:tc>
        <w:tc>
          <w:tcPr>
            <w:tcW w:w="120" w:type="dxa"/>
            <w:vAlign w:val="bottom"/>
          </w:tcPr>
          <w:p>
            <w:pPr>
              <w:spacing w:after="0"/>
              <w:rPr>
                <w:sz w:val="24"/>
                <w:szCs w:val="24"/>
                <w:color w:val="auto"/>
              </w:rPr>
            </w:pPr>
          </w:p>
        </w:tc>
        <w:tc>
          <w:tcPr>
            <w:tcW w:w="7080" w:type="dxa"/>
            <w:vAlign w:val="bottom"/>
            <w:gridSpan w:val="13"/>
          </w:tcPr>
          <w:p>
            <w:pPr>
              <w:spacing w:after="0"/>
              <w:rPr>
                <w:sz w:val="24"/>
                <w:szCs w:val="24"/>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89</w:t>
              </w:r>
            </w:hyperlink>
          </w:p>
        </w:tc>
        <w:tc>
          <w:tcPr>
            <w:tcW w:w="20" w:type="dxa"/>
            <w:vAlign w:val="bottom"/>
          </w:tcPr>
          <w:p>
            <w:pPr>
              <w:spacing w:after="0"/>
              <w:rPr>
                <w:sz w:val="24"/>
                <w:szCs w:val="24"/>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4"/>
        </w:trPr>
        <w:tc>
          <w:tcPr>
            <w:tcW w:w="10480" w:type="dxa"/>
            <w:vAlign w:val="bottom"/>
            <w:gridSpan w:val="25"/>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8.01.  Authorization and Action</w:t>
              </w:r>
            </w:hyperlink>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89</w:t>
              </w:r>
            </w:hyperlink>
          </w:p>
        </w:tc>
        <w:tc>
          <w:tcPr>
            <w:tcW w:w="20" w:type="dxa"/>
            <w:vAlign w:val="bottom"/>
          </w:tcPr>
          <w:p>
            <w:pPr>
              <w:spacing w:after="0"/>
              <w:rPr>
                <w:sz w:val="24"/>
                <w:szCs w:val="24"/>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6200" w:type="dxa"/>
            <w:vAlign w:val="bottom"/>
            <w:gridSpan w:val="22"/>
          </w:tcPr>
          <w:p>
            <w:pPr>
              <w:spacing w:after="0"/>
              <w:rPr>
                <w:rFonts w:ascii="Arial" w:cs="Arial" w:eastAsia="Arial" w:hAnsi="Arial"/>
                <w:sz w:val="19"/>
                <w:szCs w:val="19"/>
                <w:color w:val="0000FF"/>
                <w:w w:val="98"/>
              </w:rPr>
            </w:pPr>
            <w:hyperlink w:anchor="page39">
              <w:r>
                <w:rPr>
                  <w:rFonts w:ascii="Arial" w:cs="Arial" w:eastAsia="Arial" w:hAnsi="Arial"/>
                  <w:sz w:val="19"/>
                  <w:szCs w:val="19"/>
                  <w:color w:val="0000FF"/>
                  <w:w w:val="98"/>
                </w:rPr>
                <w:t>SECTION 8.02.  Administrative Agent’s Reliance, Limitation of Liability, Etc</w:t>
              </w:r>
            </w:hyperlink>
          </w:p>
        </w:tc>
        <w:tc>
          <w:tcPr>
            <w:tcW w:w="4280" w:type="dxa"/>
            <w:vAlign w:val="bottom"/>
            <w:gridSpan w:val="3"/>
          </w:tcPr>
          <w:p>
            <w:pPr>
              <w:spacing w:after="0"/>
              <w:rPr>
                <w:sz w:val="19"/>
                <w:szCs w:val="19"/>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91</w:t>
              </w:r>
            </w:hyperlink>
          </w:p>
        </w:tc>
        <w:tc>
          <w:tcPr>
            <w:tcW w:w="20" w:type="dxa"/>
            <w:vAlign w:val="bottom"/>
          </w:tcPr>
          <w:p>
            <w:pPr>
              <w:spacing w:after="0"/>
              <w:rPr>
                <w:sz w:val="19"/>
                <w:szCs w:val="19"/>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640" w:type="dxa"/>
            <w:vAlign w:val="bottom"/>
            <w:gridSpan w:val="15"/>
          </w:tcPr>
          <w:p>
            <w:pPr>
              <w:spacing w:after="0"/>
              <w:rPr>
                <w:rFonts w:ascii="Arial" w:cs="Arial" w:eastAsia="Arial" w:hAnsi="Arial"/>
                <w:sz w:val="19"/>
                <w:szCs w:val="19"/>
                <w:color w:val="0000FF"/>
                <w:w w:val="96"/>
              </w:rPr>
            </w:pPr>
            <w:hyperlink w:anchor="page39">
              <w:r>
                <w:rPr>
                  <w:rFonts w:ascii="Arial" w:cs="Arial" w:eastAsia="Arial" w:hAnsi="Arial"/>
                  <w:sz w:val="19"/>
                  <w:szCs w:val="19"/>
                  <w:color w:val="0000FF"/>
                  <w:w w:val="96"/>
                </w:rPr>
                <w:t>SECTION 8.03.  Posting of Communications</w:t>
              </w:r>
            </w:hyperlink>
          </w:p>
        </w:tc>
        <w:tc>
          <w:tcPr>
            <w:tcW w:w="2560" w:type="dxa"/>
            <w:vAlign w:val="bottom"/>
            <w:gridSpan w:val="7"/>
          </w:tcPr>
          <w:p>
            <w:pPr>
              <w:spacing w:after="0"/>
              <w:rPr>
                <w:sz w:val="19"/>
                <w:szCs w:val="19"/>
                <w:color w:val="auto"/>
              </w:rPr>
            </w:pPr>
          </w:p>
        </w:tc>
        <w:tc>
          <w:tcPr>
            <w:tcW w:w="4280" w:type="dxa"/>
            <w:vAlign w:val="bottom"/>
            <w:gridSpan w:val="3"/>
          </w:tcPr>
          <w:p>
            <w:pPr>
              <w:spacing w:after="0"/>
              <w:rPr>
                <w:sz w:val="19"/>
                <w:szCs w:val="19"/>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93</w:t>
              </w:r>
            </w:hyperlink>
          </w:p>
        </w:tc>
        <w:tc>
          <w:tcPr>
            <w:tcW w:w="20" w:type="dxa"/>
            <w:vAlign w:val="bottom"/>
          </w:tcPr>
          <w:p>
            <w:pPr>
              <w:spacing w:after="0"/>
              <w:rPr>
                <w:sz w:val="19"/>
                <w:szCs w:val="19"/>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5280" w:type="dxa"/>
            <w:vAlign w:val="bottom"/>
            <w:gridSpan w:val="19"/>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8.04.  The Administrative Agent Individually</w:t>
              </w:r>
            </w:hyperlink>
          </w:p>
        </w:tc>
        <w:tc>
          <w:tcPr>
            <w:tcW w:w="5200" w:type="dxa"/>
            <w:vAlign w:val="bottom"/>
            <w:gridSpan w:val="6"/>
          </w:tcPr>
          <w:p>
            <w:pPr>
              <w:spacing w:after="0"/>
              <w:rPr>
                <w:sz w:val="19"/>
                <w:szCs w:val="19"/>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94</w:t>
              </w:r>
            </w:hyperlink>
          </w:p>
        </w:tc>
        <w:tc>
          <w:tcPr>
            <w:tcW w:w="20" w:type="dxa"/>
            <w:vAlign w:val="bottom"/>
          </w:tcPr>
          <w:p>
            <w:pPr>
              <w:spacing w:after="0"/>
              <w:rPr>
                <w:sz w:val="19"/>
                <w:szCs w:val="19"/>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3980" w:type="dxa"/>
            <w:vAlign w:val="bottom"/>
            <w:gridSpan w:val="16"/>
          </w:tcPr>
          <w:p>
            <w:pPr>
              <w:spacing w:after="0"/>
              <w:rPr>
                <w:rFonts w:ascii="Arial" w:cs="Arial" w:eastAsia="Arial" w:hAnsi="Arial"/>
                <w:sz w:val="19"/>
                <w:szCs w:val="19"/>
                <w:color w:val="0000FF"/>
                <w:w w:val="95"/>
              </w:rPr>
            </w:pPr>
            <w:hyperlink w:anchor="page39">
              <w:r>
                <w:rPr>
                  <w:rFonts w:ascii="Arial" w:cs="Arial" w:eastAsia="Arial" w:hAnsi="Arial"/>
                  <w:sz w:val="19"/>
                  <w:szCs w:val="19"/>
                  <w:color w:val="0000FF"/>
                  <w:w w:val="95"/>
                </w:rPr>
                <w:t>SECTION 8.05.  Successor Administrative Agent</w:t>
              </w:r>
            </w:hyperlink>
          </w:p>
        </w:tc>
        <w:tc>
          <w:tcPr>
            <w:tcW w:w="1300" w:type="dxa"/>
            <w:vAlign w:val="bottom"/>
            <w:gridSpan w:val="3"/>
          </w:tcPr>
          <w:p>
            <w:pPr>
              <w:spacing w:after="0"/>
              <w:rPr>
                <w:sz w:val="19"/>
                <w:szCs w:val="19"/>
                <w:color w:val="auto"/>
              </w:rPr>
            </w:pPr>
          </w:p>
        </w:tc>
        <w:tc>
          <w:tcPr>
            <w:tcW w:w="5200" w:type="dxa"/>
            <w:vAlign w:val="bottom"/>
            <w:gridSpan w:val="6"/>
          </w:tcPr>
          <w:p>
            <w:pPr>
              <w:spacing w:after="0"/>
              <w:rPr>
                <w:sz w:val="19"/>
                <w:szCs w:val="19"/>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94</w:t>
              </w:r>
            </w:hyperlink>
          </w:p>
        </w:tc>
        <w:tc>
          <w:tcPr>
            <w:tcW w:w="20" w:type="dxa"/>
            <w:vAlign w:val="bottom"/>
          </w:tcPr>
          <w:p>
            <w:pPr>
              <w:spacing w:after="0"/>
              <w:rPr>
                <w:sz w:val="19"/>
                <w:szCs w:val="19"/>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480" w:type="dxa"/>
            <w:vAlign w:val="bottom"/>
            <w:gridSpan w:val="25"/>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8.06.  Acknowledgements of Lenders and Issuing Bank</w:t>
              </w:r>
            </w:hyperlink>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95</w:t>
              </w:r>
            </w:hyperlink>
          </w:p>
        </w:tc>
        <w:tc>
          <w:tcPr>
            <w:tcW w:w="20" w:type="dxa"/>
            <w:vAlign w:val="bottom"/>
          </w:tcPr>
          <w:p>
            <w:pPr>
              <w:spacing w:after="0"/>
              <w:rPr>
                <w:sz w:val="19"/>
                <w:szCs w:val="19"/>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8.07.</w:t>
              </w:r>
            </w:hyperlink>
          </w:p>
        </w:tc>
        <w:tc>
          <w:tcPr>
            <w:tcW w:w="3920" w:type="dxa"/>
            <w:vAlign w:val="bottom"/>
            <w:gridSpan w:val="18"/>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Collateral Matters.</w:t>
              </w:r>
            </w:hyperlink>
          </w:p>
        </w:tc>
        <w:tc>
          <w:tcPr>
            <w:tcW w:w="5200" w:type="dxa"/>
            <w:vAlign w:val="bottom"/>
            <w:gridSpan w:val="6"/>
          </w:tcPr>
          <w:p>
            <w:pPr>
              <w:spacing w:after="0"/>
              <w:rPr>
                <w:sz w:val="19"/>
                <w:szCs w:val="19"/>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96</w:t>
              </w:r>
            </w:hyperlink>
          </w:p>
        </w:tc>
        <w:tc>
          <w:tcPr>
            <w:tcW w:w="20" w:type="dxa"/>
            <w:vAlign w:val="bottom"/>
          </w:tcPr>
          <w:p>
            <w:pPr>
              <w:spacing w:after="0"/>
              <w:rPr>
                <w:sz w:val="19"/>
                <w:szCs w:val="19"/>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8.08.</w:t>
              </w:r>
            </w:hyperlink>
          </w:p>
        </w:tc>
        <w:tc>
          <w:tcPr>
            <w:tcW w:w="1560" w:type="dxa"/>
            <w:vAlign w:val="bottom"/>
            <w:gridSpan w:val="8"/>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Credit Bidding</w:t>
              </w:r>
            </w:hyperlink>
          </w:p>
        </w:tc>
        <w:tc>
          <w:tcPr>
            <w:tcW w:w="7560" w:type="dxa"/>
            <w:vAlign w:val="bottom"/>
            <w:gridSpan w:val="16"/>
          </w:tcPr>
          <w:p>
            <w:pPr>
              <w:spacing w:after="0"/>
              <w:rPr>
                <w:sz w:val="19"/>
                <w:szCs w:val="19"/>
                <w:color w:val="auto"/>
              </w:rPr>
            </w:pPr>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97</w:t>
              </w:r>
            </w:hyperlink>
          </w:p>
        </w:tc>
        <w:tc>
          <w:tcPr>
            <w:tcW w:w="20" w:type="dxa"/>
            <w:vAlign w:val="bottom"/>
          </w:tcPr>
          <w:p>
            <w:pPr>
              <w:spacing w:after="0"/>
              <w:rPr>
                <w:sz w:val="19"/>
                <w:szCs w:val="19"/>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480" w:type="dxa"/>
            <w:vAlign w:val="bottom"/>
            <w:gridSpan w:val="25"/>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8.09.  Certain ERISA Matters</w:t>
              </w:r>
            </w:hyperlink>
          </w:p>
        </w:tc>
        <w:tc>
          <w:tcPr>
            <w:tcW w:w="260" w:type="dxa"/>
            <w:vAlign w:val="bottom"/>
            <w:gridSpan w:val="2"/>
          </w:tcPr>
          <w:p>
            <w:pPr>
              <w:spacing w:after="0"/>
              <w:rPr>
                <w:rFonts w:ascii="Arial" w:cs="Arial" w:eastAsia="Arial" w:hAnsi="Arial"/>
                <w:sz w:val="19"/>
                <w:szCs w:val="19"/>
                <w:color w:val="auto"/>
              </w:rPr>
            </w:pPr>
            <w:hyperlink w:anchor="page39">
              <w:r>
                <w:rPr>
                  <w:rFonts w:ascii="Arial" w:cs="Arial" w:eastAsia="Arial" w:hAnsi="Arial"/>
                  <w:sz w:val="19"/>
                  <w:szCs w:val="19"/>
                  <w:color w:val="auto"/>
                </w:rPr>
                <w:t>98</w:t>
              </w:r>
            </w:hyperlink>
          </w:p>
        </w:tc>
        <w:tc>
          <w:tcPr>
            <w:tcW w:w="20" w:type="dxa"/>
            <w:vAlign w:val="bottom"/>
          </w:tcPr>
          <w:p>
            <w:pPr>
              <w:spacing w:after="0"/>
              <w:rPr>
                <w:sz w:val="19"/>
                <w:szCs w:val="19"/>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3280" w:type="dxa"/>
            <w:vAlign w:val="bottom"/>
            <w:gridSpan w:val="11"/>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ARTICLE IX Miscellaneous</w:t>
              </w:r>
            </w:hyperlink>
          </w:p>
        </w:tc>
        <w:tc>
          <w:tcPr>
            <w:tcW w:w="7200" w:type="dxa"/>
            <w:vAlign w:val="bottom"/>
            <w:gridSpan w:val="14"/>
          </w:tcPr>
          <w:p>
            <w:pPr>
              <w:spacing w:after="0"/>
              <w:rPr>
                <w:sz w:val="24"/>
                <w:szCs w:val="24"/>
                <w:color w:val="auto"/>
              </w:rPr>
            </w:pPr>
          </w:p>
        </w:tc>
        <w:tc>
          <w:tcPr>
            <w:tcW w:w="280" w:type="dxa"/>
            <w:vAlign w:val="bottom"/>
            <w:gridSpan w:val="3"/>
          </w:tcPr>
          <w:p>
            <w:pPr>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100</w:t>
              </w:r>
            </w:hyperlink>
          </w:p>
        </w:tc>
      </w:tr>
      <w:tr>
        <w:trPr>
          <w:trHeight w:val="483"/>
        </w:trPr>
        <w:tc>
          <w:tcPr>
            <w:tcW w:w="1360" w:type="dxa"/>
            <w:vAlign w:val="bottom"/>
            <w:tcBorders>
              <w:top w:val="single" w:sz="8" w:color="0000FF"/>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9.01.</w:t>
              </w:r>
            </w:hyperlink>
          </w:p>
        </w:tc>
        <w:tc>
          <w:tcPr>
            <w:tcW w:w="700" w:type="dxa"/>
            <w:vAlign w:val="bottom"/>
            <w:tcBorders>
              <w:top w:val="single" w:sz="8" w:color="0000FF"/>
              <w:bottom w:val="single" w:sz="8" w:color="0000FF"/>
            </w:tcBorders>
          </w:tcPr>
          <w:p>
            <w:pPr>
              <w:ind w:left="100"/>
              <w:spacing w:after="0"/>
              <w:rPr>
                <w:rFonts w:ascii="Arial" w:cs="Arial" w:eastAsia="Arial" w:hAnsi="Arial"/>
                <w:sz w:val="19"/>
                <w:szCs w:val="19"/>
                <w:color w:val="0000FF"/>
                <w:w w:val="91"/>
              </w:rPr>
            </w:pPr>
            <w:hyperlink w:anchor="page39">
              <w:r>
                <w:rPr>
                  <w:rFonts w:ascii="Arial" w:cs="Arial" w:eastAsia="Arial" w:hAnsi="Arial"/>
                  <w:sz w:val="19"/>
                  <w:szCs w:val="19"/>
                  <w:color w:val="0000FF"/>
                  <w:w w:val="91"/>
                </w:rPr>
                <w:t>Notices</w:t>
              </w:r>
            </w:hyperlink>
          </w:p>
        </w:tc>
        <w:tc>
          <w:tcPr>
            <w:tcW w:w="160" w:type="dxa"/>
            <w:vAlign w:val="bottom"/>
            <w:tcBorders>
              <w:top w:val="single" w:sz="8" w:color="0000FF"/>
            </w:tcBorders>
            <w:gridSpan w:val="2"/>
          </w:tcPr>
          <w:p>
            <w:pPr>
              <w:spacing w:after="0"/>
              <w:rPr>
                <w:sz w:val="24"/>
                <w:szCs w:val="24"/>
                <w:color w:val="auto"/>
              </w:rPr>
            </w:pPr>
          </w:p>
        </w:tc>
        <w:tc>
          <w:tcPr>
            <w:tcW w:w="8260" w:type="dxa"/>
            <w:vAlign w:val="bottom"/>
            <w:gridSpan w:val="21"/>
          </w:tcPr>
          <w:p>
            <w:pPr>
              <w:spacing w:after="0"/>
              <w:rPr>
                <w:sz w:val="24"/>
                <w:szCs w:val="24"/>
                <w:color w:val="auto"/>
              </w:rPr>
            </w:pPr>
          </w:p>
        </w:tc>
        <w:tc>
          <w:tcPr>
            <w:tcW w:w="280" w:type="dxa"/>
            <w:vAlign w:val="bottom"/>
            <w:tcBorders>
              <w:top w:val="single" w:sz="8" w:color="auto"/>
              <w:bottom w:val="single" w:sz="8" w:color="auto"/>
            </w:tcBorders>
            <w:gridSpan w:val="3"/>
          </w:tcPr>
          <w:p>
            <w:pPr>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100</w:t>
              </w:r>
            </w:hyperlink>
          </w:p>
        </w:tc>
      </w:tr>
      <w:tr>
        <w:trPr>
          <w:trHeight w:val="218"/>
        </w:trPr>
        <w:tc>
          <w:tcPr>
            <w:tcW w:w="1360" w:type="dxa"/>
            <w:vAlign w:val="bottom"/>
            <w:tcBorders>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9.02.</w:t>
              </w:r>
            </w:hyperlink>
          </w:p>
        </w:tc>
        <w:tc>
          <w:tcPr>
            <w:tcW w:w="1920" w:type="dxa"/>
            <w:vAlign w:val="bottom"/>
            <w:tcBorders>
              <w:bottom w:val="single" w:sz="8" w:color="0000FF"/>
            </w:tcBorders>
            <w:gridSpan w:val="10"/>
          </w:tcPr>
          <w:p>
            <w:pPr>
              <w:ind w:left="100"/>
              <w:spacing w:after="0"/>
              <w:rPr>
                <w:rFonts w:ascii="Arial" w:cs="Arial" w:eastAsia="Arial" w:hAnsi="Arial"/>
                <w:sz w:val="19"/>
                <w:szCs w:val="19"/>
                <w:color w:val="0000FF"/>
                <w:w w:val="93"/>
              </w:rPr>
            </w:pPr>
            <w:hyperlink w:anchor="page39">
              <w:r>
                <w:rPr>
                  <w:rFonts w:ascii="Arial" w:cs="Arial" w:eastAsia="Arial" w:hAnsi="Arial"/>
                  <w:sz w:val="19"/>
                  <w:szCs w:val="19"/>
                  <w:color w:val="0000FF"/>
                  <w:w w:val="93"/>
                </w:rPr>
                <w:t>Waivers; Amendments</w:t>
              </w:r>
            </w:hyperlink>
          </w:p>
        </w:tc>
        <w:tc>
          <w:tcPr>
            <w:tcW w:w="7200" w:type="dxa"/>
            <w:vAlign w:val="bottom"/>
            <w:gridSpan w:val="14"/>
          </w:tcPr>
          <w:p>
            <w:pPr>
              <w:spacing w:after="0"/>
              <w:rPr>
                <w:sz w:val="19"/>
                <w:szCs w:val="19"/>
                <w:color w:val="auto"/>
              </w:rPr>
            </w:pPr>
          </w:p>
        </w:tc>
        <w:tc>
          <w:tcPr>
            <w:tcW w:w="280" w:type="dxa"/>
            <w:vAlign w:val="bottom"/>
            <w:tcBorders>
              <w:bottom w:val="single" w:sz="8" w:color="auto"/>
            </w:tcBorders>
            <w:gridSpan w:val="3"/>
          </w:tcPr>
          <w:p>
            <w:pPr>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101</w:t>
              </w:r>
            </w:hyperlink>
          </w:p>
        </w:tc>
      </w:tr>
      <w:tr>
        <w:trPr>
          <w:trHeight w:val="219"/>
        </w:trPr>
        <w:tc>
          <w:tcPr>
            <w:tcW w:w="5300" w:type="dxa"/>
            <w:vAlign w:val="bottom"/>
            <w:tcBorders>
              <w:bottom w:val="single" w:sz="8" w:color="0000FF"/>
            </w:tcBorders>
            <w:gridSpan w:val="20"/>
          </w:tcPr>
          <w:p>
            <w:pPr>
              <w:spacing w:after="0"/>
              <w:rPr>
                <w:rFonts w:ascii="Arial" w:cs="Arial" w:eastAsia="Arial" w:hAnsi="Arial"/>
                <w:sz w:val="19"/>
                <w:szCs w:val="19"/>
                <w:color w:val="0000FF"/>
                <w:w w:val="98"/>
              </w:rPr>
            </w:pPr>
            <w:hyperlink w:anchor="page39">
              <w:r>
                <w:rPr>
                  <w:rFonts w:ascii="Arial" w:cs="Arial" w:eastAsia="Arial" w:hAnsi="Arial"/>
                  <w:sz w:val="19"/>
                  <w:szCs w:val="19"/>
                  <w:color w:val="0000FF"/>
                  <w:w w:val="98"/>
                </w:rPr>
                <w:t>SECTION 9.03.  Expenses; Limitation of Liability; Indemnity, Etc</w:t>
              </w:r>
            </w:hyperlink>
          </w:p>
        </w:tc>
        <w:tc>
          <w:tcPr>
            <w:tcW w:w="5180" w:type="dxa"/>
            <w:vAlign w:val="bottom"/>
            <w:gridSpan w:val="5"/>
          </w:tcPr>
          <w:p>
            <w:pPr>
              <w:spacing w:after="0"/>
              <w:rPr>
                <w:sz w:val="19"/>
                <w:szCs w:val="19"/>
                <w:color w:val="auto"/>
              </w:rPr>
            </w:pPr>
          </w:p>
        </w:tc>
        <w:tc>
          <w:tcPr>
            <w:tcW w:w="280" w:type="dxa"/>
            <w:vAlign w:val="bottom"/>
            <w:tcBorders>
              <w:bottom w:val="single" w:sz="8" w:color="auto"/>
            </w:tcBorders>
            <w:gridSpan w:val="3"/>
          </w:tcPr>
          <w:p>
            <w:pPr>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104</w:t>
              </w:r>
            </w:hyperlink>
          </w:p>
        </w:tc>
      </w:tr>
      <w:tr>
        <w:trPr>
          <w:trHeight w:val="218"/>
        </w:trPr>
        <w:tc>
          <w:tcPr>
            <w:tcW w:w="10480" w:type="dxa"/>
            <w:vAlign w:val="bottom"/>
            <w:gridSpan w:val="25"/>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9.04.  Successors and Assigns</w:t>
              </w:r>
            </w:hyperlink>
          </w:p>
        </w:tc>
        <w:tc>
          <w:tcPr>
            <w:tcW w:w="280" w:type="dxa"/>
            <w:vAlign w:val="bottom"/>
            <w:gridSpan w:val="3"/>
          </w:tcPr>
          <w:p>
            <w:pPr>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105</w:t>
              </w:r>
            </w:hyperlink>
          </w:p>
        </w:tc>
      </w:tr>
      <w:tr>
        <w:trPr>
          <w:trHeight w:val="218"/>
        </w:trPr>
        <w:tc>
          <w:tcPr>
            <w:tcW w:w="1360" w:type="dxa"/>
            <w:vAlign w:val="bottom"/>
            <w:tcBorders>
              <w:top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9.05.</w:t>
              </w:r>
            </w:hyperlink>
          </w:p>
        </w:tc>
        <w:tc>
          <w:tcPr>
            <w:tcW w:w="1920" w:type="dxa"/>
            <w:vAlign w:val="bottom"/>
            <w:tcBorders>
              <w:top w:val="single" w:sz="8" w:color="0000FF"/>
            </w:tcBorders>
            <w:gridSpan w:val="10"/>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Survival</w:t>
              </w:r>
            </w:hyperlink>
          </w:p>
        </w:tc>
        <w:tc>
          <w:tcPr>
            <w:tcW w:w="7200" w:type="dxa"/>
            <w:vAlign w:val="bottom"/>
            <w:gridSpan w:val="14"/>
          </w:tcPr>
          <w:p>
            <w:pPr>
              <w:spacing w:after="0"/>
              <w:rPr>
                <w:sz w:val="19"/>
                <w:szCs w:val="19"/>
                <w:color w:val="auto"/>
              </w:rPr>
            </w:pPr>
          </w:p>
        </w:tc>
        <w:tc>
          <w:tcPr>
            <w:tcW w:w="280" w:type="dxa"/>
            <w:vAlign w:val="bottom"/>
            <w:tcBorders>
              <w:top w:val="single" w:sz="8" w:color="auto"/>
            </w:tcBorders>
            <w:gridSpan w:val="3"/>
          </w:tcPr>
          <w:p>
            <w:pPr>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109</w:t>
              </w:r>
            </w:hyperlink>
          </w:p>
        </w:tc>
      </w:tr>
      <w:tr>
        <w:trPr>
          <w:trHeight w:val="20"/>
        </w:trPr>
        <w:tc>
          <w:tcPr>
            <w:tcW w:w="212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19"/>
        </w:trPr>
        <w:tc>
          <w:tcPr>
            <w:tcW w:w="10480" w:type="dxa"/>
            <w:vAlign w:val="bottom"/>
            <w:gridSpan w:val="25"/>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9.06.  Counterparts; Integration; Effectiveness; Electronic Execution</w:t>
              </w:r>
            </w:hyperlink>
          </w:p>
        </w:tc>
        <w:tc>
          <w:tcPr>
            <w:tcW w:w="280" w:type="dxa"/>
            <w:vAlign w:val="bottom"/>
            <w:gridSpan w:val="3"/>
          </w:tcPr>
          <w:p>
            <w:pPr>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109</w:t>
              </w:r>
            </w:hyperlink>
          </w:p>
        </w:tc>
      </w:tr>
      <w:tr>
        <w:trPr>
          <w:trHeight w:val="218"/>
        </w:trPr>
        <w:tc>
          <w:tcPr>
            <w:tcW w:w="1360" w:type="dxa"/>
            <w:vAlign w:val="bottom"/>
            <w:tcBorders>
              <w:top w:val="single" w:sz="8" w:color="0000FF"/>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9.07.</w:t>
              </w:r>
            </w:hyperlink>
          </w:p>
        </w:tc>
        <w:tc>
          <w:tcPr>
            <w:tcW w:w="1260" w:type="dxa"/>
            <w:vAlign w:val="bottom"/>
            <w:tcBorders>
              <w:top w:val="single" w:sz="8" w:color="0000FF"/>
              <w:bottom w:val="single" w:sz="8" w:color="0000FF"/>
            </w:tcBorders>
            <w:gridSpan w:val="6"/>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Severability</w:t>
              </w:r>
            </w:hyperlink>
          </w:p>
        </w:tc>
        <w:tc>
          <w:tcPr>
            <w:tcW w:w="3680" w:type="dxa"/>
            <w:vAlign w:val="bottom"/>
            <w:tcBorders>
              <w:top w:val="single" w:sz="8" w:color="0000FF"/>
            </w:tcBorders>
            <w:gridSpan w:val="16"/>
          </w:tcPr>
          <w:p>
            <w:pPr>
              <w:spacing w:after="0"/>
              <w:rPr>
                <w:sz w:val="19"/>
                <w:szCs w:val="19"/>
                <w:color w:val="auto"/>
              </w:rPr>
            </w:pPr>
          </w:p>
        </w:tc>
        <w:tc>
          <w:tcPr>
            <w:tcW w:w="4180" w:type="dxa"/>
            <w:vAlign w:val="bottom"/>
            <w:gridSpan w:val="2"/>
          </w:tcPr>
          <w:p>
            <w:pPr>
              <w:spacing w:after="0"/>
              <w:rPr>
                <w:sz w:val="19"/>
                <w:szCs w:val="19"/>
                <w:color w:val="auto"/>
              </w:rPr>
            </w:pPr>
          </w:p>
        </w:tc>
        <w:tc>
          <w:tcPr>
            <w:tcW w:w="280" w:type="dxa"/>
            <w:vAlign w:val="bottom"/>
            <w:tcBorders>
              <w:top w:val="single" w:sz="8" w:color="auto"/>
              <w:bottom w:val="single" w:sz="8" w:color="auto"/>
            </w:tcBorders>
            <w:gridSpan w:val="3"/>
          </w:tcPr>
          <w:p>
            <w:pPr>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110</w:t>
              </w:r>
            </w:hyperlink>
          </w:p>
        </w:tc>
      </w:tr>
      <w:tr>
        <w:trPr>
          <w:trHeight w:val="218"/>
        </w:trPr>
        <w:tc>
          <w:tcPr>
            <w:tcW w:w="1360" w:type="dxa"/>
            <w:vAlign w:val="bottom"/>
            <w:tcBorders>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9.08.</w:t>
              </w:r>
            </w:hyperlink>
          </w:p>
        </w:tc>
        <w:tc>
          <w:tcPr>
            <w:tcW w:w="2280" w:type="dxa"/>
            <w:vAlign w:val="bottom"/>
            <w:tcBorders>
              <w:bottom w:val="single" w:sz="8" w:color="0000FF"/>
            </w:tcBorders>
            <w:gridSpan w:val="14"/>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Right of Setoff</w:t>
              </w:r>
            </w:hyperlink>
          </w:p>
        </w:tc>
        <w:tc>
          <w:tcPr>
            <w:tcW w:w="6840" w:type="dxa"/>
            <w:vAlign w:val="bottom"/>
            <w:gridSpan w:val="10"/>
          </w:tcPr>
          <w:p>
            <w:pPr>
              <w:spacing w:after="0"/>
              <w:rPr>
                <w:sz w:val="19"/>
                <w:szCs w:val="19"/>
                <w:color w:val="auto"/>
              </w:rPr>
            </w:pPr>
          </w:p>
        </w:tc>
        <w:tc>
          <w:tcPr>
            <w:tcW w:w="280" w:type="dxa"/>
            <w:vAlign w:val="bottom"/>
            <w:tcBorders>
              <w:bottom w:val="single" w:sz="8" w:color="auto"/>
            </w:tcBorders>
            <w:gridSpan w:val="3"/>
          </w:tcPr>
          <w:p>
            <w:pPr>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110</w:t>
              </w:r>
            </w:hyperlink>
          </w:p>
        </w:tc>
      </w:tr>
      <w:tr>
        <w:trPr>
          <w:trHeight w:val="219"/>
        </w:trPr>
        <w:tc>
          <w:tcPr>
            <w:tcW w:w="6120" w:type="dxa"/>
            <w:vAlign w:val="bottom"/>
            <w:gridSpan w:val="21"/>
          </w:tcPr>
          <w:p>
            <w:pPr>
              <w:spacing w:after="0"/>
              <w:rPr>
                <w:rFonts w:ascii="Arial" w:cs="Arial" w:eastAsia="Arial" w:hAnsi="Arial"/>
                <w:sz w:val="19"/>
                <w:szCs w:val="19"/>
                <w:color w:val="0000FF"/>
                <w:w w:val="94"/>
              </w:rPr>
            </w:pPr>
            <w:hyperlink w:anchor="page39">
              <w:r>
                <w:rPr>
                  <w:rFonts w:ascii="Arial" w:cs="Arial" w:eastAsia="Arial" w:hAnsi="Arial"/>
                  <w:sz w:val="19"/>
                  <w:szCs w:val="19"/>
                  <w:color w:val="0000FF"/>
                  <w:w w:val="94"/>
                </w:rPr>
                <w:t>SECTION 9.09.  Governing Law; Jurisdiction; Consent to Service of Process</w:t>
              </w:r>
            </w:hyperlink>
          </w:p>
        </w:tc>
        <w:tc>
          <w:tcPr>
            <w:tcW w:w="4360" w:type="dxa"/>
            <w:vAlign w:val="bottom"/>
            <w:gridSpan w:val="4"/>
          </w:tcPr>
          <w:p>
            <w:pPr>
              <w:spacing w:after="0"/>
              <w:rPr>
                <w:sz w:val="19"/>
                <w:szCs w:val="19"/>
                <w:color w:val="auto"/>
              </w:rPr>
            </w:pPr>
          </w:p>
        </w:tc>
        <w:tc>
          <w:tcPr>
            <w:tcW w:w="280" w:type="dxa"/>
            <w:vAlign w:val="bottom"/>
            <w:gridSpan w:val="3"/>
          </w:tcPr>
          <w:p>
            <w:pPr>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111</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2280" w:type="dxa"/>
            <w:vAlign w:val="bottom"/>
            <w:gridSpan w:val="14"/>
            <w:shd w:val="clear" w:color="auto" w:fill="0000FF"/>
          </w:tcPr>
          <w:p>
            <w:pPr>
              <w:spacing w:after="0" w:line="20" w:lineRule="exact"/>
              <w:rPr>
                <w:sz w:val="1"/>
                <w:szCs w:val="1"/>
                <w:color w:val="auto"/>
              </w:rPr>
            </w:pPr>
          </w:p>
        </w:tc>
        <w:tc>
          <w:tcPr>
            <w:tcW w:w="2480" w:type="dxa"/>
            <w:vAlign w:val="bottom"/>
            <w:tcBorders>
              <w:left w:val="single" w:sz="8" w:color="0000FF"/>
            </w:tcBorders>
            <w:gridSpan w:val="6"/>
            <w:shd w:val="clear" w:color="auto" w:fill="0000FF"/>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9.10.</w:t>
              </w:r>
            </w:hyperlink>
          </w:p>
        </w:tc>
        <w:tc>
          <w:tcPr>
            <w:tcW w:w="2280" w:type="dxa"/>
            <w:vAlign w:val="bottom"/>
            <w:gridSpan w:val="14"/>
          </w:tcPr>
          <w:p>
            <w:pPr>
              <w:ind w:left="100"/>
              <w:spacing w:after="0"/>
              <w:rPr>
                <w:rFonts w:ascii="Arial" w:cs="Arial" w:eastAsia="Arial" w:hAnsi="Arial"/>
                <w:sz w:val="19"/>
                <w:szCs w:val="19"/>
                <w:color w:val="0000FF"/>
                <w:w w:val="96"/>
              </w:rPr>
            </w:pPr>
            <w:hyperlink w:anchor="page39">
              <w:r>
                <w:rPr>
                  <w:rFonts w:ascii="Arial" w:cs="Arial" w:eastAsia="Arial" w:hAnsi="Arial"/>
                  <w:sz w:val="19"/>
                  <w:szCs w:val="19"/>
                  <w:color w:val="0000FF"/>
                  <w:w w:val="96"/>
                </w:rPr>
                <w:t>WAIVER OF JURY TRIAL</w:t>
              </w:r>
            </w:hyperlink>
          </w:p>
        </w:tc>
        <w:tc>
          <w:tcPr>
            <w:tcW w:w="2480" w:type="dxa"/>
            <w:vAlign w:val="bottom"/>
            <w:gridSpan w:val="6"/>
          </w:tcPr>
          <w:p>
            <w:pPr>
              <w:spacing w:after="0"/>
              <w:rPr>
                <w:sz w:val="19"/>
                <w:szCs w:val="19"/>
                <w:color w:val="auto"/>
              </w:rPr>
            </w:pPr>
          </w:p>
        </w:tc>
        <w:tc>
          <w:tcPr>
            <w:tcW w:w="4360" w:type="dxa"/>
            <w:vAlign w:val="bottom"/>
            <w:gridSpan w:val="4"/>
          </w:tcPr>
          <w:p>
            <w:pPr>
              <w:spacing w:after="0"/>
              <w:rPr>
                <w:sz w:val="19"/>
                <w:szCs w:val="19"/>
                <w:color w:val="auto"/>
              </w:rPr>
            </w:pPr>
          </w:p>
        </w:tc>
        <w:tc>
          <w:tcPr>
            <w:tcW w:w="280" w:type="dxa"/>
            <w:vAlign w:val="bottom"/>
            <w:gridSpan w:val="3"/>
          </w:tcPr>
          <w:p>
            <w:pPr>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111</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iii</w:t>
      </w:r>
    </w:p>
    <w:p>
      <w:pPr>
        <w:sectPr>
          <w:pgSz w:w="11900" w:h="16838" w:orient="portrait"/>
          <w:cols w:equalWidth="0" w:num="1">
            <w:col w:w="11160"/>
          </w:cols>
          <w:pgMar w:left="400" w:top="92" w:right="33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9"/>
          <w:szCs w:val="19"/>
          <w:u w:val="single" w:color="auto"/>
          <w:color w:val="auto"/>
        </w:rPr>
        <w:t>Table of Contents</w:t>
      </w:r>
    </w:p>
    <w:p>
      <w:pPr>
        <w:jc w:val="center"/>
        <w:ind w:right="20"/>
        <w:spacing w:after="0" w:line="203" w:lineRule="auto"/>
        <w:rPr>
          <w:sz w:val="20"/>
          <w:szCs w:val="20"/>
          <w:color w:val="auto"/>
        </w:rPr>
      </w:pPr>
      <w:r>
        <w:rPr>
          <w:rFonts w:ascii="Arial" w:cs="Arial" w:eastAsia="Arial" w:hAnsi="Arial"/>
          <w:sz w:val="19"/>
          <w:szCs w:val="19"/>
          <w:color w:val="auto"/>
        </w:rPr>
        <w:t>(continued)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9"/>
          <w:szCs w:val="19"/>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1360" w:type="dxa"/>
            <w:vAlign w:val="bottom"/>
            <w:tcBorders>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9.11.</w:t>
              </w:r>
            </w:hyperlink>
          </w:p>
        </w:tc>
        <w:tc>
          <w:tcPr>
            <w:tcW w:w="840" w:type="dxa"/>
            <w:vAlign w:val="bottom"/>
            <w:tcBorders>
              <w:bottom w:val="single" w:sz="8" w:color="0000FF"/>
            </w:tcBorders>
          </w:tcPr>
          <w:p>
            <w:pPr>
              <w:ind w:left="100"/>
              <w:spacing w:after="0"/>
              <w:rPr>
                <w:rFonts w:ascii="Arial" w:cs="Arial" w:eastAsia="Arial" w:hAnsi="Arial"/>
                <w:sz w:val="19"/>
                <w:szCs w:val="19"/>
                <w:color w:val="0000FF"/>
                <w:w w:val="89"/>
              </w:rPr>
            </w:pPr>
            <w:hyperlink w:anchor="page39">
              <w:r>
                <w:rPr>
                  <w:rFonts w:ascii="Arial" w:cs="Arial" w:eastAsia="Arial" w:hAnsi="Arial"/>
                  <w:sz w:val="19"/>
                  <w:szCs w:val="19"/>
                  <w:color w:val="0000FF"/>
                  <w:w w:val="89"/>
                </w:rPr>
                <w:t>Headings</w:t>
              </w:r>
            </w:hyperlink>
          </w:p>
        </w:tc>
        <w:tc>
          <w:tcPr>
            <w:tcW w:w="8280" w:type="dxa"/>
            <w:vAlign w:val="bottom"/>
            <w:gridSpan w:val="10"/>
          </w:tcPr>
          <w:p>
            <w:pPr>
              <w:spacing w:after="0"/>
              <w:rPr>
                <w:sz w:val="18"/>
                <w:szCs w:val="18"/>
                <w:color w:val="auto"/>
              </w:rPr>
            </w:pPr>
          </w:p>
        </w:tc>
        <w:tc>
          <w:tcPr>
            <w:tcW w:w="280" w:type="dxa"/>
            <w:vAlign w:val="bottom"/>
            <w:tcBorders>
              <w:bottom w:val="single" w:sz="8" w:color="auto"/>
            </w:tcBorders>
          </w:tcPr>
          <w:p>
            <w:pPr>
              <w:jc w:val="right"/>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112</w:t>
              </w:r>
            </w:hyperlink>
          </w:p>
        </w:tc>
      </w:tr>
      <w:tr>
        <w:trPr>
          <w:trHeight w:val="218"/>
        </w:trPr>
        <w:tc>
          <w:tcPr>
            <w:tcW w:w="1360" w:type="dxa"/>
            <w:vAlign w:val="bottom"/>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9.12.</w:t>
              </w:r>
            </w:hyperlink>
          </w:p>
        </w:tc>
        <w:tc>
          <w:tcPr>
            <w:tcW w:w="9120" w:type="dxa"/>
            <w:vAlign w:val="bottom"/>
            <w:gridSpan w:val="11"/>
          </w:tcPr>
          <w:p>
            <w:pPr>
              <w:ind w:left="100"/>
              <w:spacing w:after="0"/>
              <w:rPr>
                <w:rFonts w:ascii="Arial" w:cs="Arial" w:eastAsia="Arial" w:hAnsi="Arial"/>
                <w:sz w:val="19"/>
                <w:szCs w:val="19"/>
                <w:color w:val="0000FF"/>
              </w:rPr>
            </w:pPr>
            <w:hyperlink w:anchor="page39">
              <w:r>
                <w:rPr>
                  <w:rFonts w:ascii="Arial" w:cs="Arial" w:eastAsia="Arial" w:hAnsi="Arial"/>
                  <w:sz w:val="19"/>
                  <w:szCs w:val="19"/>
                  <w:color w:val="0000FF"/>
                </w:rPr>
                <w:t>Confidentiality</w:t>
              </w:r>
            </w:hyperlink>
          </w:p>
        </w:tc>
        <w:tc>
          <w:tcPr>
            <w:tcW w:w="280" w:type="dxa"/>
            <w:vAlign w:val="bottom"/>
          </w:tcPr>
          <w:p>
            <w:pPr>
              <w:jc w:val="right"/>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112</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219"/>
        </w:trPr>
        <w:tc>
          <w:tcPr>
            <w:tcW w:w="3020" w:type="dxa"/>
            <w:vAlign w:val="bottom"/>
            <w:tcBorders>
              <w:bottom w:val="single" w:sz="8" w:color="0000FF"/>
            </w:tcBorders>
            <w:gridSpan w:val="5"/>
          </w:tcPr>
          <w:p>
            <w:pPr>
              <w:spacing w:after="0"/>
              <w:rPr>
                <w:rFonts w:ascii="Arial" w:cs="Arial" w:eastAsia="Arial" w:hAnsi="Arial"/>
                <w:sz w:val="19"/>
                <w:szCs w:val="19"/>
                <w:color w:val="0000FF"/>
                <w:w w:val="99"/>
              </w:rPr>
            </w:pPr>
            <w:hyperlink w:anchor="page39">
              <w:r>
                <w:rPr>
                  <w:rFonts w:ascii="Arial" w:cs="Arial" w:eastAsia="Arial" w:hAnsi="Arial"/>
                  <w:sz w:val="19"/>
                  <w:szCs w:val="19"/>
                  <w:color w:val="0000FF"/>
                  <w:w w:val="99"/>
                </w:rPr>
                <w:t>SECTION 9.13.  USA PATRIOT Act</w:t>
              </w:r>
            </w:hyperlink>
          </w:p>
        </w:tc>
        <w:tc>
          <w:tcPr>
            <w:tcW w:w="7460" w:type="dxa"/>
            <w:vAlign w:val="bottom"/>
            <w:gridSpan w:val="7"/>
          </w:tcPr>
          <w:p>
            <w:pPr>
              <w:spacing w:after="0"/>
              <w:rPr>
                <w:sz w:val="19"/>
                <w:szCs w:val="19"/>
                <w:color w:val="auto"/>
              </w:rPr>
            </w:pPr>
          </w:p>
        </w:tc>
        <w:tc>
          <w:tcPr>
            <w:tcW w:w="280" w:type="dxa"/>
            <w:vAlign w:val="bottom"/>
            <w:tcBorders>
              <w:bottom w:val="single" w:sz="8" w:color="auto"/>
            </w:tcBorders>
          </w:tcPr>
          <w:p>
            <w:pPr>
              <w:jc w:val="right"/>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113</w:t>
              </w:r>
            </w:hyperlink>
          </w:p>
        </w:tc>
      </w:tr>
      <w:tr>
        <w:trPr>
          <w:trHeight w:val="219"/>
        </w:trPr>
        <w:tc>
          <w:tcPr>
            <w:tcW w:w="10480" w:type="dxa"/>
            <w:vAlign w:val="bottom"/>
            <w:gridSpan w:val="1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9.14.  Releases of Subsidiary Guarantors</w:t>
              </w:r>
            </w:hyperlink>
          </w:p>
        </w:tc>
        <w:tc>
          <w:tcPr>
            <w:tcW w:w="280" w:type="dxa"/>
            <w:vAlign w:val="bottom"/>
          </w:tcPr>
          <w:p>
            <w:pPr>
              <w:jc w:val="right"/>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113</w:t>
              </w:r>
            </w:hyperlink>
          </w:p>
        </w:tc>
      </w:tr>
      <w:tr>
        <w:trPr>
          <w:trHeight w:val="218"/>
        </w:trPr>
        <w:tc>
          <w:tcPr>
            <w:tcW w:w="3620" w:type="dxa"/>
            <w:vAlign w:val="bottom"/>
            <w:tcBorders>
              <w:top w:val="single" w:sz="8" w:color="0000FF"/>
              <w:bottom w:val="single" w:sz="8" w:color="0000FF"/>
            </w:tcBorders>
            <w:gridSpan w:val="8"/>
          </w:tcPr>
          <w:p>
            <w:pPr>
              <w:spacing w:after="0"/>
              <w:rPr>
                <w:rFonts w:ascii="Arial" w:cs="Arial" w:eastAsia="Arial" w:hAnsi="Arial"/>
                <w:sz w:val="19"/>
                <w:szCs w:val="19"/>
                <w:color w:val="0000FF"/>
                <w:w w:val="97"/>
              </w:rPr>
            </w:pPr>
            <w:hyperlink w:anchor="page39">
              <w:r>
                <w:rPr>
                  <w:rFonts w:ascii="Arial" w:cs="Arial" w:eastAsia="Arial" w:hAnsi="Arial"/>
                  <w:sz w:val="19"/>
                  <w:szCs w:val="19"/>
                  <w:color w:val="0000FF"/>
                  <w:w w:val="97"/>
                </w:rPr>
                <w:t>SECTION 9.15.  Appointment for Perfection</w:t>
              </w:r>
            </w:hyperlink>
          </w:p>
        </w:tc>
        <w:tc>
          <w:tcPr>
            <w:tcW w:w="520" w:type="dxa"/>
            <w:vAlign w:val="bottom"/>
            <w:tcBorders>
              <w:top w:val="single" w:sz="8" w:color="0000FF"/>
            </w:tcBorders>
          </w:tcPr>
          <w:p>
            <w:pPr>
              <w:spacing w:after="0"/>
              <w:rPr>
                <w:sz w:val="19"/>
                <w:szCs w:val="19"/>
                <w:color w:val="auto"/>
              </w:rPr>
            </w:pPr>
          </w:p>
        </w:tc>
        <w:tc>
          <w:tcPr>
            <w:tcW w:w="6340" w:type="dxa"/>
            <w:vAlign w:val="bottom"/>
            <w:gridSpan w:val="3"/>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114</w:t>
              </w:r>
            </w:hyperlink>
          </w:p>
        </w:tc>
      </w:tr>
      <w:tr>
        <w:trPr>
          <w:trHeight w:val="218"/>
        </w:trPr>
        <w:tc>
          <w:tcPr>
            <w:tcW w:w="3320" w:type="dxa"/>
            <w:vAlign w:val="bottom"/>
            <w:tcBorders>
              <w:bottom w:val="single" w:sz="8" w:color="0000FF"/>
            </w:tcBorders>
            <w:gridSpan w:val="7"/>
          </w:tcPr>
          <w:p>
            <w:pPr>
              <w:spacing w:after="0"/>
              <w:rPr>
                <w:rFonts w:ascii="Arial" w:cs="Arial" w:eastAsia="Arial" w:hAnsi="Arial"/>
                <w:sz w:val="19"/>
                <w:szCs w:val="19"/>
                <w:color w:val="0000FF"/>
                <w:w w:val="97"/>
              </w:rPr>
            </w:pPr>
            <w:hyperlink w:anchor="page39">
              <w:r>
                <w:rPr>
                  <w:rFonts w:ascii="Arial" w:cs="Arial" w:eastAsia="Arial" w:hAnsi="Arial"/>
                  <w:sz w:val="19"/>
                  <w:szCs w:val="19"/>
                  <w:color w:val="0000FF"/>
                  <w:w w:val="97"/>
                </w:rPr>
                <w:t>SECTION 9.16.  Interest Rate Limitation</w:t>
              </w:r>
            </w:hyperlink>
          </w:p>
        </w:tc>
        <w:tc>
          <w:tcPr>
            <w:tcW w:w="7160" w:type="dxa"/>
            <w:vAlign w:val="bottom"/>
            <w:gridSpan w:val="5"/>
          </w:tcPr>
          <w:p>
            <w:pPr>
              <w:spacing w:after="0"/>
              <w:rPr>
                <w:sz w:val="19"/>
                <w:szCs w:val="19"/>
                <w:color w:val="auto"/>
              </w:rPr>
            </w:pPr>
          </w:p>
        </w:tc>
        <w:tc>
          <w:tcPr>
            <w:tcW w:w="280" w:type="dxa"/>
            <w:vAlign w:val="bottom"/>
            <w:tcBorders>
              <w:bottom w:val="single" w:sz="8" w:color="auto"/>
            </w:tcBorders>
          </w:tcPr>
          <w:p>
            <w:pPr>
              <w:jc w:val="right"/>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114</w:t>
              </w:r>
            </w:hyperlink>
          </w:p>
        </w:tc>
      </w:tr>
      <w:tr>
        <w:trPr>
          <w:trHeight w:val="218"/>
        </w:trPr>
        <w:tc>
          <w:tcPr>
            <w:tcW w:w="10480" w:type="dxa"/>
            <w:vAlign w:val="bottom"/>
            <w:gridSpan w:val="1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9.17.  No Fiduciary Duty, etc</w:t>
              </w:r>
            </w:hyperlink>
          </w:p>
        </w:tc>
        <w:tc>
          <w:tcPr>
            <w:tcW w:w="280" w:type="dxa"/>
            <w:vAlign w:val="bottom"/>
          </w:tcPr>
          <w:p>
            <w:pPr>
              <w:jc w:val="right"/>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114</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219"/>
        </w:trPr>
        <w:tc>
          <w:tcPr>
            <w:tcW w:w="7380" w:type="dxa"/>
            <w:vAlign w:val="bottom"/>
            <w:tcBorders>
              <w:bottom w:val="single" w:sz="8" w:color="0000FF"/>
            </w:tcBorders>
            <w:gridSpan w:val="11"/>
          </w:tcPr>
          <w:p>
            <w:pPr>
              <w:spacing w:after="0"/>
              <w:rPr>
                <w:rFonts w:ascii="Arial" w:cs="Arial" w:eastAsia="Arial" w:hAnsi="Arial"/>
                <w:sz w:val="19"/>
                <w:szCs w:val="19"/>
                <w:color w:val="0000FF"/>
                <w:w w:val="96"/>
              </w:rPr>
            </w:pPr>
            <w:hyperlink w:anchor="page39">
              <w:r>
                <w:rPr>
                  <w:rFonts w:ascii="Arial" w:cs="Arial" w:eastAsia="Arial" w:hAnsi="Arial"/>
                  <w:sz w:val="19"/>
                  <w:szCs w:val="19"/>
                  <w:color w:val="0000FF"/>
                  <w:w w:val="96"/>
                </w:rPr>
                <w:t>SECTION 9.18.  Acknowledgement and Consent to Bail-In of Affected Financial Institutions</w:t>
              </w:r>
            </w:hyperlink>
          </w:p>
        </w:tc>
        <w:tc>
          <w:tcPr>
            <w:tcW w:w="310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115</w:t>
              </w:r>
            </w:hyperlink>
          </w:p>
        </w:tc>
      </w:tr>
      <w:tr>
        <w:trPr>
          <w:trHeight w:val="219"/>
        </w:trPr>
        <w:tc>
          <w:tcPr>
            <w:tcW w:w="10480" w:type="dxa"/>
            <w:vAlign w:val="bottom"/>
            <w:gridSpan w:val="1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9.19.  Acknowledgement Regarding Any Supported QFCs</w:t>
              </w:r>
            </w:hyperlink>
          </w:p>
        </w:tc>
        <w:tc>
          <w:tcPr>
            <w:tcW w:w="280" w:type="dxa"/>
            <w:vAlign w:val="bottom"/>
          </w:tcPr>
          <w:p>
            <w:pPr>
              <w:jc w:val="right"/>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115</w:t>
              </w:r>
            </w:hyperlink>
          </w:p>
        </w:tc>
      </w:tr>
      <w:tr>
        <w:trPr>
          <w:trHeight w:val="218"/>
        </w:trPr>
        <w:tc>
          <w:tcPr>
            <w:tcW w:w="1360" w:type="dxa"/>
            <w:vAlign w:val="bottom"/>
            <w:tcBorders>
              <w:top w:val="single" w:sz="8" w:color="0000FF"/>
              <w:bottom w:val="single" w:sz="8" w:color="0000FF"/>
            </w:tcBorders>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SECTION 9.20.</w:t>
              </w:r>
            </w:hyperlink>
          </w:p>
        </w:tc>
        <w:tc>
          <w:tcPr>
            <w:tcW w:w="1640" w:type="dxa"/>
            <w:vAlign w:val="bottom"/>
            <w:tcBorders>
              <w:top w:val="single" w:sz="8" w:color="0000FF"/>
              <w:bottom w:val="single" w:sz="8" w:color="0000FF"/>
            </w:tcBorders>
            <w:gridSpan w:val="3"/>
          </w:tcPr>
          <w:p>
            <w:pPr>
              <w:ind w:left="100"/>
              <w:spacing w:after="0"/>
              <w:rPr>
                <w:rFonts w:ascii="Arial" w:cs="Arial" w:eastAsia="Arial" w:hAnsi="Arial"/>
                <w:sz w:val="19"/>
                <w:szCs w:val="19"/>
                <w:color w:val="0000FF"/>
                <w:w w:val="91"/>
              </w:rPr>
            </w:pPr>
            <w:hyperlink w:anchor="page39">
              <w:r>
                <w:rPr>
                  <w:rFonts w:ascii="Arial" w:cs="Arial" w:eastAsia="Arial" w:hAnsi="Arial"/>
                  <w:sz w:val="19"/>
                  <w:szCs w:val="19"/>
                  <w:color w:val="0000FF"/>
                  <w:w w:val="91"/>
                </w:rPr>
                <w:t>Judgment Currency</w:t>
              </w:r>
            </w:hyperlink>
          </w:p>
        </w:tc>
        <w:tc>
          <w:tcPr>
            <w:tcW w:w="2520" w:type="dxa"/>
            <w:vAlign w:val="bottom"/>
            <w:tcBorders>
              <w:top w:val="single" w:sz="8" w:color="0000FF"/>
            </w:tcBorders>
            <w:gridSpan w:val="6"/>
          </w:tcPr>
          <w:p>
            <w:pPr>
              <w:spacing w:after="0"/>
              <w:rPr>
                <w:sz w:val="19"/>
                <w:szCs w:val="19"/>
                <w:color w:val="auto"/>
              </w:rPr>
            </w:pPr>
          </w:p>
        </w:tc>
        <w:tc>
          <w:tcPr>
            <w:tcW w:w="4960" w:type="dxa"/>
            <w:vAlign w:val="bottom"/>
            <w:gridSpan w:val="2"/>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116</w:t>
              </w:r>
            </w:hyperlink>
          </w:p>
        </w:tc>
      </w:tr>
      <w:tr>
        <w:trPr>
          <w:trHeight w:val="470"/>
        </w:trPr>
        <w:tc>
          <w:tcPr>
            <w:tcW w:w="10480" w:type="dxa"/>
            <w:vAlign w:val="bottom"/>
            <w:gridSpan w:val="12"/>
          </w:tcPr>
          <w:p>
            <w:pPr>
              <w:spacing w:after="0"/>
              <w:rPr>
                <w:rFonts w:ascii="Arial" w:cs="Arial" w:eastAsia="Arial" w:hAnsi="Arial"/>
                <w:sz w:val="19"/>
                <w:szCs w:val="19"/>
                <w:color w:val="0000FF"/>
              </w:rPr>
            </w:pPr>
            <w:hyperlink w:anchor="page39">
              <w:r>
                <w:rPr>
                  <w:rFonts w:ascii="Arial" w:cs="Arial" w:eastAsia="Arial" w:hAnsi="Arial"/>
                  <w:sz w:val="19"/>
                  <w:szCs w:val="19"/>
                  <w:color w:val="0000FF"/>
                </w:rPr>
                <w:t>ARTICLE X Borrower Guarantee</w:t>
              </w:r>
            </w:hyperlink>
          </w:p>
        </w:tc>
        <w:tc>
          <w:tcPr>
            <w:tcW w:w="280" w:type="dxa"/>
            <w:vAlign w:val="bottom"/>
          </w:tcPr>
          <w:p>
            <w:pPr>
              <w:jc w:val="right"/>
              <w:spacing w:after="0"/>
              <w:rPr>
                <w:rFonts w:ascii="Arial" w:cs="Arial" w:eastAsia="Arial" w:hAnsi="Arial"/>
                <w:sz w:val="19"/>
                <w:szCs w:val="19"/>
                <w:color w:val="auto"/>
                <w:w w:val="81"/>
              </w:rPr>
            </w:pPr>
            <w:hyperlink w:anchor="page39">
              <w:r>
                <w:rPr>
                  <w:rFonts w:ascii="Arial" w:cs="Arial" w:eastAsia="Arial" w:hAnsi="Arial"/>
                  <w:sz w:val="19"/>
                  <w:szCs w:val="19"/>
                  <w:color w:val="auto"/>
                  <w:w w:val="81"/>
                </w:rPr>
                <w:t>116</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Arial" w:cs="Arial" w:eastAsia="Arial" w:hAnsi="Arial"/>
          <w:sz w:val="19"/>
          <w:szCs w:val="19"/>
          <w:u w:val="single" w:color="auto"/>
          <w:color w:val="auto"/>
        </w:rPr>
        <w:t>SCHEDULES</w:t>
      </w:r>
      <w:r>
        <w:rPr>
          <w:rFonts w:ascii="Arial" w:cs="Arial" w:eastAsia="Arial" w:hAnsi="Arial"/>
          <w:sz w:val="19"/>
          <w:szCs w:val="19"/>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Schedule 2.01 – Commitments</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Schedule 3.01 –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Schedule 6.01 – Existing Indebtedness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Schedule 6.02 – Existing Liens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Schedule 6.05 – Existing Investments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Schedule 6.07 – Transaction with Affiliates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Schedule 6.09 – Restrictive Agreements</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9"/>
          <w:szCs w:val="19"/>
          <w:u w:val="single" w:color="auto"/>
          <w:color w:val="auto"/>
        </w:rPr>
        <w:t>EXHIBITS</w:t>
      </w:r>
      <w:r>
        <w:rPr>
          <w:rFonts w:ascii="Arial" w:cs="Arial" w:eastAsia="Arial" w:hAnsi="Arial"/>
          <w:sz w:val="19"/>
          <w:szCs w:val="19"/>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Exhibit A – Form of Assignment and Assumption</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Exhibit B – [Reserved]</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Exhibit C – Form of Increasing Lender Supplement</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Exhibit D – Form of Augmenting Lender Supplement</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Exhibit E – List of Closing Documents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Exhibit F-1 – Form of U.S. Tax Certificate (Foreign Lenders That Are Not Partnerships)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Exhibit F-2 – Form of U.S. Tax Certificate (Foreign Participants That Are Not Partnerships)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Exhibit F-3 – Form of U.S. Tax Certificate (Foreign Participants That Are Partnerships)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Exhibit F-4 – Form of U.S. Tax Certificate (Foreign Lenders That Are Partnerships)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Exhibit G-1 – Form of Borrowing Request</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Exhibit G-2 – Form of Interest Election Request</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Exhibit H – Form of Note</w:t>
      </w:r>
    </w:p>
    <w:p>
      <w:pPr>
        <w:sectPr>
          <w:pgSz w:w="11900" w:h="16838" w:orient="portrait"/>
          <w:cols w:equalWidth="0" w:num="1">
            <w:col w:w="11220"/>
          </w:cols>
          <w:pgMar w:left="340" w:top="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iv</w:t>
      </w:r>
    </w:p>
    <w:p>
      <w:pPr>
        <w:sectPr>
          <w:pgSz w:w="11900" w:h="16838" w:orient="portrait"/>
          <w:cols w:equalWidth="0" w:num="1">
            <w:col w:w="11220"/>
          </w:cols>
          <w:pgMar w:left="340" w:top="93" w:right="339" w:bottom="1440" w:gutter="0" w:footer="0" w:header="0"/>
          <w:type w:val="continuous"/>
        </w:sectPr>
      </w:pPr>
    </w:p>
    <w:bookmarkStart w:id="39" w:name="page40"/>
    <w:bookmarkEnd w:id="39"/>
    <w:p>
      <w:pPr>
        <w:jc w:val="both"/>
        <w:ind w:firstLine="1272"/>
        <w:spacing w:after="0" w:line="237" w:lineRule="auto"/>
        <w:rPr>
          <w:sz w:val="20"/>
          <w:szCs w:val="20"/>
          <w:color w:val="auto"/>
        </w:rPr>
      </w:pPr>
      <w:r>
        <w:rPr>
          <w:rFonts w:ascii="Arial" w:cs="Arial" w:eastAsia="Arial" w:hAnsi="Arial"/>
          <w:sz w:val="19"/>
          <w:szCs w:val="19"/>
          <w:color w:val="auto"/>
        </w:rPr>
        <w:t>CREDIT AGREEMENT dated as of December 13, 2021 (this “</w:t>
      </w:r>
      <w:r>
        <w:rPr>
          <w:rFonts w:ascii="Arial" w:cs="Arial" w:eastAsia="Arial" w:hAnsi="Arial"/>
          <w:sz w:val="19"/>
          <w:szCs w:val="19"/>
          <w:u w:val="single" w:color="auto"/>
          <w:color w:val="auto"/>
        </w:rPr>
        <w:t>Agreement</w:t>
      </w:r>
      <w:r>
        <w:rPr>
          <w:rFonts w:ascii="Arial" w:cs="Arial" w:eastAsia="Arial" w:hAnsi="Arial"/>
          <w:sz w:val="19"/>
          <w:szCs w:val="19"/>
          <w:color w:val="auto"/>
        </w:rPr>
        <w:t>”) among COMMVAULT SYSTEMS, INC., the LENDERS from time to time party hereto and JPMORGAN CHASE BANK, N.A., as Administrative Agent.</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The parties hereto agree as follows:</w:t>
      </w:r>
    </w:p>
    <w:p>
      <w:pPr>
        <w:spacing w:after="0" w:line="312" w:lineRule="exact"/>
        <w:rPr>
          <w:sz w:val="20"/>
          <w:szCs w:val="20"/>
          <w:color w:val="auto"/>
        </w:rPr>
      </w:pPr>
    </w:p>
    <w:p>
      <w:pPr>
        <w:ind w:left="5000"/>
        <w:spacing w:after="0"/>
        <w:rPr>
          <w:sz w:val="20"/>
          <w:szCs w:val="20"/>
          <w:color w:val="auto"/>
        </w:rPr>
      </w:pPr>
      <w:r>
        <w:rPr>
          <w:rFonts w:ascii="Arial" w:cs="Arial" w:eastAsia="Arial" w:hAnsi="Arial"/>
          <w:sz w:val="19"/>
          <w:szCs w:val="19"/>
          <w:color w:val="010000"/>
        </w:rPr>
        <w:t>Article 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Definitions</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1.01.</w:t>
      </w:r>
      <w:r>
        <w:rPr>
          <w:rFonts w:ascii="Arial" w:cs="Arial" w:eastAsia="Arial" w:hAnsi="Arial"/>
          <w:sz w:val="19"/>
          <w:szCs w:val="19"/>
          <w:u w:val="single" w:color="auto"/>
          <w:color w:val="000000"/>
        </w:rPr>
        <w:t>Defined Terms</w:t>
      </w:r>
      <w:r>
        <w:rPr>
          <w:rFonts w:ascii="Arial" w:cs="Arial" w:eastAsia="Arial" w:hAnsi="Arial"/>
          <w:sz w:val="19"/>
          <w:szCs w:val="19"/>
          <w:color w:val="000000"/>
        </w:rPr>
        <w:t>. As used in this Agreement, the following terms have the meanings specified below:</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ABR</w:t>
      </w:r>
      <w:r>
        <w:rPr>
          <w:rFonts w:ascii="Arial" w:cs="Arial" w:eastAsia="Arial" w:hAnsi="Arial"/>
          <w:sz w:val="19"/>
          <w:szCs w:val="19"/>
          <w:color w:val="auto"/>
        </w:rPr>
        <w:t>”, when used in reference to any Loan or Borrowing, refers to such Loan, or the Loans comprising such Borrowing, bearing interest at a rate determined by reference to the Alternate Base Rate.</w:t>
      </w:r>
    </w:p>
    <w:p>
      <w:pPr>
        <w:spacing w:after="0" w:line="151"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Daily Simple SOFR</w:t>
      </w:r>
      <w:r>
        <w:rPr>
          <w:rFonts w:ascii="Arial" w:cs="Arial" w:eastAsia="Arial" w:hAnsi="Arial"/>
          <w:sz w:val="19"/>
          <w:szCs w:val="19"/>
          <w:color w:val="auto"/>
        </w:rPr>
        <w:t xml:space="preserve">” means an interest rate per annum equal to (a) the Daily Simple SOFR, plus (b) 0.10%;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Adjusted Daily Simple SOFR as so determined would be less than the Floor, such rate shall be deemed to be equal to the Floor for the purposes of this Agreement.</w:t>
      </w:r>
    </w:p>
    <w:p>
      <w:pPr>
        <w:spacing w:after="0" w:line="151"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Term SOFR Rate</w:t>
      </w:r>
      <w:r>
        <w:rPr>
          <w:rFonts w:ascii="Arial" w:cs="Arial" w:eastAsia="Arial" w:hAnsi="Arial"/>
          <w:sz w:val="19"/>
          <w:szCs w:val="19"/>
          <w:color w:val="auto"/>
        </w:rPr>
        <w:t xml:space="preserve">” means, for any Interest Period, an interest rate per annum equal to (a) the Term SOFR Rate for such Interest Period, plus (b) 0.10%;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Adjusted Term SOFR Rate as so determined would be less than the Floor, such rate shall be deemed to be equal to the Floor for the purposes of this Agreement.</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means JPMorgan Chase Bank, N.A. (or any of its designated branch offices or affiliates), in its capacity as administrative agent for the Lenders hereunder.</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Financial Institution</w:t>
      </w:r>
      <w:r>
        <w:rPr>
          <w:rFonts w:ascii="Arial" w:cs="Arial" w:eastAsia="Arial" w:hAnsi="Arial"/>
          <w:sz w:val="19"/>
          <w:szCs w:val="19"/>
          <w:color w:val="auto"/>
        </w:rPr>
        <w:t>” means (a) any EEA Financial Institution or (b) any UK Financial Institution.</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specified Person, another Person that directly, or indirectly through one or more intermediaries, Controls or is Controlled by or is under common Control with the Person specified.</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Agent-Related Person</w:t>
      </w:r>
      <w:r>
        <w:rPr>
          <w:rFonts w:ascii="Arial" w:cs="Arial" w:eastAsia="Arial" w:hAnsi="Arial"/>
          <w:sz w:val="19"/>
          <w:szCs w:val="19"/>
          <w:color w:val="auto"/>
        </w:rPr>
        <w:t>” has the meaning assigned to such term in Section 9.03(d).</w:t>
      </w:r>
    </w:p>
    <w:p>
      <w:pPr>
        <w:spacing w:after="0" w:line="179" w:lineRule="exact"/>
        <w:rPr>
          <w:sz w:val="20"/>
          <w:szCs w:val="20"/>
          <w:color w:val="auto"/>
        </w:rPr>
      </w:pPr>
    </w:p>
    <w:p>
      <w:pPr>
        <w:jc w:val="both"/>
        <w:ind w:firstLine="1272"/>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w:t>
      </w:r>
      <w:r>
        <w:rPr>
          <w:rFonts w:ascii="Arial" w:cs="Arial" w:eastAsia="Arial" w:hAnsi="Arial"/>
          <w:sz w:val="18"/>
          <w:szCs w:val="18"/>
          <w:color w:val="auto"/>
        </w:rPr>
        <w:t>” means the aggregate of the Commitments of all of the Lenders, as reduced or increased from time to time pursuant to the terms and conditions hereof. The initial Aggregate Commitment as of the Effective Date is $100,000,000.</w:t>
      </w:r>
    </w:p>
    <w:p>
      <w:pPr>
        <w:spacing w:after="0" w:line="13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has the meaning assigned to such term in the introductory paragraph.</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 Currency</w:t>
      </w:r>
      <w:r>
        <w:rPr>
          <w:rFonts w:ascii="Arial" w:cs="Arial" w:eastAsia="Arial" w:hAnsi="Arial"/>
          <w:sz w:val="19"/>
          <w:szCs w:val="19"/>
          <w:color w:val="auto"/>
        </w:rPr>
        <w:t>” has the meaning assigned to such term in Section 9.20.</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means, for any day, a rate per annum equal to the greatest of (a) the Prime Rate in effect on such day,</w:t>
      </w:r>
    </w:p>
    <w:p>
      <w:pPr>
        <w:jc w:val="both"/>
        <w:ind w:firstLine="6"/>
        <w:spacing w:after="0" w:line="225" w:lineRule="auto"/>
        <w:tabs>
          <w:tab w:leader="none" w:pos="2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NYFRB Rate in effect on such day plus ½ of 1% and (c) the Adjusted Term SOFR Rate for a one month Interest Period in Dollars as published two U.S. Government Securities Business Days prior to such day (or if such day is not a Business Day, the immediately preceding Business Day) plus 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purposes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w:t>
      </w:r>
    </w:p>
    <w:p>
      <w:pPr>
        <w:sectPr>
          <w:pgSz w:w="11900" w:h="16838" w:orient="portrait"/>
          <w:cols w:equalWidth="0" w:num="1">
            <w:col w:w="11240"/>
          </w:cols>
          <w:pgMar w:left="320" w:top="1381" w:right="339" w:bottom="1440" w:gutter="0" w:footer="0" w:header="0"/>
        </w:sectPr>
      </w:pPr>
    </w:p>
    <w:bookmarkStart w:id="40" w:name="page41"/>
    <w:bookmarkEnd w:id="40"/>
    <w:p>
      <w:pPr>
        <w:jc w:val="both"/>
        <w:ind w:right="20"/>
        <w:spacing w:after="0" w:line="232" w:lineRule="auto"/>
        <w:rPr>
          <w:sz w:val="20"/>
          <w:szCs w:val="20"/>
          <w:color w:val="auto"/>
        </w:rPr>
      </w:pPr>
      <w:r>
        <w:rPr>
          <w:rFonts w:ascii="Arial" w:cs="Arial" w:eastAsia="Arial" w:hAnsi="Arial"/>
          <w:sz w:val="17"/>
          <w:szCs w:val="17"/>
          <w:color w:val="auto"/>
        </w:rPr>
        <w:t>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w:t>
      </w:r>
    </w:p>
    <w:p>
      <w:pPr>
        <w:spacing w:after="0" w:line="2" w:lineRule="exact"/>
        <w:rPr>
          <w:sz w:val="20"/>
          <w:szCs w:val="20"/>
          <w:color w:val="auto"/>
        </w:rPr>
      </w:pPr>
    </w:p>
    <w:p>
      <w:pPr>
        <w:ind w:right="20" w:firstLine="6"/>
        <w:spacing w:after="0" w:line="243" w:lineRule="auto"/>
        <w:tabs>
          <w:tab w:leader="none" w:pos="2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48"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Ancillary Document</w:t>
      </w:r>
      <w:r>
        <w:rPr>
          <w:rFonts w:ascii="Arial" w:cs="Arial" w:eastAsia="Arial" w:hAnsi="Arial"/>
          <w:sz w:val="19"/>
          <w:szCs w:val="19"/>
          <w:color w:val="auto"/>
        </w:rPr>
        <w:t>” has the meaning assigned to such term in Section 9.06.</w:t>
      </w:r>
    </w:p>
    <w:p>
      <w:pPr>
        <w:spacing w:after="0" w:line="179" w:lineRule="exact"/>
        <w:rPr>
          <w:sz w:val="20"/>
          <w:szCs w:val="20"/>
          <w:color w:val="auto"/>
        </w:rPr>
      </w:pPr>
    </w:p>
    <w:p>
      <w:pPr>
        <w:jc w:val="both"/>
        <w:ind w:right="20"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means all laws, rules, and regulations of any jurisdiction applicable to the Borrower or any of its Subsidiaries from time to time concerning or relating to bribery or corruption.</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Parties</w:t>
      </w:r>
      <w:r>
        <w:rPr>
          <w:rFonts w:ascii="Arial" w:cs="Arial" w:eastAsia="Arial" w:hAnsi="Arial"/>
          <w:sz w:val="19"/>
          <w:szCs w:val="19"/>
          <w:color w:val="auto"/>
        </w:rPr>
        <w:t>” has the meaning assigned to such term in Section 8.03(c).</w:t>
      </w:r>
    </w:p>
    <w:p>
      <w:pPr>
        <w:spacing w:after="0" w:line="179" w:lineRule="exact"/>
        <w:rPr>
          <w:sz w:val="20"/>
          <w:szCs w:val="20"/>
          <w:color w:val="auto"/>
        </w:rPr>
      </w:pPr>
    </w:p>
    <w:p>
      <w:pPr>
        <w:jc w:val="both"/>
        <w:ind w:right="20" w:firstLine="1272"/>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the percentage of the Aggregate Commitment represented by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Section 2.21 when a Defaulting Lender shall exist, “Applicable Percentage”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52" w:lineRule="exact"/>
        <w:rPr>
          <w:sz w:val="20"/>
          <w:szCs w:val="20"/>
          <w:color w:val="auto"/>
        </w:rPr>
      </w:pPr>
    </w:p>
    <w:p>
      <w:pPr>
        <w:jc w:val="both"/>
        <w:ind w:right="20"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means, for any day, with respect to any Term Benchmark Loan, any RFR Revolving Loan or any ABR Loan or with respect to the commitment fees payable hereunder, as the case may be, the applicable rate per annum set forth below under the caption “Term Benchmark Spread”, “RFR Spread”, “ABR Spread” or “Commitment Fee Rate”, as the case may be, based upon the Leverage Ratio applicable on such date:</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80" w:type="dxa"/>
            <w:vAlign w:val="bottom"/>
            <w:tcBorders>
              <w:top w:val="single" w:sz="8" w:color="auto"/>
              <w:left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80" w:type="dxa"/>
            <w:vAlign w:val="bottom"/>
            <w:tcBorders>
              <w:top w:val="single" w:sz="8" w:color="auto"/>
              <w:right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20" w:type="dxa"/>
            <w:vAlign w:val="bottom"/>
            <w:tcBorders>
              <w:top w:val="single" w:sz="8" w:color="auto"/>
              <w:right w:val="single" w:sz="8" w:color="auto"/>
            </w:tcBorders>
            <w:gridSpan w:val="2"/>
          </w:tcPr>
          <w:p>
            <w:pPr>
              <w:jc w:val="center"/>
              <w:ind w:right="560"/>
              <w:spacing w:after="0"/>
              <w:rPr>
                <w:sz w:val="20"/>
                <w:szCs w:val="20"/>
                <w:color w:val="auto"/>
              </w:rPr>
            </w:pPr>
            <w:r>
              <w:rPr>
                <w:rFonts w:ascii="Arial" w:cs="Arial" w:eastAsia="Arial" w:hAnsi="Arial"/>
                <w:sz w:val="19"/>
                <w:szCs w:val="19"/>
                <w:color w:val="auto"/>
                <w:w w:val="93"/>
              </w:rPr>
              <w:t>Leverage Ratio:</w:t>
            </w:r>
          </w:p>
        </w:tc>
        <w:tc>
          <w:tcPr>
            <w:tcW w:w="1800" w:type="dxa"/>
            <w:vAlign w:val="bottom"/>
            <w:tcBorders>
              <w:top w:val="single" w:sz="8" w:color="auto"/>
              <w:right w:val="single" w:sz="8" w:color="auto"/>
            </w:tcBorders>
            <w:gridSpan w:val="5"/>
          </w:tcPr>
          <w:p>
            <w:pPr>
              <w:jc w:val="center"/>
              <w:ind w:right="60"/>
              <w:spacing w:after="0"/>
              <w:rPr>
                <w:sz w:val="20"/>
                <w:szCs w:val="20"/>
                <w:color w:val="auto"/>
              </w:rPr>
            </w:pPr>
            <w:r>
              <w:rPr>
                <w:rFonts w:ascii="Arial" w:cs="Arial" w:eastAsia="Arial" w:hAnsi="Arial"/>
                <w:sz w:val="19"/>
                <w:szCs w:val="19"/>
                <w:color w:val="auto"/>
                <w:w w:val="91"/>
              </w:rPr>
              <w:t>Term Benchmark</w:t>
            </w:r>
          </w:p>
        </w:tc>
        <w:tc>
          <w:tcPr>
            <w:tcW w:w="17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9"/>
                <w:szCs w:val="19"/>
                <w:color w:val="auto"/>
                <w:w w:val="88"/>
              </w:rPr>
              <w:t>RFR Spread</w:t>
            </w:r>
          </w:p>
        </w:tc>
        <w:tc>
          <w:tcPr>
            <w:tcW w:w="600" w:type="dxa"/>
            <w:vAlign w:val="bottom"/>
            <w:tcBorders>
              <w:top w:val="single" w:sz="8" w:color="auto"/>
            </w:tcBorders>
          </w:tcPr>
          <w:p>
            <w:pPr>
              <w:spacing w:after="0"/>
              <w:rPr>
                <w:sz w:val="19"/>
                <w:szCs w:val="19"/>
                <w:color w:val="auto"/>
              </w:rPr>
            </w:pPr>
          </w:p>
        </w:tc>
        <w:tc>
          <w:tcPr>
            <w:tcW w:w="116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9"/>
                <w:szCs w:val="19"/>
                <w:color w:val="auto"/>
              </w:rPr>
              <w:t>ABR</w:t>
            </w:r>
          </w:p>
        </w:tc>
        <w:tc>
          <w:tcPr>
            <w:tcW w:w="19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9"/>
                <w:szCs w:val="19"/>
                <w:color w:val="auto"/>
                <w:w w:val="92"/>
              </w:rPr>
              <w:t>Commitment Fee Rate</w:t>
            </w:r>
          </w:p>
        </w:tc>
      </w:tr>
      <w:tr>
        <w:trPr>
          <w:trHeight w:val="166"/>
        </w:trPr>
        <w:tc>
          <w:tcPr>
            <w:tcW w:w="80" w:type="dxa"/>
            <w:vAlign w:val="bottom"/>
            <w:tcBorders>
              <w:lef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top w:val="single" w:sz="8" w:color="auto"/>
            </w:tcBorders>
            <w:gridSpan w:val="3"/>
          </w:tcPr>
          <w:p>
            <w:pPr>
              <w:jc w:val="center"/>
              <w:ind w:right="20"/>
              <w:spacing w:after="0" w:line="165" w:lineRule="exact"/>
              <w:rPr>
                <w:sz w:val="20"/>
                <w:szCs w:val="20"/>
                <w:color w:val="auto"/>
              </w:rPr>
            </w:pPr>
            <w:r>
              <w:rPr>
                <w:rFonts w:ascii="Arial" w:cs="Arial" w:eastAsia="Arial" w:hAnsi="Arial"/>
                <w:sz w:val="19"/>
                <w:szCs w:val="19"/>
                <w:color w:val="auto"/>
                <w:w w:val="88"/>
              </w:rPr>
              <w:t>Spread</w:t>
            </w:r>
          </w:p>
        </w:tc>
        <w:tc>
          <w:tcPr>
            <w:tcW w:w="20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top w:val="single" w:sz="8" w:color="auto"/>
            </w:tcBorders>
          </w:tcPr>
          <w:p>
            <w:pPr>
              <w:spacing w:after="0" w:line="165" w:lineRule="exact"/>
              <w:rPr>
                <w:sz w:val="20"/>
                <w:szCs w:val="20"/>
                <w:color w:val="auto"/>
              </w:rPr>
            </w:pPr>
            <w:r>
              <w:rPr>
                <w:rFonts w:ascii="Arial" w:cs="Arial" w:eastAsia="Arial" w:hAnsi="Arial"/>
                <w:sz w:val="19"/>
                <w:szCs w:val="19"/>
                <w:color w:val="auto"/>
                <w:w w:val="71"/>
              </w:rPr>
              <w:t>Spread</w:t>
            </w:r>
          </w:p>
        </w:tc>
        <w:tc>
          <w:tcPr>
            <w:tcW w:w="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r>
      <w:tr>
        <w:trPr>
          <w:trHeight w:val="46"/>
        </w:trPr>
        <w:tc>
          <w:tcPr>
            <w:tcW w:w="8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r>
      <w:tr>
        <w:trPr>
          <w:trHeight w:val="192"/>
        </w:trPr>
        <w:tc>
          <w:tcPr>
            <w:tcW w:w="1620" w:type="dxa"/>
            <w:vAlign w:val="bottom"/>
            <w:tcBorders>
              <w:left w:val="single" w:sz="8" w:color="auto"/>
              <w:right w:val="single" w:sz="8" w:color="auto"/>
            </w:tcBorders>
            <w:gridSpan w:val="3"/>
          </w:tcPr>
          <w:p>
            <w:pPr>
              <w:ind w:left="80"/>
              <w:spacing w:after="0" w:line="192" w:lineRule="exact"/>
              <w:rPr>
                <w:sz w:val="20"/>
                <w:szCs w:val="20"/>
                <w:color w:val="auto"/>
              </w:rPr>
            </w:pPr>
            <w:r>
              <w:rPr>
                <w:rFonts w:ascii="Arial" w:cs="Arial" w:eastAsia="Arial" w:hAnsi="Arial"/>
                <w:sz w:val="19"/>
                <w:szCs w:val="19"/>
                <w:color w:val="auto"/>
              </w:rPr>
              <w:t>Category 1:</w:t>
            </w:r>
          </w:p>
        </w:tc>
        <w:tc>
          <w:tcPr>
            <w:tcW w:w="540" w:type="dxa"/>
            <w:vAlign w:val="bottom"/>
          </w:tcPr>
          <w:p>
            <w:pPr>
              <w:spacing w:after="0"/>
              <w:rPr>
                <w:sz w:val="16"/>
                <w:szCs w:val="16"/>
                <w:color w:val="auto"/>
              </w:rPr>
            </w:pPr>
          </w:p>
        </w:tc>
        <w:tc>
          <w:tcPr>
            <w:tcW w:w="1820" w:type="dxa"/>
            <w:vAlign w:val="bottom"/>
            <w:tcBorders>
              <w:right w:val="single" w:sz="8" w:color="auto"/>
            </w:tcBorders>
            <w:gridSpan w:val="2"/>
          </w:tcPr>
          <w:p>
            <w:pPr>
              <w:jc w:val="center"/>
              <w:ind w:right="560"/>
              <w:spacing w:after="0" w:line="192" w:lineRule="exact"/>
              <w:rPr>
                <w:sz w:val="20"/>
                <w:szCs w:val="20"/>
                <w:color w:val="auto"/>
              </w:rPr>
            </w:pPr>
            <w:r>
              <w:rPr>
                <w:rFonts w:ascii="Arial" w:cs="Arial" w:eastAsia="Arial" w:hAnsi="Arial"/>
                <w:sz w:val="19"/>
                <w:szCs w:val="19"/>
                <w:color w:val="auto"/>
                <w:w w:val="94"/>
              </w:rPr>
              <w:t>&lt; 1.00 to 1.00</w:t>
            </w:r>
          </w:p>
        </w:tc>
        <w:tc>
          <w:tcPr>
            <w:tcW w:w="1160" w:type="dxa"/>
            <w:vAlign w:val="bottom"/>
            <w:gridSpan w:val="3"/>
          </w:tcPr>
          <w:p>
            <w:pPr>
              <w:jc w:val="center"/>
              <w:ind w:left="523"/>
              <w:spacing w:after="0" w:line="192" w:lineRule="exact"/>
              <w:rPr>
                <w:sz w:val="20"/>
                <w:szCs w:val="20"/>
                <w:color w:val="auto"/>
              </w:rPr>
            </w:pPr>
            <w:r>
              <w:rPr>
                <w:rFonts w:ascii="Arial" w:cs="Arial" w:eastAsia="Arial" w:hAnsi="Arial"/>
                <w:sz w:val="19"/>
                <w:szCs w:val="19"/>
                <w:color w:val="auto"/>
                <w:w w:val="92"/>
              </w:rPr>
              <w:t>1.25%</w:t>
            </w:r>
          </w:p>
        </w:tc>
        <w:tc>
          <w:tcPr>
            <w:tcW w:w="4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340" w:type="dxa"/>
            <w:vAlign w:val="bottom"/>
            <w:gridSpan w:val="2"/>
          </w:tcPr>
          <w:p>
            <w:pPr>
              <w:jc w:val="center"/>
              <w:ind w:left="303"/>
              <w:spacing w:after="0" w:line="192" w:lineRule="exact"/>
              <w:rPr>
                <w:sz w:val="20"/>
                <w:szCs w:val="20"/>
                <w:color w:val="auto"/>
              </w:rPr>
            </w:pPr>
            <w:r>
              <w:rPr>
                <w:rFonts w:ascii="Arial" w:cs="Arial" w:eastAsia="Arial" w:hAnsi="Arial"/>
                <w:sz w:val="19"/>
                <w:szCs w:val="19"/>
                <w:color w:val="auto"/>
                <w:w w:val="92"/>
              </w:rPr>
              <w:t>1.25%</w:t>
            </w:r>
          </w:p>
        </w:tc>
        <w:tc>
          <w:tcPr>
            <w:tcW w:w="420" w:type="dxa"/>
            <w:vAlign w:val="bottom"/>
            <w:tcBorders>
              <w:right w:val="single" w:sz="8" w:color="auto"/>
            </w:tcBorders>
          </w:tcPr>
          <w:p>
            <w:pPr>
              <w:spacing w:after="0"/>
              <w:rPr>
                <w:sz w:val="16"/>
                <w:szCs w:val="16"/>
                <w:color w:val="auto"/>
              </w:rPr>
            </w:pPr>
          </w:p>
        </w:tc>
        <w:tc>
          <w:tcPr>
            <w:tcW w:w="1140" w:type="dxa"/>
            <w:vAlign w:val="bottom"/>
            <w:gridSpan w:val="4"/>
          </w:tcPr>
          <w:p>
            <w:pPr>
              <w:ind w:left="620"/>
              <w:spacing w:after="0" w:line="192" w:lineRule="exact"/>
              <w:rPr>
                <w:sz w:val="20"/>
                <w:szCs w:val="20"/>
                <w:color w:val="auto"/>
              </w:rPr>
            </w:pPr>
            <w:r>
              <w:rPr>
                <w:rFonts w:ascii="Arial" w:cs="Arial" w:eastAsia="Arial" w:hAnsi="Arial"/>
                <w:sz w:val="19"/>
                <w:szCs w:val="19"/>
                <w:color w:val="auto"/>
                <w:w w:val="92"/>
              </w:rPr>
              <w:t>0.25%</w:t>
            </w:r>
          </w:p>
        </w:tc>
        <w:tc>
          <w:tcPr>
            <w:tcW w:w="620" w:type="dxa"/>
            <w:vAlign w:val="bottom"/>
            <w:tcBorders>
              <w:right w:val="single" w:sz="8" w:color="auto"/>
            </w:tcBorders>
          </w:tcPr>
          <w:p>
            <w:pPr>
              <w:spacing w:after="0"/>
              <w:rPr>
                <w:sz w:val="16"/>
                <w:szCs w:val="16"/>
                <w:color w:val="auto"/>
              </w:rPr>
            </w:pPr>
          </w:p>
        </w:tc>
        <w:tc>
          <w:tcPr>
            <w:tcW w:w="1840" w:type="dxa"/>
            <w:vAlign w:val="bottom"/>
            <w:gridSpan w:val="2"/>
          </w:tcPr>
          <w:p>
            <w:pPr>
              <w:jc w:val="center"/>
              <w:ind w:left="3"/>
              <w:spacing w:after="0" w:line="192" w:lineRule="exact"/>
              <w:rPr>
                <w:sz w:val="20"/>
                <w:szCs w:val="20"/>
                <w:color w:val="auto"/>
              </w:rPr>
            </w:pPr>
            <w:r>
              <w:rPr>
                <w:rFonts w:ascii="Arial" w:cs="Arial" w:eastAsia="Arial" w:hAnsi="Arial"/>
                <w:sz w:val="19"/>
                <w:szCs w:val="19"/>
                <w:color w:val="auto"/>
                <w:w w:val="92"/>
              </w:rPr>
              <w:t>0.25%</w:t>
            </w:r>
          </w:p>
        </w:tc>
        <w:tc>
          <w:tcPr>
            <w:tcW w:w="120" w:type="dxa"/>
            <w:vAlign w:val="bottom"/>
            <w:tcBorders>
              <w:right w:val="single" w:sz="8" w:color="auto"/>
            </w:tcBorders>
          </w:tcPr>
          <w:p>
            <w:pPr>
              <w:spacing w:after="0"/>
              <w:rPr>
                <w:sz w:val="16"/>
                <w:szCs w:val="16"/>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85"/>
        </w:trPr>
        <w:tc>
          <w:tcPr>
            <w:tcW w:w="1620" w:type="dxa"/>
            <w:vAlign w:val="bottom"/>
            <w:tcBorders>
              <w:left w:val="single" w:sz="8" w:color="auto"/>
              <w:right w:val="single" w:sz="8" w:color="auto"/>
            </w:tcBorders>
            <w:gridSpan w:val="3"/>
          </w:tcPr>
          <w:p>
            <w:pPr>
              <w:ind w:left="80"/>
              <w:spacing w:after="0" w:line="179" w:lineRule="exact"/>
              <w:rPr>
                <w:sz w:val="20"/>
                <w:szCs w:val="20"/>
                <w:color w:val="auto"/>
              </w:rPr>
            </w:pPr>
            <w:r>
              <w:rPr>
                <w:rFonts w:ascii="Arial" w:cs="Arial" w:eastAsia="Arial" w:hAnsi="Arial"/>
                <w:sz w:val="19"/>
                <w:szCs w:val="19"/>
                <w:color w:val="auto"/>
              </w:rPr>
              <w:t>Category 2:</w:t>
            </w:r>
          </w:p>
        </w:tc>
        <w:tc>
          <w:tcPr>
            <w:tcW w:w="2360" w:type="dxa"/>
            <w:vAlign w:val="bottom"/>
            <w:tcBorders>
              <w:right w:val="single" w:sz="8" w:color="auto"/>
            </w:tcBorders>
            <w:gridSpan w:val="3"/>
          </w:tcPr>
          <w:p>
            <w:pPr>
              <w:jc w:val="center"/>
              <w:ind w:right="60"/>
              <w:spacing w:after="0" w:line="179" w:lineRule="exact"/>
              <w:rPr>
                <w:sz w:val="20"/>
                <w:szCs w:val="20"/>
                <w:color w:val="auto"/>
              </w:rPr>
            </w:pPr>
            <w:r>
              <w:rPr>
                <w:rFonts w:ascii="Arial" w:cs="Arial" w:eastAsia="Arial" w:hAnsi="Arial"/>
                <w:sz w:val="19"/>
                <w:szCs w:val="19"/>
                <w:color w:val="auto"/>
                <w:w w:val="93"/>
              </w:rPr>
              <w:t>≥ 1.00 to 1.00 but</w:t>
            </w:r>
          </w:p>
        </w:tc>
        <w:tc>
          <w:tcPr>
            <w:tcW w:w="1160" w:type="dxa"/>
            <w:vAlign w:val="bottom"/>
            <w:gridSpan w:val="3"/>
          </w:tcPr>
          <w:p>
            <w:pPr>
              <w:jc w:val="center"/>
              <w:ind w:left="523"/>
              <w:spacing w:after="0" w:line="179" w:lineRule="exact"/>
              <w:rPr>
                <w:sz w:val="20"/>
                <w:szCs w:val="20"/>
                <w:color w:val="auto"/>
              </w:rPr>
            </w:pPr>
            <w:r>
              <w:rPr>
                <w:rFonts w:ascii="Arial" w:cs="Arial" w:eastAsia="Arial" w:hAnsi="Arial"/>
                <w:sz w:val="19"/>
                <w:szCs w:val="19"/>
                <w:color w:val="auto"/>
                <w:w w:val="92"/>
              </w:rPr>
              <w:t>1.50%</w:t>
            </w:r>
          </w:p>
        </w:tc>
        <w:tc>
          <w:tcPr>
            <w:tcW w:w="4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340" w:type="dxa"/>
            <w:vAlign w:val="bottom"/>
            <w:gridSpan w:val="2"/>
          </w:tcPr>
          <w:p>
            <w:pPr>
              <w:jc w:val="center"/>
              <w:ind w:left="303"/>
              <w:spacing w:after="0" w:line="179" w:lineRule="exact"/>
              <w:rPr>
                <w:sz w:val="20"/>
                <w:szCs w:val="20"/>
                <w:color w:val="auto"/>
              </w:rPr>
            </w:pPr>
            <w:r>
              <w:rPr>
                <w:rFonts w:ascii="Arial" w:cs="Arial" w:eastAsia="Arial" w:hAnsi="Arial"/>
                <w:sz w:val="19"/>
                <w:szCs w:val="19"/>
                <w:color w:val="auto"/>
                <w:w w:val="92"/>
              </w:rPr>
              <w:t>1.50%</w:t>
            </w:r>
          </w:p>
        </w:tc>
        <w:tc>
          <w:tcPr>
            <w:tcW w:w="420" w:type="dxa"/>
            <w:vAlign w:val="bottom"/>
            <w:tcBorders>
              <w:right w:val="single" w:sz="8" w:color="auto"/>
            </w:tcBorders>
          </w:tcPr>
          <w:p>
            <w:pPr>
              <w:spacing w:after="0"/>
              <w:rPr>
                <w:sz w:val="16"/>
                <w:szCs w:val="16"/>
                <w:color w:val="auto"/>
              </w:rPr>
            </w:pPr>
          </w:p>
        </w:tc>
        <w:tc>
          <w:tcPr>
            <w:tcW w:w="1140" w:type="dxa"/>
            <w:vAlign w:val="bottom"/>
            <w:gridSpan w:val="4"/>
          </w:tcPr>
          <w:p>
            <w:pPr>
              <w:ind w:left="620"/>
              <w:spacing w:after="0" w:line="179" w:lineRule="exact"/>
              <w:rPr>
                <w:sz w:val="20"/>
                <w:szCs w:val="20"/>
                <w:color w:val="auto"/>
              </w:rPr>
            </w:pPr>
            <w:r>
              <w:rPr>
                <w:rFonts w:ascii="Arial" w:cs="Arial" w:eastAsia="Arial" w:hAnsi="Arial"/>
                <w:sz w:val="19"/>
                <w:szCs w:val="19"/>
                <w:color w:val="auto"/>
                <w:w w:val="92"/>
              </w:rPr>
              <w:t>0.50%</w:t>
            </w:r>
          </w:p>
        </w:tc>
        <w:tc>
          <w:tcPr>
            <w:tcW w:w="620" w:type="dxa"/>
            <w:vAlign w:val="bottom"/>
            <w:tcBorders>
              <w:right w:val="single" w:sz="8" w:color="auto"/>
            </w:tcBorders>
          </w:tcPr>
          <w:p>
            <w:pPr>
              <w:spacing w:after="0"/>
              <w:rPr>
                <w:sz w:val="16"/>
                <w:szCs w:val="16"/>
                <w:color w:val="auto"/>
              </w:rPr>
            </w:pPr>
          </w:p>
        </w:tc>
        <w:tc>
          <w:tcPr>
            <w:tcW w:w="1840" w:type="dxa"/>
            <w:vAlign w:val="bottom"/>
            <w:gridSpan w:val="2"/>
          </w:tcPr>
          <w:p>
            <w:pPr>
              <w:jc w:val="center"/>
              <w:ind w:left="3"/>
              <w:spacing w:after="0" w:line="179" w:lineRule="exact"/>
              <w:rPr>
                <w:sz w:val="20"/>
                <w:szCs w:val="20"/>
                <w:color w:val="auto"/>
              </w:rPr>
            </w:pPr>
            <w:r>
              <w:rPr>
                <w:rFonts w:ascii="Arial" w:cs="Arial" w:eastAsia="Arial" w:hAnsi="Arial"/>
                <w:sz w:val="19"/>
                <w:szCs w:val="19"/>
                <w:color w:val="auto"/>
                <w:w w:val="92"/>
              </w:rPr>
              <w:t>0.30%</w:t>
            </w:r>
          </w:p>
        </w:tc>
        <w:tc>
          <w:tcPr>
            <w:tcW w:w="120" w:type="dxa"/>
            <w:vAlign w:val="bottom"/>
            <w:tcBorders>
              <w:right w:val="single" w:sz="8" w:color="auto"/>
            </w:tcBorders>
          </w:tcPr>
          <w:p>
            <w:pPr>
              <w:spacing w:after="0"/>
              <w:rPr>
                <w:sz w:val="16"/>
                <w:szCs w:val="16"/>
                <w:color w:val="auto"/>
              </w:rPr>
            </w:pPr>
          </w:p>
        </w:tc>
      </w:tr>
      <w:tr>
        <w:trPr>
          <w:trHeight w:val="212"/>
        </w:trPr>
        <w:tc>
          <w:tcPr>
            <w:tcW w:w="80" w:type="dxa"/>
            <w:vAlign w:val="bottom"/>
            <w:tcBorders>
              <w:left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gridSpan w:val="2"/>
          </w:tcPr>
          <w:p>
            <w:pPr>
              <w:jc w:val="center"/>
              <w:ind w:right="560"/>
              <w:spacing w:after="0" w:line="212" w:lineRule="exact"/>
              <w:rPr>
                <w:sz w:val="20"/>
                <w:szCs w:val="20"/>
                <w:color w:val="auto"/>
              </w:rPr>
            </w:pPr>
            <w:r>
              <w:rPr>
                <w:rFonts w:ascii="Arial" w:cs="Arial" w:eastAsia="Arial" w:hAnsi="Arial"/>
                <w:sz w:val="19"/>
                <w:szCs w:val="19"/>
                <w:color w:val="auto"/>
                <w:w w:val="94"/>
              </w:rPr>
              <w:t>&lt; 2.00 to 1.00</w:t>
            </w: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r>
      <w:tr>
        <w:trPr>
          <w:trHeight w:val="192"/>
        </w:trPr>
        <w:tc>
          <w:tcPr>
            <w:tcW w:w="1620" w:type="dxa"/>
            <w:vAlign w:val="bottom"/>
            <w:tcBorders>
              <w:left w:val="single" w:sz="8" w:color="auto"/>
              <w:right w:val="single" w:sz="8" w:color="auto"/>
            </w:tcBorders>
            <w:gridSpan w:val="3"/>
          </w:tcPr>
          <w:p>
            <w:pPr>
              <w:ind w:left="80"/>
              <w:spacing w:after="0" w:line="192" w:lineRule="exact"/>
              <w:rPr>
                <w:sz w:val="20"/>
                <w:szCs w:val="20"/>
                <w:color w:val="auto"/>
              </w:rPr>
            </w:pPr>
            <w:r>
              <w:rPr>
                <w:rFonts w:ascii="Arial" w:cs="Arial" w:eastAsia="Arial" w:hAnsi="Arial"/>
                <w:sz w:val="19"/>
                <w:szCs w:val="19"/>
                <w:color w:val="auto"/>
              </w:rPr>
              <w:t>Category 3:</w:t>
            </w:r>
          </w:p>
        </w:tc>
        <w:tc>
          <w:tcPr>
            <w:tcW w:w="540" w:type="dxa"/>
            <w:vAlign w:val="bottom"/>
          </w:tcPr>
          <w:p>
            <w:pPr>
              <w:spacing w:after="0"/>
              <w:rPr>
                <w:sz w:val="16"/>
                <w:szCs w:val="16"/>
                <w:color w:val="auto"/>
              </w:rPr>
            </w:pPr>
          </w:p>
        </w:tc>
        <w:tc>
          <w:tcPr>
            <w:tcW w:w="1820" w:type="dxa"/>
            <w:vAlign w:val="bottom"/>
            <w:tcBorders>
              <w:right w:val="single" w:sz="8" w:color="auto"/>
            </w:tcBorders>
            <w:gridSpan w:val="2"/>
          </w:tcPr>
          <w:p>
            <w:pPr>
              <w:jc w:val="center"/>
              <w:ind w:right="560"/>
              <w:spacing w:after="0" w:line="192" w:lineRule="exact"/>
              <w:rPr>
                <w:sz w:val="20"/>
                <w:szCs w:val="20"/>
                <w:color w:val="auto"/>
              </w:rPr>
            </w:pPr>
            <w:r>
              <w:rPr>
                <w:rFonts w:ascii="Arial" w:cs="Arial" w:eastAsia="Arial" w:hAnsi="Arial"/>
                <w:sz w:val="19"/>
                <w:szCs w:val="19"/>
                <w:color w:val="auto"/>
                <w:w w:val="94"/>
              </w:rPr>
              <w:t>≥ 2.00 to 1.00</w:t>
            </w:r>
          </w:p>
        </w:tc>
        <w:tc>
          <w:tcPr>
            <w:tcW w:w="1160" w:type="dxa"/>
            <w:vAlign w:val="bottom"/>
            <w:gridSpan w:val="3"/>
          </w:tcPr>
          <w:p>
            <w:pPr>
              <w:jc w:val="center"/>
              <w:ind w:left="523"/>
              <w:spacing w:after="0" w:line="192" w:lineRule="exact"/>
              <w:rPr>
                <w:sz w:val="20"/>
                <w:szCs w:val="20"/>
                <w:color w:val="auto"/>
              </w:rPr>
            </w:pPr>
            <w:r>
              <w:rPr>
                <w:rFonts w:ascii="Arial" w:cs="Arial" w:eastAsia="Arial" w:hAnsi="Arial"/>
                <w:sz w:val="19"/>
                <w:szCs w:val="19"/>
                <w:color w:val="auto"/>
                <w:w w:val="92"/>
              </w:rPr>
              <w:t>1.75%</w:t>
            </w:r>
          </w:p>
        </w:tc>
        <w:tc>
          <w:tcPr>
            <w:tcW w:w="4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340" w:type="dxa"/>
            <w:vAlign w:val="bottom"/>
            <w:gridSpan w:val="2"/>
          </w:tcPr>
          <w:p>
            <w:pPr>
              <w:jc w:val="center"/>
              <w:ind w:left="303"/>
              <w:spacing w:after="0" w:line="192" w:lineRule="exact"/>
              <w:rPr>
                <w:sz w:val="20"/>
                <w:szCs w:val="20"/>
                <w:color w:val="auto"/>
              </w:rPr>
            </w:pPr>
            <w:r>
              <w:rPr>
                <w:rFonts w:ascii="Arial" w:cs="Arial" w:eastAsia="Arial" w:hAnsi="Arial"/>
                <w:sz w:val="19"/>
                <w:szCs w:val="19"/>
                <w:color w:val="auto"/>
                <w:w w:val="92"/>
              </w:rPr>
              <w:t>1.75%</w:t>
            </w:r>
          </w:p>
        </w:tc>
        <w:tc>
          <w:tcPr>
            <w:tcW w:w="420" w:type="dxa"/>
            <w:vAlign w:val="bottom"/>
            <w:tcBorders>
              <w:right w:val="single" w:sz="8" w:color="auto"/>
            </w:tcBorders>
          </w:tcPr>
          <w:p>
            <w:pPr>
              <w:spacing w:after="0"/>
              <w:rPr>
                <w:sz w:val="16"/>
                <w:szCs w:val="16"/>
                <w:color w:val="auto"/>
              </w:rPr>
            </w:pPr>
          </w:p>
        </w:tc>
        <w:tc>
          <w:tcPr>
            <w:tcW w:w="1140" w:type="dxa"/>
            <w:vAlign w:val="bottom"/>
            <w:gridSpan w:val="4"/>
          </w:tcPr>
          <w:p>
            <w:pPr>
              <w:ind w:left="620"/>
              <w:spacing w:after="0" w:line="192" w:lineRule="exact"/>
              <w:rPr>
                <w:sz w:val="20"/>
                <w:szCs w:val="20"/>
                <w:color w:val="auto"/>
              </w:rPr>
            </w:pPr>
            <w:r>
              <w:rPr>
                <w:rFonts w:ascii="Arial" w:cs="Arial" w:eastAsia="Arial" w:hAnsi="Arial"/>
                <w:sz w:val="19"/>
                <w:szCs w:val="19"/>
                <w:color w:val="auto"/>
                <w:w w:val="92"/>
              </w:rPr>
              <w:t>0.75%</w:t>
            </w:r>
          </w:p>
        </w:tc>
        <w:tc>
          <w:tcPr>
            <w:tcW w:w="620" w:type="dxa"/>
            <w:vAlign w:val="bottom"/>
            <w:tcBorders>
              <w:right w:val="single" w:sz="8" w:color="auto"/>
            </w:tcBorders>
          </w:tcPr>
          <w:p>
            <w:pPr>
              <w:spacing w:after="0"/>
              <w:rPr>
                <w:sz w:val="16"/>
                <w:szCs w:val="16"/>
                <w:color w:val="auto"/>
              </w:rPr>
            </w:pPr>
          </w:p>
        </w:tc>
        <w:tc>
          <w:tcPr>
            <w:tcW w:w="1840" w:type="dxa"/>
            <w:vAlign w:val="bottom"/>
            <w:gridSpan w:val="2"/>
          </w:tcPr>
          <w:p>
            <w:pPr>
              <w:jc w:val="center"/>
              <w:ind w:left="3"/>
              <w:spacing w:after="0" w:line="192" w:lineRule="exact"/>
              <w:rPr>
                <w:sz w:val="20"/>
                <w:szCs w:val="20"/>
                <w:color w:val="auto"/>
              </w:rPr>
            </w:pPr>
            <w:r>
              <w:rPr>
                <w:rFonts w:ascii="Arial" w:cs="Arial" w:eastAsia="Arial" w:hAnsi="Arial"/>
                <w:sz w:val="19"/>
                <w:szCs w:val="19"/>
                <w:color w:val="auto"/>
                <w:w w:val="92"/>
              </w:rPr>
              <w:t>0.35%</w:t>
            </w:r>
          </w:p>
        </w:tc>
        <w:tc>
          <w:tcPr>
            <w:tcW w:w="120" w:type="dxa"/>
            <w:vAlign w:val="bottom"/>
            <w:tcBorders>
              <w:right w:val="single" w:sz="8" w:color="auto"/>
            </w:tcBorders>
          </w:tcPr>
          <w:p>
            <w:pPr>
              <w:spacing w:after="0"/>
              <w:rPr>
                <w:sz w:val="16"/>
                <w:szCs w:val="16"/>
                <w:color w:val="auto"/>
              </w:rPr>
            </w:pPr>
          </w:p>
        </w:tc>
      </w:tr>
      <w:tr>
        <w:trPr>
          <w:trHeight w:val="26"/>
        </w:trPr>
        <w:tc>
          <w:tcPr>
            <w:tcW w:w="80" w:type="dxa"/>
            <w:vAlign w:val="bottom"/>
            <w:tcBorders>
              <w:left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For purposes of the foregoing,</w:t>
      </w:r>
    </w:p>
    <w:p>
      <w:pPr>
        <w:spacing w:after="0" w:line="179" w:lineRule="exact"/>
        <w:rPr>
          <w:sz w:val="20"/>
          <w:szCs w:val="20"/>
          <w:color w:val="auto"/>
        </w:rPr>
      </w:pPr>
    </w:p>
    <w:p>
      <w:pPr>
        <w:jc w:val="both"/>
        <w:ind w:left="640" w:right="20" w:firstLine="638"/>
        <w:spacing w:after="0" w:line="220" w:lineRule="auto"/>
        <w:tabs>
          <w:tab w:leader="none" w:pos="1789" w:val="left"/>
        </w:tabs>
        <w:numPr>
          <w:ilvl w:val="0"/>
          <w:numId w:val="32"/>
        </w:numPr>
        <w:rPr>
          <w:rFonts w:ascii="Arial" w:cs="Arial" w:eastAsia="Arial" w:hAnsi="Arial"/>
          <w:sz w:val="19"/>
          <w:szCs w:val="19"/>
          <w:color w:val="auto"/>
        </w:rPr>
      </w:pPr>
      <w:r>
        <w:rPr>
          <w:rFonts w:ascii="Arial" w:cs="Arial" w:eastAsia="Arial" w:hAnsi="Arial"/>
          <w:sz w:val="19"/>
          <w:szCs w:val="19"/>
          <w:color w:val="auto"/>
        </w:rPr>
        <w:t>if at any time the Borrower fails to deliver the Financials on or before the date the Financials are due pursuant to Section 5.01, Category 3 shall be deemed applicable for the period commencing three (3) Business Days after the required date of delivery and ending on the date which is three (3) Business Days after the Financials are actually delivered, after which the Category shall be determined in accordance with the table above as applicable;</w:t>
      </w:r>
    </w:p>
    <w:p>
      <w:pPr>
        <w:spacing w:after="0" w:line="152" w:lineRule="exact"/>
        <w:rPr>
          <w:rFonts w:ascii="Arial" w:cs="Arial" w:eastAsia="Arial" w:hAnsi="Arial"/>
          <w:sz w:val="19"/>
          <w:szCs w:val="19"/>
          <w:color w:val="auto"/>
        </w:rPr>
      </w:pPr>
    </w:p>
    <w:p>
      <w:pPr>
        <w:jc w:val="both"/>
        <w:ind w:left="640" w:right="20" w:firstLine="638"/>
        <w:spacing w:after="0" w:line="220" w:lineRule="auto"/>
        <w:tabs>
          <w:tab w:leader="none" w:pos="1707" w:val="left"/>
        </w:tabs>
        <w:numPr>
          <w:ilvl w:val="0"/>
          <w:numId w:val="32"/>
        </w:numPr>
        <w:rPr>
          <w:rFonts w:ascii="Arial" w:cs="Arial" w:eastAsia="Arial" w:hAnsi="Arial"/>
          <w:sz w:val="19"/>
          <w:szCs w:val="19"/>
          <w:color w:val="auto"/>
        </w:rPr>
      </w:pPr>
      <w:r>
        <w:rPr>
          <w:rFonts w:ascii="Arial" w:cs="Arial" w:eastAsia="Arial" w:hAnsi="Arial"/>
          <w:sz w:val="19"/>
          <w:szCs w:val="19"/>
          <w:color w:val="auto"/>
        </w:rPr>
        <w:t>adjustments, if any, to the Category then in effect shall be effective three (3) Business Days after the Administrative Agent has received the applicable Financials (it being understood and agreed that each change in Category shall apply during the period commencing on the effective date of such change and ending on the date immediately preceding the effective date of the next such change);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1381" w:right="319" w:bottom="1440" w:gutter="0" w:footer="0" w:header="0"/>
        </w:sectPr>
      </w:pPr>
    </w:p>
    <w:bookmarkStart w:id="41" w:name="page42"/>
    <w:bookmarkEnd w:id="41"/>
    <w:p>
      <w:pPr>
        <w:jc w:val="both"/>
        <w:ind w:left="640" w:firstLine="638"/>
        <w:spacing w:after="0" w:line="217" w:lineRule="auto"/>
        <w:tabs>
          <w:tab w:leader="none" w:pos="1812"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notwithstanding the foregoing, Category 1 shall be deemed to be applicable until the Administrative Agent’s receipt of the applicable Financials for the Borrower’s first full fiscal quarter ending after the Effective Date (unless such Financials demonstrate that Category 2 or 3 should have been applicable during such period, in which case such other Category shall be deemed to be applicable during such period) and adjustments to the Category then in effect shall thereafter be effected in accordance with the preceding paragraphs.</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Electronic Platform</w:t>
      </w:r>
      <w:r>
        <w:rPr>
          <w:rFonts w:ascii="Arial" w:cs="Arial" w:eastAsia="Arial" w:hAnsi="Arial"/>
          <w:sz w:val="19"/>
          <w:szCs w:val="19"/>
          <w:color w:val="auto"/>
        </w:rPr>
        <w:t>” has the meaning assigned to such term in Section 8.03(a).</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has the meaning assigned to such term in Section 9.04(b).</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Arranger</w:t>
      </w:r>
      <w:r>
        <w:rPr>
          <w:rFonts w:ascii="Arial" w:cs="Arial" w:eastAsia="Arial" w:hAnsi="Arial"/>
          <w:sz w:val="19"/>
          <w:szCs w:val="19"/>
          <w:color w:val="auto"/>
        </w:rPr>
        <w:t>” means JPMorgan Chase Bank, N.A. in its capacity as sole bookrunner and sole lead arranger hereunder.</w:t>
      </w:r>
    </w:p>
    <w:p>
      <w:pPr>
        <w:spacing w:after="0" w:line="179" w:lineRule="exact"/>
        <w:rPr>
          <w:sz w:val="20"/>
          <w:szCs w:val="20"/>
          <w:color w:val="auto"/>
        </w:rPr>
      </w:pPr>
    </w:p>
    <w:p>
      <w:pPr>
        <w:jc w:val="both"/>
        <w:ind w:firstLine="1272"/>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records generated by the use of an electronic platform) approved by the Administrative Agent.</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Augmenting Lender</w:t>
      </w:r>
      <w:r>
        <w:rPr>
          <w:rFonts w:ascii="Arial" w:cs="Arial" w:eastAsia="Arial" w:hAnsi="Arial"/>
          <w:sz w:val="19"/>
          <w:szCs w:val="19"/>
          <w:color w:val="auto"/>
        </w:rPr>
        <w:t>” has the meaning assigned to such term in Section 2.20.</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means the period from and including the Effective Date to but excluding the earlier of the Maturity Date and the date of termination of the Commitments.</w:t>
      </w:r>
    </w:p>
    <w:p>
      <w:pPr>
        <w:spacing w:after="0" w:line="151" w:lineRule="exact"/>
        <w:rPr>
          <w:sz w:val="20"/>
          <w:szCs w:val="20"/>
          <w:color w:val="auto"/>
        </w:rPr>
      </w:pPr>
    </w:p>
    <w:p>
      <w:pPr>
        <w:jc w:val="both"/>
        <w:ind w:firstLine="12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Revolving Commitment</w:t>
      </w:r>
      <w:r>
        <w:rPr>
          <w:rFonts w:ascii="Arial" w:cs="Arial" w:eastAsia="Arial" w:hAnsi="Arial"/>
          <w:sz w:val="17"/>
          <w:szCs w:val="17"/>
          <w:color w:val="auto"/>
        </w:rPr>
        <w:t>” means, at any time with respect to any Lender, the Commitment of such Lender then in effect minus the Revolving Credit Exposure of such Lender at such time; it being understood and agreed that any Lender’s Swingline Exposure shall not be deemed to be a component of the Revolving Credit Exposure for purposes of calculating the commitment fee under Section 2.12(a).</w:t>
      </w:r>
    </w:p>
    <w:p>
      <w:pPr>
        <w:spacing w:after="0" w:line="136" w:lineRule="exact"/>
        <w:rPr>
          <w:sz w:val="20"/>
          <w:szCs w:val="20"/>
          <w:color w:val="auto"/>
        </w:rPr>
      </w:pPr>
    </w:p>
    <w:p>
      <w:pPr>
        <w:jc w:val="both"/>
        <w:ind w:firstLine="1272"/>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spacing w:after="0" w:line="152"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Action</w:t>
      </w:r>
      <w:r>
        <w:rPr>
          <w:rFonts w:ascii="Arial" w:cs="Arial" w:eastAsia="Arial" w:hAnsi="Arial"/>
          <w:sz w:val="19"/>
          <w:szCs w:val="19"/>
          <w:color w:val="auto"/>
        </w:rPr>
        <w:t>” means the exercise of any Write-Down and Conversion Powers by the applicable Resolution Authority in respect of any liability of an Affected Financial Institution.</w:t>
      </w:r>
    </w:p>
    <w:p>
      <w:pPr>
        <w:spacing w:after="0" w:line="151" w:lineRule="exact"/>
        <w:rPr>
          <w:sz w:val="20"/>
          <w:szCs w:val="20"/>
          <w:color w:val="auto"/>
        </w:rPr>
      </w:pPr>
    </w:p>
    <w:p>
      <w:pPr>
        <w:jc w:val="both"/>
        <w:ind w:firstLine="1272"/>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1"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Banking Services</w:t>
      </w:r>
      <w:r>
        <w:rPr>
          <w:rFonts w:ascii="Arial" w:cs="Arial" w:eastAsia="Arial" w:hAnsi="Arial"/>
          <w:sz w:val="19"/>
          <w:szCs w:val="19"/>
          <w:color w:val="auto"/>
        </w:rPr>
        <w:t>” means each and any of the following bank services provided to the Borrower or any Subsidiary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81" w:right="339" w:bottom="1440" w:gutter="0" w:footer="0" w:header="0"/>
        </w:sectPr>
      </w:pPr>
    </w:p>
    <w:bookmarkStart w:id="42" w:name="page43"/>
    <w:bookmarkEnd w:id="42"/>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Banking Services Agreement</w:t>
      </w:r>
      <w:r>
        <w:rPr>
          <w:rFonts w:ascii="Arial" w:cs="Arial" w:eastAsia="Arial" w:hAnsi="Arial"/>
          <w:sz w:val="19"/>
          <w:szCs w:val="19"/>
          <w:color w:val="auto"/>
        </w:rPr>
        <w:t>” means any agreement entered into by the Borrower or any Subsidiary in connection with Banking Services.</w:t>
      </w:r>
    </w:p>
    <w:p>
      <w:pPr>
        <w:spacing w:after="0" w:line="151"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Banking Services Obligations</w:t>
      </w:r>
      <w:r>
        <w:rPr>
          <w:rFonts w:ascii="Arial" w:cs="Arial" w:eastAsia="Arial" w:hAnsi="Arial"/>
          <w:sz w:val="19"/>
          <w:szCs w:val="19"/>
          <w:color w:val="auto"/>
        </w:rPr>
        <w:t>” means any and all obligations of the Borrower or any Subsidiary, whether absolute or contingent and howsoever and whensoever created, arising, evidenced or acquired (including all renewals, extensions and modifications thereof and substitutions therefor) in connection with Banking Services.</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Code</w:t>
      </w:r>
      <w:r>
        <w:rPr>
          <w:rFonts w:ascii="Arial" w:cs="Arial" w:eastAsia="Arial" w:hAnsi="Arial"/>
          <w:sz w:val="19"/>
          <w:szCs w:val="19"/>
          <w:color w:val="auto"/>
        </w:rPr>
        <w:t>” means Title 11 of the United States Code entitled “Bankruptcy”, as now and hereafter in effect, or any successor statute.</w:t>
      </w:r>
    </w:p>
    <w:p>
      <w:pPr>
        <w:spacing w:after="0" w:line="151" w:lineRule="exact"/>
        <w:rPr>
          <w:sz w:val="20"/>
          <w:szCs w:val="20"/>
          <w:color w:val="auto"/>
        </w:rPr>
      </w:pPr>
    </w:p>
    <w:p>
      <w:pPr>
        <w:jc w:val="both"/>
        <w:ind w:firstLine="1272"/>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xml:space="preserve">”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51" w:lineRule="exact"/>
        <w:rPr>
          <w:sz w:val="20"/>
          <w:szCs w:val="20"/>
          <w:color w:val="auto"/>
        </w:rPr>
      </w:pPr>
    </w:p>
    <w:p>
      <w:pPr>
        <w:jc w:val="both"/>
        <w:ind w:firstLine="1272"/>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w:t>
      </w:r>
      <w:r>
        <w:rPr>
          <w:rFonts w:ascii="Arial" w:cs="Arial" w:eastAsia="Arial" w:hAnsi="Arial"/>
          <w:sz w:val="17"/>
          <w:szCs w:val="17"/>
          <w:color w:val="auto"/>
        </w:rPr>
        <w:t xml:space="preserve">” means, initially, with respect to any (i) RFR Loan, the Daily Simple SOFR or (ii) Term Benchmark Loan, the Term SOFR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2.14.</w:t>
      </w:r>
    </w:p>
    <w:p>
      <w:pPr>
        <w:spacing w:after="0" w:line="146" w:lineRule="exact"/>
        <w:rPr>
          <w:sz w:val="20"/>
          <w:szCs w:val="20"/>
          <w:color w:val="auto"/>
        </w:rPr>
      </w:pPr>
    </w:p>
    <w:p>
      <w:pPr>
        <w:jc w:val="both"/>
        <w:ind w:firstLine="1272"/>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means, for any Available Tenor,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If the Benchmark Replacement as determined pursuant to the above would be less than the Floor, the Benchmark Replacement will be deemed to be the Floor for the purposes of this Agreement and the other Loan Documents.</w:t>
      </w:r>
    </w:p>
    <w:p>
      <w:pPr>
        <w:spacing w:after="0" w:line="151" w:lineRule="exact"/>
        <w:rPr>
          <w:sz w:val="20"/>
          <w:szCs w:val="20"/>
          <w:color w:val="auto"/>
        </w:rPr>
      </w:pPr>
    </w:p>
    <w:p>
      <w:pPr>
        <w:jc w:val="both"/>
        <w:ind w:firstLine="1272"/>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w:t>
      </w:r>
      <w:r>
        <w:rPr>
          <w:rFonts w:ascii="Arial" w:cs="Arial" w:eastAsia="Arial" w:hAnsi="Arial"/>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381" w:right="339" w:bottom="1440" w:gutter="0" w:footer="0" w:header="0"/>
        </w:sectPr>
      </w:pPr>
    </w:p>
    <w:bookmarkStart w:id="43" w:name="page44"/>
    <w:bookmarkEnd w:id="43"/>
    <w:p>
      <w:pPr>
        <w:jc w:val="both"/>
        <w:ind w:firstLine="1272"/>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and/or any Term Benchmark Revolving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52"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with respect to any Benchmark, the earliest to occur of the following events with respect to such then-current Benchmark:</w:t>
      </w:r>
    </w:p>
    <w:p>
      <w:pPr>
        <w:spacing w:after="0" w:line="151" w:lineRule="exact"/>
        <w:rPr>
          <w:sz w:val="20"/>
          <w:szCs w:val="20"/>
          <w:color w:val="auto"/>
        </w:rPr>
      </w:pPr>
    </w:p>
    <w:p>
      <w:pPr>
        <w:jc w:val="both"/>
        <w:ind w:firstLine="1278"/>
        <w:spacing w:after="0" w:line="220" w:lineRule="auto"/>
        <w:tabs>
          <w:tab w:leader="none" w:pos="1568"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52" w:lineRule="exact"/>
        <w:rPr>
          <w:rFonts w:ascii="Arial" w:cs="Arial" w:eastAsia="Arial" w:hAnsi="Arial"/>
          <w:sz w:val="19"/>
          <w:szCs w:val="19"/>
          <w:color w:val="auto"/>
        </w:rPr>
      </w:pPr>
    </w:p>
    <w:p>
      <w:pPr>
        <w:jc w:val="both"/>
        <w:ind w:firstLine="1278"/>
        <w:spacing w:after="0" w:line="217" w:lineRule="auto"/>
        <w:tabs>
          <w:tab w:leader="none" w:pos="1553"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52" w:lineRule="exact"/>
        <w:rPr>
          <w:sz w:val="20"/>
          <w:szCs w:val="20"/>
          <w:color w:val="auto"/>
        </w:rPr>
      </w:pPr>
    </w:p>
    <w:p>
      <w:pPr>
        <w:jc w:val="both"/>
        <w:ind w:firstLine="1272"/>
        <w:spacing w:after="0" w:line="234" w:lineRule="auto"/>
        <w:rPr>
          <w:sz w:val="20"/>
          <w:szCs w:val="20"/>
          <w:color w:val="auto"/>
        </w:rPr>
      </w:pPr>
      <w:r>
        <w:rPr>
          <w:rFonts w:ascii="Arial" w:cs="Arial" w:eastAsia="Arial" w:hAnsi="Arial"/>
          <w:sz w:val="17"/>
          <w:szCs w:val="17"/>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w:t>
      </w:r>
    </w:p>
    <w:p>
      <w:pPr>
        <w:spacing w:after="0" w:line="1" w:lineRule="exact"/>
        <w:rPr>
          <w:sz w:val="20"/>
          <w:szCs w:val="20"/>
          <w:color w:val="auto"/>
        </w:rPr>
      </w:pPr>
    </w:p>
    <w:p>
      <w:pPr>
        <w:ind w:firstLine="6"/>
        <w:spacing w:after="0" w:line="228" w:lineRule="auto"/>
        <w:tabs>
          <w:tab w:leader="none" w:pos="304" w:val="left"/>
        </w:tabs>
        <w:numPr>
          <w:ilvl w:val="0"/>
          <w:numId w:val="35"/>
        </w:numPr>
        <w:rPr>
          <w:rFonts w:ascii="Arial" w:cs="Arial" w:eastAsia="Arial" w:hAnsi="Arial"/>
          <w:sz w:val="19"/>
          <w:szCs w:val="19"/>
          <w:color w:val="auto"/>
        </w:rPr>
      </w:pPr>
      <w:r>
        <w:rPr>
          <w:rFonts w:ascii="Arial" w:cs="Arial" w:eastAsia="Arial" w:hAnsi="Arial"/>
          <w:sz w:val="19"/>
          <w:szCs w:val="19"/>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52" w:lineRule="exact"/>
        <w:rPr>
          <w:sz w:val="20"/>
          <w:szCs w:val="20"/>
          <w:color w:val="auto"/>
        </w:rPr>
      </w:pPr>
    </w:p>
    <w:p>
      <w:pPr>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means, with respect to any Benchmark, the occurrence of one or more of the following events with respect to such then-current Benchmark:</w:t>
      </w:r>
    </w:p>
    <w:p>
      <w:pPr>
        <w:spacing w:after="0" w:line="151" w:lineRule="exact"/>
        <w:rPr>
          <w:sz w:val="20"/>
          <w:szCs w:val="20"/>
          <w:color w:val="auto"/>
        </w:rPr>
      </w:pPr>
    </w:p>
    <w:p>
      <w:pPr>
        <w:jc w:val="both"/>
        <w:ind w:firstLine="1278"/>
        <w:spacing w:after="0" w:line="232" w:lineRule="auto"/>
        <w:tabs>
          <w:tab w:leader="none" w:pos="15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53" w:lineRule="exact"/>
        <w:rPr>
          <w:rFonts w:ascii="Arial" w:cs="Arial" w:eastAsia="Arial" w:hAnsi="Arial"/>
          <w:sz w:val="18"/>
          <w:szCs w:val="18"/>
          <w:color w:val="auto"/>
        </w:rPr>
      </w:pPr>
    </w:p>
    <w:p>
      <w:pPr>
        <w:jc w:val="both"/>
        <w:ind w:firstLine="1278"/>
        <w:spacing w:after="0" w:line="226" w:lineRule="auto"/>
        <w:tabs>
          <w:tab w:leader="none" w:pos="15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381" w:right="339" w:bottom="1440" w:gutter="0" w:footer="0" w:header="0"/>
        </w:sectPr>
      </w:pPr>
    </w:p>
    <w:bookmarkStart w:id="44" w:name="page45"/>
    <w:bookmarkEnd w:id="44"/>
    <w:p>
      <w:pPr>
        <w:ind w:right="20"/>
        <w:spacing w:after="0" w:line="237" w:lineRule="auto"/>
        <w:rPr>
          <w:sz w:val="20"/>
          <w:szCs w:val="20"/>
          <w:color w:val="auto"/>
        </w:rPr>
      </w:pPr>
      <w:r>
        <w:rPr>
          <w:rFonts w:ascii="Arial" w:cs="Arial" w:eastAsia="Arial" w:hAnsi="Arial"/>
          <w:sz w:val="19"/>
          <w:szCs w:val="19"/>
          <w:color w:val="auto"/>
        </w:rPr>
        <w:t xml:space="preserve">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51" w:lineRule="exact"/>
        <w:rPr>
          <w:sz w:val="20"/>
          <w:szCs w:val="20"/>
          <w:color w:val="auto"/>
        </w:rPr>
      </w:pPr>
    </w:p>
    <w:p>
      <w:pPr>
        <w:jc w:val="both"/>
        <w:ind w:firstLine="1278"/>
        <w:spacing w:after="0" w:line="226" w:lineRule="auto"/>
        <w:tabs>
          <w:tab w:leader="none" w:pos="1561" w:val="left"/>
        </w:tabs>
        <w:numPr>
          <w:ilvl w:val="0"/>
          <w:numId w:val="37"/>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51"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1"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52"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Certification</w:t>
      </w:r>
      <w:r>
        <w:rPr>
          <w:rFonts w:ascii="Arial" w:cs="Arial" w:eastAsia="Arial" w:hAnsi="Arial"/>
          <w:sz w:val="19"/>
          <w:szCs w:val="19"/>
          <w:color w:val="auto"/>
        </w:rPr>
        <w:t>” means a certification regarding beneficial ownership or control as required by the Beneficial Ownership Regulation.</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Regulation</w:t>
      </w:r>
      <w:r>
        <w:rPr>
          <w:rFonts w:ascii="Arial" w:cs="Arial" w:eastAsia="Arial" w:hAnsi="Arial"/>
          <w:sz w:val="19"/>
          <w:szCs w:val="19"/>
          <w:color w:val="auto"/>
        </w:rPr>
        <w:t>” means 31 C.F.R. § 1010.230.</w:t>
      </w:r>
    </w:p>
    <w:p>
      <w:pPr>
        <w:spacing w:after="0" w:line="179"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53"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BHC Act Affiliate</w:t>
      </w:r>
      <w:r>
        <w:rPr>
          <w:rFonts w:ascii="Arial" w:cs="Arial" w:eastAsia="Arial" w:hAnsi="Arial"/>
          <w:sz w:val="19"/>
          <w:szCs w:val="19"/>
          <w:color w:val="auto"/>
        </w:rPr>
        <w:t>” of a party means an “affiliate” (as such term is defined under, and interpreted in accordance with, 12 U.S.C. 1841(k)) of such party.</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means Commvault Systems, Inc., a Delaware corporation.</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means (a) Revolving Loans of the same Type, made, converted or continued on the same date and, in the case of Term Benchmark Loans, as to which a single Interest Period is in effect or (b) a Swingline Loan.</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Request</w:t>
      </w:r>
      <w:r>
        <w:rPr>
          <w:rFonts w:ascii="Arial" w:cs="Arial" w:eastAsia="Arial" w:hAnsi="Arial"/>
          <w:sz w:val="19"/>
          <w:szCs w:val="19"/>
          <w:color w:val="auto"/>
        </w:rPr>
        <w:t xml:space="preserve">” means a request by the Borrower for a Borrowing in accordance with Section 2.03, which shall be substantially in the form attached hereto as </w:t>
      </w:r>
      <w:r>
        <w:rPr>
          <w:rFonts w:ascii="Arial" w:cs="Arial" w:eastAsia="Arial" w:hAnsi="Arial"/>
          <w:sz w:val="19"/>
          <w:szCs w:val="19"/>
          <w:u w:val="single" w:color="auto"/>
          <w:color w:val="auto"/>
        </w:rPr>
        <w:t>Exhibit G-1</w:t>
      </w:r>
      <w:r>
        <w:rPr>
          <w:rFonts w:ascii="Arial" w:cs="Arial" w:eastAsia="Arial" w:hAnsi="Arial"/>
          <w:sz w:val="19"/>
          <w:szCs w:val="19"/>
          <w:color w:val="auto"/>
        </w:rPr>
        <w:t xml:space="preserve"> or any other form approved by the Administrative Agent.</w:t>
      </w:r>
    </w:p>
    <w:p>
      <w:pPr>
        <w:spacing w:after="0" w:line="151" w:lineRule="exact"/>
        <w:rPr>
          <w:sz w:val="20"/>
          <w:szCs w:val="20"/>
          <w:color w:val="auto"/>
        </w:rPr>
      </w:pPr>
    </w:p>
    <w:p>
      <w:pPr>
        <w:jc w:val="both"/>
        <w:ind w:firstLine="1272"/>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or a Sunday) on which banks are open for business in New York City or Chicago;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relation to RFR Loans and any interest rate settings, fundings, disbursements, settlements or payments of any such RFR Loan, or any other dealings of such RFR Loan, any such day that is only an U.S. Government Securities Business Day.</w:t>
      </w:r>
    </w:p>
    <w:p>
      <w:pPr>
        <w:spacing w:after="0" w:line="153"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381" w:right="339" w:bottom="1440" w:gutter="0" w:footer="0" w:header="0"/>
        </w:sectPr>
      </w:pPr>
    </w:p>
    <w:bookmarkStart w:id="45" w:name="page46"/>
    <w:bookmarkEnd w:id="45"/>
    <w:p>
      <w:pPr>
        <w:jc w:val="both"/>
        <w:ind w:firstLine="1272"/>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 the acquisition by any Person or group of beneficial ownership (within the meaning of Rules 13d-3 and 13d-5 under the Securities Exchange Act of 1934 as in effect on the date hereof) of Equity Interests representing more than 35% of the aggregate ordinary voting power represented by the issued and outstanding Equity Interests of the Borrower; (b) occupation at any time of a majority of the seats (other than vacant seats) on the board of directors of the Borrower by Persons who are not Continuing Directors; or (c) the occurrence of a change in control, fundamental change, make-whole fundamental change or other similar provision, as defined in any agreement or instrument evidencing any Material Indebtedness (triggering a default or mandatory prepayment, which default or mandatory prepayment has not been waived in writing).</w:t>
      </w:r>
    </w:p>
    <w:p>
      <w:pPr>
        <w:spacing w:after="0" w:line="153" w:lineRule="exact"/>
        <w:rPr>
          <w:sz w:val="20"/>
          <w:szCs w:val="20"/>
          <w:color w:val="auto"/>
        </w:rPr>
      </w:pPr>
    </w:p>
    <w:p>
      <w:pPr>
        <w:jc w:val="both"/>
        <w:ind w:firstLine="1272"/>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Issuing Bank (or, for purposes of Section 2.15(b), by any lending office of such Lender or by such Lender’s or Issuing Bank’s holding company, if any) with any request, rule, guideline or directive (whether or not having the force of law) of any Governmental Authority made or issued after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Charges</w:t>
      </w:r>
      <w:r>
        <w:rPr>
          <w:rFonts w:ascii="Arial" w:cs="Arial" w:eastAsia="Arial" w:hAnsi="Arial"/>
          <w:sz w:val="19"/>
          <w:szCs w:val="19"/>
          <w:color w:val="auto"/>
        </w:rPr>
        <w:t>” has the meaning assigned to such term in Section 9.16.</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when used in reference to any Loan or Borrowing, refers to whether such Loan, or the Loans comprising such Borrowing, are Revolving Loans or Swingline Loans.</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CME Term SOFR Administrator</w:t>
      </w:r>
      <w:r>
        <w:rPr>
          <w:rFonts w:ascii="Arial" w:cs="Arial" w:eastAsia="Arial" w:hAnsi="Arial"/>
          <w:sz w:val="19"/>
          <w:szCs w:val="19"/>
          <w:color w:val="auto"/>
        </w:rPr>
        <w:t>” means CME Group Benchmark Administration Limited as administrator of the forward-looking term Secured Overnight Financing Rate (SOFR) (or a successor administrator).</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179"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means any and all property owned, leased or operated by a Person covered by the Collateral Documents and any and all other personal property of any Loan Party, now existing or hereafter acquired, that may at any time be or become subject to a security interest or Lien in favor of the Administrative Agent, on behalf of itself and the Secured Parties, pursuant to the Collateral Documents to secure the Secured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Collateral shall exclude Excluded Assets.</w:t>
      </w:r>
    </w:p>
    <w:p>
      <w:pPr>
        <w:spacing w:after="0" w:line="153" w:lineRule="exact"/>
        <w:rPr>
          <w:sz w:val="20"/>
          <w:szCs w:val="20"/>
          <w:color w:val="auto"/>
        </w:rPr>
      </w:pPr>
    </w:p>
    <w:p>
      <w:pPr>
        <w:jc w:val="both"/>
        <w:ind w:firstLine="1272"/>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collectively, the Security Agreement and all other agreements, instruments and documents executed in connection with this Agreement that are intended to create, perfect or evidence Liens to secure the Secured Obligations, including, without limitation, all other security agreements, pledge agreements, pledges, assignments or similar agreements, whether heretofore, now, or hereafter executed by the Borrower or any other Loan Party and delivered to the Administrative Agent to secure the Secured Obligations.</w:t>
      </w:r>
    </w:p>
    <w:p>
      <w:pPr>
        <w:spacing w:after="0" w:line="146"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each Lender, the amount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opposite such Lender’s name under the heading “Commitment”, or in the Assignment and Assumption or other documentation or record (as such term is defined in Section 9-102(a)(70) of the New York Uniform Commercial Code) contemplated hereby pursuant to which such Lender shall have assumed its Commitment, as applicable, and giving effect to (a) any reduction in such amount from time to time pursuant to Section 2.09, (b) any increase from time to time pursuant to Section 2.20 and (c) any reduction or increase in such amount from time to time pursuant to assignments by or to such Lender pursuant to Section 9.04;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no time shall the Revolving Credit Exposure of any Lender exceed its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381" w:right="339" w:bottom="1440" w:gutter="0" w:footer="0" w:header="0"/>
        </w:sectPr>
      </w:pPr>
    </w:p>
    <w:bookmarkStart w:id="46" w:name="page47"/>
    <w:bookmarkEnd w:id="46"/>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Fee</w:t>
      </w:r>
      <w:r>
        <w:rPr>
          <w:rFonts w:ascii="Arial" w:cs="Arial" w:eastAsia="Arial" w:hAnsi="Arial"/>
          <w:sz w:val="19"/>
          <w:szCs w:val="19"/>
          <w:color w:val="auto"/>
        </w:rPr>
        <w:t>” has the meaning assigned to such term in Section 2.12(a).</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Commodity Exchange Act</w:t>
      </w:r>
      <w:r>
        <w:rPr>
          <w:rFonts w:ascii="Arial" w:cs="Arial" w:eastAsia="Arial" w:hAnsi="Arial"/>
          <w:sz w:val="19"/>
          <w:szCs w:val="19"/>
          <w:color w:val="auto"/>
        </w:rPr>
        <w:t>” means the Commodity Exchange Act (7 U.S.C. § 1 et seq.), as amended from time to time, and any successor statute.</w:t>
      </w:r>
    </w:p>
    <w:p>
      <w:pPr>
        <w:spacing w:after="0" w:line="151"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Communications</w:t>
      </w:r>
      <w:r>
        <w:rPr>
          <w:rFonts w:ascii="Arial" w:cs="Arial" w:eastAsia="Arial" w:hAnsi="Arial"/>
          <w:sz w:val="19"/>
          <w:szCs w:val="19"/>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Section 8.03, including through an Approved Electronic Platform.</w:t>
      </w:r>
    </w:p>
    <w:p>
      <w:pPr>
        <w:spacing w:after="0" w:line="153" w:lineRule="exact"/>
        <w:rPr>
          <w:sz w:val="20"/>
          <w:szCs w:val="20"/>
          <w:color w:val="auto"/>
        </w:rPr>
      </w:pPr>
    </w:p>
    <w:p>
      <w:pPr>
        <w:jc w:val="both"/>
        <w:ind w:right="20"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Connection Income Taxes</w:t>
      </w:r>
      <w:r>
        <w:rPr>
          <w:rFonts w:ascii="Arial" w:cs="Arial" w:eastAsia="Arial" w:hAnsi="Arial"/>
          <w:sz w:val="19"/>
          <w:szCs w:val="19"/>
          <w:color w:val="auto"/>
        </w:rPr>
        <w:t>” means Other Connection Taxes that are imposed on or measured by net income (however denominated) or that are franchise Taxes or branch profits Taxes.</w:t>
      </w:r>
    </w:p>
    <w:p>
      <w:pPr>
        <w:spacing w:after="0" w:line="151"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Capital Expenditures</w:t>
      </w:r>
      <w:r>
        <w:rPr>
          <w:rFonts w:ascii="Arial" w:cs="Arial" w:eastAsia="Arial" w:hAnsi="Arial"/>
          <w:sz w:val="19"/>
          <w:szCs w:val="19"/>
          <w:color w:val="auto"/>
        </w:rPr>
        <w:t>” means, without duplication, any expenditures for any purchase or other acquisition of any asset which would be classified as a fixed or capital asset on a consolidated balance sheet of the Borrower and its Subsidiaries prepared in accordance with GAAP.</w:t>
      </w:r>
    </w:p>
    <w:p>
      <w:pPr>
        <w:spacing w:after="0" w:line="151" w:lineRule="exact"/>
        <w:rPr>
          <w:sz w:val="20"/>
          <w:szCs w:val="20"/>
          <w:color w:val="auto"/>
        </w:rPr>
      </w:pPr>
    </w:p>
    <w:p>
      <w:pPr>
        <w:jc w:val="both"/>
        <w:ind w:firstLine="1272"/>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means, with reference to any period, Consolidated Net Income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without duplication and to the extent deducted from revenues in determining Consolidated Net Income for such period, (i) Consolidated Interest Expense, (ii) expense for income taxes paid or accrued, (iii) depreciation, (iv) amortization, (v) extraordinary or non-recurring non-cash expenses or losses incurred other than in the ordinary course of business, (vi) non-cash expenses related to stock based compensation, (vii) FICA and related payroll tax expenses incurred when employees exercise in the money stock options or vest in restricted stock awards and (viii) expenses incurred in connection with the financing contemplated by this Agreement </w:t>
      </w:r>
      <w:r>
        <w:rPr>
          <w:rFonts w:ascii="Arial" w:cs="Arial" w:eastAsia="Arial" w:hAnsi="Arial"/>
          <w:sz w:val="17"/>
          <w:szCs w:val="17"/>
          <w:u w:val="single" w:color="auto"/>
          <w:color w:val="auto"/>
        </w:rPr>
        <w:t>minus</w:t>
      </w:r>
      <w:r>
        <w:rPr>
          <w:rFonts w:ascii="Arial" w:cs="Arial" w:eastAsia="Arial" w:hAnsi="Arial"/>
          <w:sz w:val="17"/>
          <w:szCs w:val="17"/>
          <w:color w:val="auto"/>
        </w:rPr>
        <w:t>, to the extent included in Consolidated Net Income for such period, (1) interest income, (2) income tax credits and refunds (to the extent not netted from tax expense), (3) any cash payments made during such period in respect of items described in clauses (v) or (vi) above subsequent to the fiscal quarter in which the relevant non-cash expenses or losses were incurred and (4) extraordinary, unusual or non-recurring income or gains realized other than in the ordinary course of business, all calculated for the Borrower and its Subsidiaries in accordance with GAAP on a consolidated basis. For the purposes of calculating Consolidated EBITDA for any period of four consecutive fiscal quarters (each such period, a “</w:t>
      </w:r>
      <w:r>
        <w:rPr>
          <w:rFonts w:ascii="Arial" w:cs="Arial" w:eastAsia="Arial" w:hAnsi="Arial"/>
          <w:sz w:val="17"/>
          <w:szCs w:val="17"/>
          <w:u w:val="single" w:color="auto"/>
          <w:color w:val="auto"/>
        </w:rPr>
        <w:t>Reference Period</w:t>
      </w:r>
      <w:r>
        <w:rPr>
          <w:rFonts w:ascii="Arial" w:cs="Arial" w:eastAsia="Arial" w:hAnsi="Arial"/>
          <w:sz w:val="17"/>
          <w:szCs w:val="17"/>
          <w:color w:val="auto"/>
        </w:rPr>
        <w:t>”), (i) if at any time during such Reference Period the Borrower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Borrower or any Subsidiary shall have made a Material Acquisition, Consolidated EBITDA for such Reference Period shall be calculated after giving effect thereto on a pro forma basis as if such Material Acquisition occurred on the first day of such Reference Period. As used in this definition, “</w:t>
      </w:r>
      <w:r>
        <w:rPr>
          <w:rFonts w:ascii="Arial" w:cs="Arial" w:eastAsia="Arial" w:hAnsi="Arial"/>
          <w:sz w:val="17"/>
          <w:szCs w:val="17"/>
          <w:u w:val="single" w:color="auto"/>
          <w:color w:val="auto"/>
        </w:rPr>
        <w:t>Material Acquisition</w:t>
      </w:r>
      <w:r>
        <w:rPr>
          <w:rFonts w:ascii="Arial" w:cs="Arial" w:eastAsia="Arial" w:hAnsi="Arial"/>
          <w:sz w:val="17"/>
          <w:szCs w:val="17"/>
          <w:color w:val="auto"/>
        </w:rPr>
        <w:t>” means any acquisition of property or series of related acquisitions of property that (a) constitutes (i) assets comprising all or substantially all or any significant portion of a business or operating unit of a business, or (ii) all or substantially all of the common stock or other Equity Interests of a Person, and</w:t>
      </w:r>
    </w:p>
    <w:p>
      <w:pPr>
        <w:spacing w:after="0" w:line="12" w:lineRule="exact"/>
        <w:rPr>
          <w:sz w:val="20"/>
          <w:szCs w:val="20"/>
          <w:color w:val="auto"/>
        </w:rPr>
      </w:pPr>
    </w:p>
    <w:p>
      <w:pPr>
        <w:jc w:val="both"/>
        <w:ind w:firstLine="6"/>
        <w:spacing w:after="0" w:line="220" w:lineRule="auto"/>
        <w:tabs>
          <w:tab w:leader="none" w:pos="277"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involves the payment of consideration by the Borrower and its Subsidiaries in excess of $25,000,000; and “</w:t>
      </w:r>
      <w:r>
        <w:rPr>
          <w:rFonts w:ascii="Arial" w:cs="Arial" w:eastAsia="Arial" w:hAnsi="Arial"/>
          <w:sz w:val="19"/>
          <w:szCs w:val="19"/>
          <w:u w:val="single" w:color="auto"/>
          <w:color w:val="auto"/>
        </w:rPr>
        <w:t>Material Disposition</w:t>
      </w:r>
      <w:r>
        <w:rPr>
          <w:rFonts w:ascii="Arial" w:cs="Arial" w:eastAsia="Arial" w:hAnsi="Arial"/>
          <w:sz w:val="19"/>
          <w:szCs w:val="19"/>
          <w:color w:val="auto"/>
        </w:rPr>
        <w:t>” means any sale, transfer or disposition of property or series of related sales, transfers, or dispositions of property that yields gross proceeds to the Borrower or any of its Subsidiaries in excess of $25,000,000.</w:t>
      </w:r>
    </w:p>
    <w:p>
      <w:pPr>
        <w:spacing w:after="0" w:line="152" w:lineRule="exact"/>
        <w:rPr>
          <w:sz w:val="20"/>
          <w:szCs w:val="20"/>
          <w:color w:val="auto"/>
        </w:rPr>
      </w:pPr>
    </w:p>
    <w:p>
      <w:pPr>
        <w:jc w:val="both"/>
        <w:ind w:firstLine="1272"/>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reference to any period, the interest expense (including without limitation interest expense under Capital Lease Obligations that is treated as interest in accordance with GAAP) of the Borrower and its Subsidiaries calculated on a consolidated basis for such period with respect to all outstanding Indebtedness of the Borrower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In the event that the Borrower or any Subsidiary shall have completed a Material Acquisition or a Material Disposition since the beginning of the relevant period, Consolidated Interest Expense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381" w:right="339" w:bottom="1440" w:gutter="0" w:footer="0" w:header="0"/>
        </w:sectPr>
      </w:pPr>
    </w:p>
    <w:bookmarkStart w:id="47" w:name="page48"/>
    <w:bookmarkEnd w:id="47"/>
    <w:p>
      <w:pPr>
        <w:jc w:val="both"/>
        <w:spacing w:after="0" w:line="237" w:lineRule="auto"/>
        <w:rPr>
          <w:sz w:val="20"/>
          <w:szCs w:val="20"/>
          <w:color w:val="auto"/>
        </w:rPr>
      </w:pPr>
      <w:r>
        <w:rPr>
          <w:rFonts w:ascii="Arial" w:cs="Arial" w:eastAsia="Arial" w:hAnsi="Arial"/>
          <w:sz w:val="19"/>
          <w:szCs w:val="19"/>
          <w:color w:val="auto"/>
        </w:rPr>
        <w:t>determined for such period on a pro forma basis as if such acquisition or disposition, and any related incurrence or repayment of Indebtedness, had occurred at the beginning of such period.</w:t>
      </w:r>
    </w:p>
    <w:p>
      <w:pPr>
        <w:spacing w:after="0" w:line="151"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with reference to any period, the net income (or loss) of the Borrower and its Subsidiaries calculated in accordance with GAAP on a consolidated basis (without duplication)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be excluded any income (or loss) of any Person other than the Borrower or a Subsidiary, but any such income so excluded may be included in such period or any later period to the extent of any cash dividends or distributions actually paid in the relevant period to the Borrower or any wholly-owned Subsidiary of the Borrower.</w:t>
      </w:r>
    </w:p>
    <w:p>
      <w:pPr>
        <w:spacing w:after="0" w:line="152" w:lineRule="exact"/>
        <w:rPr>
          <w:sz w:val="20"/>
          <w:szCs w:val="20"/>
          <w:color w:val="auto"/>
        </w:rPr>
      </w:pPr>
    </w:p>
    <w:p>
      <w:pPr>
        <w:jc w:val="both"/>
        <w:ind w:right="20"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means, as of the date of any determination thereof, total assets of the Borrower and its Subsidiaries calculated in accordance with GAAP on a consolidated basis as of such date.</w:t>
      </w:r>
    </w:p>
    <w:p>
      <w:pPr>
        <w:spacing w:after="0" w:line="151"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Indebtedness</w:t>
      </w:r>
      <w:r>
        <w:rPr>
          <w:rFonts w:ascii="Arial" w:cs="Arial" w:eastAsia="Arial" w:hAnsi="Arial"/>
          <w:sz w:val="19"/>
          <w:szCs w:val="19"/>
          <w:color w:val="auto"/>
        </w:rPr>
        <w:t>” means, as of the date of any determination thereof, the sum, without duplication, of (a) the aggregate Indebtedness of the Borrower and its Subsidiaries calculated on a consolidated basis as of such date in accordance with GAAP, (b) the aggregate amount of Indebtedness of the Borrower and its Subsidiaries relating to all letters of credit and bankers acceptances to the extent drawn and not reimbursed within three (3) Business Days and (c) Indebtedness of the type referred to in clauses (a) or (b) hereof of another Person guaranteed by the Borrower or any of its Subsidiaries.</w:t>
      </w:r>
    </w:p>
    <w:p>
      <w:pPr>
        <w:spacing w:after="0" w:line="152"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Continuing Directors</w:t>
      </w:r>
      <w:r>
        <w:rPr>
          <w:rFonts w:ascii="Arial" w:cs="Arial" w:eastAsia="Arial" w:hAnsi="Arial"/>
          <w:sz w:val="19"/>
          <w:szCs w:val="19"/>
          <w:color w:val="auto"/>
        </w:rPr>
        <w:t>” shall mean the directors of the Borrower on the Effective Date and each other director, if such other director’s election to the board of directors of the Borrower is nominated by a majority of the other Continuing Directors.</w:t>
      </w:r>
    </w:p>
    <w:p>
      <w:pPr>
        <w:spacing w:after="0" w:line="151"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means any of the following:</w:t>
      </w:r>
    </w:p>
    <w:p>
      <w:pPr>
        <w:spacing w:after="0" w:line="179" w:lineRule="exact"/>
        <w:rPr>
          <w:sz w:val="20"/>
          <w:szCs w:val="20"/>
          <w:color w:val="auto"/>
        </w:rPr>
      </w:pPr>
    </w:p>
    <w:p>
      <w:pPr>
        <w:ind w:left="1920" w:hanging="642"/>
        <w:spacing w:after="0"/>
        <w:tabs>
          <w:tab w:leader="none" w:pos="19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 C.F.R. § 252.82(b);</w:t>
      </w:r>
    </w:p>
    <w:p>
      <w:pPr>
        <w:spacing w:after="0" w:line="165" w:lineRule="exact"/>
        <w:rPr>
          <w:rFonts w:ascii="Arial" w:cs="Arial" w:eastAsia="Arial" w:hAnsi="Arial"/>
          <w:sz w:val="19"/>
          <w:szCs w:val="19"/>
          <w:color w:val="auto"/>
        </w:rPr>
      </w:pPr>
    </w:p>
    <w:p>
      <w:pPr>
        <w:ind w:left="1920" w:hanging="642"/>
        <w:spacing w:after="0"/>
        <w:tabs>
          <w:tab w:leader="none" w:pos="19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 or</w:t>
      </w:r>
    </w:p>
    <w:p>
      <w:pPr>
        <w:spacing w:after="0" w:line="152" w:lineRule="exact"/>
        <w:rPr>
          <w:rFonts w:ascii="Arial" w:cs="Arial" w:eastAsia="Arial" w:hAnsi="Arial"/>
          <w:sz w:val="19"/>
          <w:szCs w:val="19"/>
          <w:color w:val="auto"/>
        </w:rPr>
      </w:pPr>
    </w:p>
    <w:p>
      <w:pPr>
        <w:ind w:left="1920" w:hanging="642"/>
        <w:spacing w:after="0"/>
        <w:tabs>
          <w:tab w:leader="none" w:pos="19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 “covered FSI” as that term is defined in, and interpreted in accordance with, 12 C.F.R. § 382.2(b).</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Party</w:t>
      </w:r>
      <w:r>
        <w:rPr>
          <w:rFonts w:ascii="Arial" w:cs="Arial" w:eastAsia="Arial" w:hAnsi="Arial"/>
          <w:sz w:val="19"/>
          <w:szCs w:val="19"/>
          <w:color w:val="auto"/>
        </w:rPr>
        <w:t>” has the meaning assigned to it in Section 9.19.</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Event</w:t>
      </w:r>
      <w:r>
        <w:rPr>
          <w:rFonts w:ascii="Arial" w:cs="Arial" w:eastAsia="Arial" w:hAnsi="Arial"/>
          <w:sz w:val="17"/>
          <w:szCs w:val="17"/>
          <w:color w:val="auto"/>
        </w:rPr>
        <w:t>” means a Borrowing, the issuance, amendment or extension of a Letter of Credit, an LC Disbursement or any of</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the foregoing.</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Party</w:t>
      </w:r>
      <w:r>
        <w:rPr>
          <w:rFonts w:ascii="Arial" w:cs="Arial" w:eastAsia="Arial" w:hAnsi="Arial"/>
          <w:sz w:val="19"/>
          <w:szCs w:val="19"/>
          <w:color w:val="auto"/>
        </w:rPr>
        <w:t>” means the Administrative Agent, the Issuing Bank, the Swingline Lender or any other Lender.</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Cross-Default Reference Obligation</w:t>
      </w:r>
      <w:r>
        <w:rPr>
          <w:rFonts w:ascii="Arial" w:cs="Arial" w:eastAsia="Arial" w:hAnsi="Arial"/>
          <w:sz w:val="18"/>
          <w:szCs w:val="18"/>
          <w:color w:val="auto"/>
        </w:rPr>
        <w:t>” has the meaning assigned to such term in the definition of “Permitted Convertible</w:t>
      </w:r>
    </w:p>
    <w:p>
      <w:pPr>
        <w:spacing w:after="0"/>
        <w:rPr>
          <w:sz w:val="20"/>
          <w:szCs w:val="20"/>
          <w:color w:val="auto"/>
        </w:rPr>
      </w:pPr>
      <w:r>
        <w:rPr>
          <w:rFonts w:ascii="Arial" w:cs="Arial" w:eastAsia="Arial" w:hAnsi="Arial"/>
          <w:sz w:val="19"/>
          <w:szCs w:val="19"/>
          <w:color w:val="auto"/>
        </w:rPr>
        <w:t>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381" w:right="339" w:bottom="1440" w:gutter="0" w:footer="0" w:header="0"/>
        </w:sectPr>
      </w:pPr>
    </w:p>
    <w:bookmarkStart w:id="48" w:name="page49"/>
    <w:bookmarkEnd w:id="48"/>
    <w:p>
      <w:pPr>
        <w:jc w:val="both"/>
        <w:ind w:firstLine="1272"/>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SOFR</w:t>
      </w:r>
      <w:r>
        <w:rPr>
          <w:rFonts w:ascii="Arial" w:cs="Arial" w:eastAsia="Arial" w:hAnsi="Arial"/>
          <w:sz w:val="19"/>
          <w:szCs w:val="19"/>
          <w:color w:val="auto"/>
        </w:rPr>
        <w:t>” means, for any day (a “</w:t>
      </w:r>
      <w:r>
        <w:rPr>
          <w:rFonts w:ascii="Arial" w:cs="Arial" w:eastAsia="Arial" w:hAnsi="Arial"/>
          <w:sz w:val="19"/>
          <w:szCs w:val="19"/>
          <w:u w:val="single" w:color="auto"/>
          <w:color w:val="auto"/>
        </w:rPr>
        <w:t>SOFR Rate Day</w:t>
      </w:r>
      <w:r>
        <w:rPr>
          <w:rFonts w:ascii="Arial" w:cs="Arial" w:eastAsia="Arial" w:hAnsi="Arial"/>
          <w:sz w:val="19"/>
          <w:szCs w:val="19"/>
          <w:color w:val="auto"/>
        </w:rPr>
        <w:t>”), a rate per annum equal SOFR for the day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means any event or condition which constitutes an Event of Default or which upon notice, lapse of time or both would, unless cured or waived, become an Event of Default.</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Right</w:t>
      </w:r>
      <w:r>
        <w:rPr>
          <w:rFonts w:ascii="Arial" w:cs="Arial" w:eastAsia="Arial" w:hAnsi="Arial"/>
          <w:sz w:val="19"/>
          <w:szCs w:val="19"/>
          <w:color w:val="auto"/>
        </w:rPr>
        <w:t>” has the meaning assigned to that term in, and shall be interpreted in accordance with, 12 C.F.R. §§ 252.81, 47.2 or 382.1, as applicable.</w:t>
      </w:r>
    </w:p>
    <w:p>
      <w:pPr>
        <w:spacing w:after="0" w:line="151"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53"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or “</w:t>
      </w:r>
      <w:r>
        <w:rPr>
          <w:rFonts w:ascii="Arial" w:cs="Arial" w:eastAsia="Arial" w:hAnsi="Arial"/>
          <w:sz w:val="19"/>
          <w:szCs w:val="19"/>
          <w:u w:val="single" w:color="auto"/>
          <w:color w:val="auto"/>
        </w:rPr>
        <w:t>Dispose</w:t>
      </w:r>
      <w:r>
        <w:rPr>
          <w:rFonts w:ascii="Arial" w:cs="Arial" w:eastAsia="Arial" w:hAnsi="Arial"/>
          <w:sz w:val="19"/>
          <w:szCs w:val="19"/>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refers to lawful money of the United States of America.</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19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ECP</w:t>
      </w:r>
      <w:r>
        <w:rPr>
          <w:rFonts w:ascii="Arial" w:cs="Arial" w:eastAsia="Arial" w:hAnsi="Arial"/>
          <w:sz w:val="19"/>
          <w:szCs w:val="19"/>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51" w:lineRule="exact"/>
        <w:rPr>
          <w:sz w:val="20"/>
          <w:szCs w:val="20"/>
          <w:color w:val="auto"/>
        </w:rPr>
      </w:pPr>
    </w:p>
    <w:p>
      <w:pPr>
        <w:jc w:val="both"/>
        <w:ind w:firstLine="1272"/>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381" w:right="339" w:bottom="1440" w:gutter="0" w:footer="0" w:header="0"/>
        </w:sectPr>
      </w:pPr>
    </w:p>
    <w:bookmarkStart w:id="49" w:name="page50"/>
    <w:bookmarkEnd w:id="49"/>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179" w:lineRule="exact"/>
        <w:rPr>
          <w:sz w:val="20"/>
          <w:szCs w:val="20"/>
          <w:color w:val="auto"/>
        </w:rPr>
      </w:pPr>
    </w:p>
    <w:p>
      <w:pPr>
        <w:jc w:val="both"/>
        <w:ind w:firstLine="1272"/>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2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the conditions specified in Section 4.01 are satisfied (or waived in accordance with</w:t>
      </w:r>
    </w:p>
    <w:p>
      <w:pPr>
        <w:spacing w:after="0"/>
        <w:rPr>
          <w:sz w:val="20"/>
          <w:szCs w:val="20"/>
          <w:color w:val="auto"/>
        </w:rPr>
      </w:pPr>
      <w:r>
        <w:rPr>
          <w:rFonts w:ascii="Arial" w:cs="Arial" w:eastAsia="Arial" w:hAnsi="Arial"/>
          <w:sz w:val="19"/>
          <w:szCs w:val="19"/>
          <w:color w:val="auto"/>
        </w:rPr>
        <w:t>Section 9.02).</w:t>
      </w:r>
    </w:p>
    <w:p>
      <w:pPr>
        <w:spacing w:after="0" w:line="163"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Electronic Signature</w:t>
      </w:r>
      <w:r>
        <w:rPr>
          <w:rFonts w:ascii="Arial" w:cs="Arial" w:eastAsia="Arial" w:hAnsi="Arial"/>
          <w:sz w:val="19"/>
          <w:szCs w:val="19"/>
          <w:color w:val="auto"/>
        </w:rPr>
        <w:t>” means an electronic sound, symbol, or process attached to, or associated with, a contract or other record and adopted by a Person with the intent to sign, authenticate or accept such contract or record.</w:t>
      </w:r>
    </w:p>
    <w:p>
      <w:pPr>
        <w:spacing w:after="0" w:line="151"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all laws, rules, regulations, codes, ordinances, orders, decrees, judgments, injunctions or binding agreements issued, promulgated or entered into by any Governmental Authority, relating to pollution or protection of the environment or natural resources, to the management, release or threatened release of any Hazardous Material or to the protection of human health and safety from the presence of Hazardous Materials.</w:t>
      </w:r>
    </w:p>
    <w:p>
      <w:pPr>
        <w:spacing w:after="0" w:line="153" w:lineRule="exact"/>
        <w:rPr>
          <w:sz w:val="20"/>
          <w:szCs w:val="20"/>
          <w:color w:val="auto"/>
        </w:rPr>
      </w:pPr>
    </w:p>
    <w:p>
      <w:pPr>
        <w:jc w:val="both"/>
        <w:ind w:firstLine="1272"/>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2" w:lineRule="exact"/>
        <w:rPr>
          <w:sz w:val="20"/>
          <w:szCs w:val="20"/>
          <w:color w:val="auto"/>
        </w:rPr>
      </w:pPr>
    </w:p>
    <w:p>
      <w:pPr>
        <w:jc w:val="both"/>
        <w:ind w:firstLine="1272"/>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similar rights entitling the holder thereof to purchase or acquire any such equity interest, but excluding any debt securities convertible into any of the foregoing.</w:t>
      </w:r>
    </w:p>
    <w:p>
      <w:pPr>
        <w:spacing w:after="0" w:line="153"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as amended from time to time, and the rules and regulations promulgated thereunder.</w:t>
      </w:r>
    </w:p>
    <w:p>
      <w:pPr>
        <w:spacing w:after="0" w:line="151"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51" w:lineRule="exact"/>
        <w:rPr>
          <w:sz w:val="20"/>
          <w:szCs w:val="20"/>
          <w:color w:val="auto"/>
        </w:rPr>
      </w:pPr>
    </w:p>
    <w:p>
      <w:pPr>
        <w:jc w:val="both"/>
        <w:ind w:firstLine="1272"/>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under Section 4041(c) of ERISA; (e) the receipt by the Borrower or any ERISA Affiliate from the PBGC or a plan administrator of any notice relating to an intention to terminate any Plan or Plans pursuant to Section 4041(c) of ERISA or to appoint a trustee to administer any Plan pursuant to Section 4041(c) of ERISA;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is, or is expected to be, insolvent or in reorganization, within the meaning of Title IV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381" w:right="339" w:bottom="1440" w:gutter="0" w:footer="0" w:header="0"/>
        </w:sectPr>
      </w:pPr>
    </w:p>
    <w:bookmarkStart w:id="50" w:name="page51"/>
    <w:bookmarkEnd w:id="50"/>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Bail-In Legislation Schedule</w:t>
      </w:r>
      <w:r>
        <w:rPr>
          <w:rFonts w:ascii="Arial" w:cs="Arial" w:eastAsia="Arial" w:hAnsi="Arial"/>
          <w:sz w:val="19"/>
          <w:szCs w:val="19"/>
          <w:color w:val="auto"/>
        </w:rPr>
        <w:t>” means the EU Bail-In Legislation Schedule published by the Loan Market Association (or any successor Person), as in effect from time to time.</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Event of Default</w:t>
      </w:r>
      <w:r>
        <w:rPr>
          <w:rFonts w:ascii="Arial" w:cs="Arial" w:eastAsia="Arial" w:hAnsi="Arial"/>
          <w:sz w:val="19"/>
          <w:szCs w:val="19"/>
          <w:color w:val="auto"/>
        </w:rPr>
        <w:t>” has the meaning assigned to such term in Section 7.01.</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Accounts</w:t>
      </w:r>
      <w:r>
        <w:rPr>
          <w:rFonts w:ascii="Arial" w:cs="Arial" w:eastAsia="Arial" w:hAnsi="Arial"/>
          <w:sz w:val="19"/>
          <w:szCs w:val="19"/>
          <w:color w:val="auto"/>
        </w:rPr>
        <w:t>” shall have the meaning set forth in the Security Agreement.</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Assets</w:t>
      </w:r>
      <w:r>
        <w:rPr>
          <w:rFonts w:ascii="Arial" w:cs="Arial" w:eastAsia="Arial" w:hAnsi="Arial"/>
          <w:sz w:val="17"/>
          <w:szCs w:val="17"/>
          <w:color w:val="auto"/>
        </w:rPr>
        <w:t xml:space="preserve">” means, collectively: (a) motor vehicles and other assets subject to a certificate of title statute except to the extent perfection of a security interest therein may be accomplished by filing of financing statements in appropriate form in a central filing office located in the jurisdiction in which the granting Loan Party is organized, (b) any fee-owned real property and all leasehold or other occupancy or use (other than ownership) interests in real property, (c) assets subject to a Lien securing Capital Lease Obligations, purchase money debt obligations or other Indebtedness or obligations of the Borrower or any Subsidiary incurred to finance the acquisition, construction, repair, replacement, lease or improvement of any such assets (including any amendments, modifications, extensions, refinancings, renewals and replacements of any of the foregoing), in each case permitted under this Agreement, if the contract or other agreement in which such Lien is granted prohibits the creation of any other Lien on such assets or requires any consent or establishes any other conditions for or would result in the termination of such contract or other because of an assignment thereof, or a grant of a security interest therein (other than to the extent that any such prohibition or other applicable provisions would be rendered ineffective pursuant to the UCC of any relevant jurisdiction or any other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asset (i) will be an Excluded Asset pursuant to this clause (c) only to the extent and for so long as the consequences specified above will result and (ii) will cease to be an Excluded Asset pursuant to this clause (c) and will become subject to the Lien granted hereunder (unless otherwise constituting an Excluded Asset), immediately and automatically, at such time as such consequences will no longer result, (d) any lease, license, permit, contract, property right or agreement to which any Loan Party is a party or any of its rights or interests thereunder or property rights are subject if and only for so long as the grant of a Lien hereunder is prohibited by any law, rule or regulation or order of any Governmental Authority or will constitute or result in a breach, termination or default, or requires any consent not obtained, under any such lease, license, permit, contract, property right or agreement, or the grant of a security interest or lien on such right or interest would result in the abandonment, invalidation or unenforceability of such right or interest (other than to the extent that any such applicable law, rule, regulation or term would be rendered ineffective pursuant to the UCC of any relevant jurisdiction or any other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lease, license, permit, contract, property right or agreement will be an Excluded Asset only to the extent and for so long as the consequences specified above will result and will cease to be an Excluded Asset and will become subject to the Lien granted hereunder (unless otherwise constituting an Excluded Asset), immediately and automatically, at such time as such consequences will no longer result, (e) any portion of the issued and outstanding Equity Interests of a Subsidiary not required to be subject to a perfected lien in favor of the Administrative Agent in accordance with Section 5.09(b) hereof, (f) any applications for trademarks or service marks filed in the United States Patent and Trademark Office (“</w:t>
      </w:r>
      <w:r>
        <w:rPr>
          <w:rFonts w:ascii="Arial" w:cs="Arial" w:eastAsia="Arial" w:hAnsi="Arial"/>
          <w:sz w:val="17"/>
          <w:szCs w:val="17"/>
          <w:u w:val="single" w:color="auto"/>
          <w:color w:val="auto"/>
        </w:rPr>
        <w:t>PTO</w:t>
      </w:r>
      <w:r>
        <w:rPr>
          <w:rFonts w:ascii="Arial" w:cs="Arial" w:eastAsia="Arial" w:hAnsi="Arial"/>
          <w:sz w:val="17"/>
          <w:szCs w:val="17"/>
          <w:color w:val="auto"/>
        </w:rPr>
        <w:t xml:space="preserve">”), or any successor office thereto pursuant to 15 U.S.C. §1051 Section 1(b) unless and until evidence of use of the mark in interstate commerce is submitted to the PTO pursuant to 15 U.S.C. §1051 Section 1(c) or Section 1(d), (g) Equity Interests in entities where a Loan Party holds 50% or less of the outstanding Equity Interests of such entity, to the extent a pledge of such Equity Interests is prohibited by the organizational documents or agreements with the other equity holders of such entity, (h) Excluded Accounts, (i) Equity Interests constituting Investments permitted pursuant to Section 6.05(t) and (j) any particular assets if, in the reasonable judgment of the Administrative Agent and the Borrower, the burden, cost or consequences of creating or perfecting such pledges or security interests in such assets is excessive in relation to the benefits to be obtained therefrom by the Lenders under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“Excluded Assets” shall not include any proceeds, products, substitutions or replacements of Excluded Assets (unless such proceeds, products, substitutions or replacements would otherwise constitute Excluded Assets).</w:t>
      </w:r>
    </w:p>
    <w:p>
      <w:pPr>
        <w:spacing w:after="0" w:line="157"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Subsidiary</w:t>
      </w:r>
      <w:r>
        <w:rPr>
          <w:rFonts w:ascii="Arial" w:cs="Arial" w:eastAsia="Arial" w:hAnsi="Arial"/>
          <w:sz w:val="19"/>
          <w:szCs w:val="19"/>
          <w:color w:val="auto"/>
        </w:rPr>
        <w:t>” means (i) any Subsidiary that is prohibited from guaranteeing the Secured Obligations pursuant to contractual obligations (solely with respect to any Subsidiary acquired after the Effective Date, to the extent in existence at the time of acquisition but not entered into in contemplation thereof and, in any such case, other than any contractual obligation in favor of the Borrower or any of its Subsidiaries) or by applicable law, rule or regulation or if such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381" w:right="339" w:bottom="1440" w:gutter="0" w:footer="0" w:header="0"/>
        </w:sectPr>
      </w:pPr>
    </w:p>
    <w:bookmarkStart w:id="51" w:name="page52"/>
    <w:bookmarkEnd w:id="51"/>
    <w:p>
      <w:pPr>
        <w:jc w:val="both"/>
        <w:spacing w:after="0" w:line="236" w:lineRule="auto"/>
        <w:rPr>
          <w:sz w:val="20"/>
          <w:szCs w:val="20"/>
          <w:color w:val="auto"/>
        </w:rPr>
      </w:pPr>
      <w:r>
        <w:rPr>
          <w:rFonts w:ascii="Arial" w:cs="Arial" w:eastAsia="Arial" w:hAnsi="Arial"/>
          <w:sz w:val="17"/>
          <w:szCs w:val="17"/>
          <w:color w:val="auto"/>
        </w:rPr>
        <w:t xml:space="preserve">guaranteeing the Secured Obligations would require governmental (including regulatory) consent, approval, license or authorization (unless such consent, approval, license or authorization has been obtained), (ii) any Subsidiary formed or organized in a jurisdiction other than the United States, (iii) CommVault Tinton Falls Urban Renewal, LLC, a New Jersey limited liability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Subsidiary (x) will be an Excluded Subsidiary pursuant to this clause (iii) only to the extent and for so long as the organizational documents of such Subsidiary restrict or prohibit such Subsidiary from pledging its assets or providing a guarantee and (y) will cease to be an Excluded Subsidiary pursuant to this clause (iii) and will comply with the requirements of Section 5.09 (unless otherwise constituting an Excluded Subsidiary) at such time as such consequences will no longer result and (iv) any other Subsidiary with respect to which the Administrative Agent and the Borrower reasonably agree that the burden or cost to the Borrower or its Subsidiaries (as reasonably determined by the Borrower in consultation with the Administrative Agent) of guaranteeing the Secured Obligations shall outweigh the benefits to be obtained by the Lenders therefrom.</w:t>
      </w:r>
    </w:p>
    <w:p>
      <w:pPr>
        <w:spacing w:after="0" w:line="152" w:lineRule="exact"/>
        <w:rPr>
          <w:sz w:val="20"/>
          <w:szCs w:val="20"/>
          <w:color w:val="auto"/>
        </w:rPr>
      </w:pPr>
    </w:p>
    <w:p>
      <w:pPr>
        <w:jc w:val="both"/>
        <w:ind w:firstLine="1272"/>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or would become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52" w:lineRule="exact"/>
        <w:rPr>
          <w:sz w:val="20"/>
          <w:szCs w:val="20"/>
          <w:color w:val="auto"/>
        </w:rPr>
      </w:pPr>
    </w:p>
    <w:p>
      <w:pPr>
        <w:jc w:val="both"/>
        <w:ind w:firstLine="1272"/>
        <w:spacing w:after="0" w:line="23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w:t>
      </w:r>
    </w:p>
    <w:p>
      <w:pPr>
        <w:jc w:val="both"/>
        <w:ind w:firstLine="6"/>
        <w:spacing w:after="0" w:line="225" w:lineRule="auto"/>
        <w:tabs>
          <w:tab w:leader="none" w:pos="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Lender acquires such interest in the Loan, Letter of Credit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w:t>
      </w:r>
    </w:p>
    <w:p>
      <w:pPr>
        <w:spacing w:after="0" w:line="153" w:lineRule="exact"/>
        <w:rPr>
          <w:sz w:val="20"/>
          <w:szCs w:val="20"/>
          <w:color w:val="auto"/>
        </w:rPr>
      </w:pPr>
    </w:p>
    <w:p>
      <w:pPr>
        <w:jc w:val="both"/>
        <w:ind w:firstLine="1272"/>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any intergovernmental agreement entered into among Governmental Authorities pursuant to the foregoing and any fiscal or regulatory legislation, rules or practices adopted pursuant to any such intergovernmental agreement, or any treaty or convention among Governmental Authorities and implementing the foregoing.</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FCA</w:t>
      </w:r>
      <w:r>
        <w:rPr>
          <w:rFonts w:ascii="Arial" w:cs="Arial" w:eastAsia="Arial" w:hAnsi="Arial"/>
          <w:sz w:val="19"/>
          <w:szCs w:val="19"/>
          <w:color w:val="auto"/>
        </w:rPr>
        <w:t>” has the meaning assigned to such term in Section 1.05.</w:t>
      </w:r>
    </w:p>
    <w:p>
      <w:pPr>
        <w:spacing w:after="0" w:line="179" w:lineRule="exact"/>
        <w:rPr>
          <w:sz w:val="20"/>
          <w:szCs w:val="20"/>
          <w:color w:val="auto"/>
        </w:rPr>
      </w:pPr>
    </w:p>
    <w:p>
      <w:pPr>
        <w:jc w:val="both"/>
        <w:ind w:firstLine="1272"/>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zero, such rate shall be deemed to be zero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381" w:right="339" w:bottom="1440" w:gutter="0" w:footer="0" w:header="0"/>
        </w:sectPr>
      </w:pPr>
    </w:p>
    <w:bookmarkStart w:id="52" w:name="page53"/>
    <w:bookmarkEnd w:id="52"/>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Release Conditions</w:t>
      </w:r>
      <w:r>
        <w:rPr>
          <w:rFonts w:ascii="Arial" w:cs="Arial" w:eastAsia="Arial" w:hAnsi="Arial"/>
          <w:sz w:val="19"/>
          <w:szCs w:val="19"/>
          <w:color w:val="auto"/>
        </w:rPr>
        <w:t>” has the meaning assigned to such term in Section 9.14(c).</w:t>
      </w:r>
    </w:p>
    <w:p>
      <w:pPr>
        <w:spacing w:after="0" w:line="179"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chief accounting officer, or controller of the Borrower or any other Person designated as a “Financial Officer” by any of the foregoing officers in writing to the Administrative Agent and reasonably acceptable to the Administrative Agent.</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Financials</w:t>
      </w:r>
      <w:r>
        <w:rPr>
          <w:rFonts w:ascii="Arial" w:cs="Arial" w:eastAsia="Arial" w:hAnsi="Arial"/>
          <w:sz w:val="19"/>
          <w:szCs w:val="19"/>
          <w:color w:val="auto"/>
        </w:rPr>
        <w:t>” means the annual or quarterly financial statements, and accompanying certificates and other documents, of the Borrower and its Subsidiaries required to be delivered pursuant to Section 5.01(a) or 5.01(b).</w:t>
      </w:r>
    </w:p>
    <w:p>
      <w:pPr>
        <w:spacing w:after="0" w:line="151" w:lineRule="exact"/>
        <w:rPr>
          <w:sz w:val="20"/>
          <w:szCs w:val="20"/>
          <w:color w:val="auto"/>
        </w:rPr>
      </w:pPr>
    </w:p>
    <w:p>
      <w:pPr>
        <w:jc w:val="both"/>
        <w:ind w:firstLine="1272"/>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Tier Foreign Subsidiary</w:t>
      </w:r>
      <w:r>
        <w:rPr>
          <w:rFonts w:ascii="Arial" w:cs="Arial" w:eastAsia="Arial" w:hAnsi="Arial"/>
          <w:sz w:val="18"/>
          <w:szCs w:val="18"/>
          <w:color w:val="auto"/>
        </w:rPr>
        <w:t>” means each Foreign Subsidiary with respect to which any one or more of the Borrower and its Domestic Subsidiaries directly owns or Controls more than 50% of such Foreign Subsidiary’s issued and outstanding Equity Interests.</w:t>
      </w:r>
    </w:p>
    <w:p>
      <w:pPr>
        <w:spacing w:after="0" w:line="133"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Floor</w:t>
      </w:r>
      <w:r>
        <w:rPr>
          <w:rFonts w:ascii="Arial" w:cs="Arial" w:eastAsia="Arial" w:hAnsi="Arial"/>
          <w:sz w:val="19"/>
          <w:szCs w:val="19"/>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and the Adjusted Daily Simple SOFR shall be 0.00%.</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means a Lender that is not a U.S. Person.</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w:t>
      </w:r>
      <w:r>
        <w:rPr>
          <w:rFonts w:ascii="Arial" w:cs="Arial" w:eastAsia="Arial" w:hAnsi="Arial"/>
          <w:sz w:val="19"/>
          <w:szCs w:val="19"/>
          <w:color w:val="auto"/>
        </w:rPr>
        <w:t>” means any Subsidiary which is not a Domestic Subsidiary.</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of America.</w:t>
      </w:r>
    </w:p>
    <w:p>
      <w:pPr>
        <w:spacing w:after="0" w:line="179"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53"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The amount of any Guarantee shall be deemed to be an amount equal to the lesser of (i) the stated or determinable amount of the primary payment obligation in respect of which such Guarantee is made and (ii)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Borrower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381" w:right="339" w:bottom="1440" w:gutter="0" w:footer="0" w:header="0"/>
        </w:sectPr>
      </w:pPr>
    </w:p>
    <w:bookmarkStart w:id="53" w:name="page54"/>
    <w:bookmarkEnd w:id="53"/>
    <w:p>
      <w:pPr>
        <w:jc w:val="both"/>
        <w:ind w:firstLine="1272"/>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Increasing Lender</w:t>
      </w:r>
      <w:r>
        <w:rPr>
          <w:rFonts w:ascii="Arial" w:cs="Arial" w:eastAsia="Arial" w:hAnsi="Arial"/>
          <w:sz w:val="19"/>
          <w:szCs w:val="19"/>
          <w:color w:val="auto"/>
        </w:rPr>
        <w:t>” has the meaning assigned to such term in Section 2.20.</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has the meaning assigned to such term in Section 2.20.</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Term Loan Amendment</w:t>
      </w:r>
      <w:r>
        <w:rPr>
          <w:rFonts w:ascii="Arial" w:cs="Arial" w:eastAsia="Arial" w:hAnsi="Arial"/>
          <w:sz w:val="19"/>
          <w:szCs w:val="19"/>
          <w:color w:val="auto"/>
        </w:rPr>
        <w:t>” has the meaning assigned to such term in Section 2.20.</w:t>
      </w:r>
    </w:p>
    <w:p>
      <w:pPr>
        <w:spacing w:after="0" w:line="179" w:lineRule="exact"/>
        <w:rPr>
          <w:sz w:val="20"/>
          <w:szCs w:val="20"/>
          <w:color w:val="auto"/>
        </w:rPr>
      </w:pPr>
    </w:p>
    <w:p>
      <w:pPr>
        <w:jc w:val="both"/>
        <w:ind w:firstLine="1272"/>
        <w:spacing w:after="0" w:line="2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of any Person means, without duplication, (a) all obligations of such Person for borrowed money,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(x) trade accounts payable in the ordinary course of business, (y) any earn-out, deferred or similar obligations until such obligation becomes a liability on the balance sheet of such Person in accordance with GAAP and if not paid after becoming due and payable and (z) expenses accrued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Person has not assumed or otherwise become liable in respect of such Indebtedness, such obligations shall be deemed to be in an amount equal to the lesser of (i) the amount of such Indebtedness and (ii) the fair market value of such property at the time of determination (in the Borrower’s good faith estimate)), (g) all Guarantees by such Person of Indebtedness of others,</w:t>
      </w:r>
    </w:p>
    <w:p>
      <w:pPr>
        <w:spacing w:after="0" w:line="5" w:lineRule="exact"/>
        <w:rPr>
          <w:sz w:val="20"/>
          <w:szCs w:val="20"/>
          <w:color w:val="auto"/>
        </w:rPr>
      </w:pPr>
    </w:p>
    <w:p>
      <w:pPr>
        <w:jc w:val="both"/>
        <w:ind w:firstLine="6"/>
        <w:spacing w:after="0" w:line="219" w:lineRule="auto"/>
        <w:tabs>
          <w:tab w:leader="none" w:pos="2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Capital Lease Obligations of such Person, (i) all obligations, contingent or otherwise, of such Person as an account party in respect of letters of credit and letters of guaranty, (j) all obligations, contingent or otherwise, of such Person in respect of bankers’ acceptances and (k) all obligations of such Person under Sale and Leaseback Transactions. The Indebtedness of any Person shall include the Indebtedness of any other entity (including any partnership in which such Person is a general partner) to the extent such Person is liable therefor by operation of law as a result of such Person’s ownership interest in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 (x) such specified amount and (y) the fair market value of such identified asset as determined by such Person in good faith. Notwithstanding anything to the contrary in this definition, the term “Indebtedness” shall not include (i) deferred or prepaid revenue, (ii) purchase price holdbacks in respect of a portion of the purchase price of an asset to satisfy warranty or other unperformed obligations of the respective seller, (iii) obligations under Sale and Leaseback Transactions to the extent such obligations are not reflected as a liability on the consolidated balance sheet of the Borrower or (iv) obligations under any Swap Agreements. Notwithstanding anything to the contrary in the foregoing, any Permitted Bond Hedge Transaction, any Permitted Warrant Transaction and any obligations thereunder, in each case, shall not constitute Indebtedness of the Borrower.</w:t>
      </w:r>
    </w:p>
    <w:p>
      <w:pPr>
        <w:spacing w:after="0" w:line="152"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means (a) Taxes, other than Excluded Taxes, imposed on or with respect to any payment made by or on account of any obligation of any Loan Party under any Loan Document and (b) to the extent not otherwise described in clause (a) hereof, Other Taxes.</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w:t>
      </w:r>
      <w:r>
        <w:rPr>
          <w:rFonts w:ascii="Arial" w:cs="Arial" w:eastAsia="Arial" w:hAnsi="Arial"/>
          <w:sz w:val="19"/>
          <w:szCs w:val="19"/>
          <w:color w:val="auto"/>
        </w:rPr>
        <w:t>” has the meaning assigned to such term in Section 9.03(c).</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Ineligible Institution</w:t>
      </w:r>
      <w:r>
        <w:rPr>
          <w:rFonts w:ascii="Arial" w:cs="Arial" w:eastAsia="Arial" w:hAnsi="Arial"/>
          <w:sz w:val="19"/>
          <w:szCs w:val="19"/>
          <w:color w:val="auto"/>
        </w:rPr>
        <w:t>” has the meaning assigned to such term in Section 9.04(b).</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Information</w:t>
      </w:r>
      <w:r>
        <w:rPr>
          <w:rFonts w:ascii="Arial" w:cs="Arial" w:eastAsia="Arial" w:hAnsi="Arial"/>
          <w:sz w:val="19"/>
          <w:szCs w:val="19"/>
          <w:color w:val="auto"/>
        </w:rPr>
        <w:t>” has the meaning assigned to such term in Section 9.12.</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Coverage Ratio</w:t>
      </w:r>
      <w:r>
        <w:rPr>
          <w:rFonts w:ascii="Arial" w:cs="Arial" w:eastAsia="Arial" w:hAnsi="Arial"/>
          <w:sz w:val="19"/>
          <w:szCs w:val="19"/>
          <w:color w:val="auto"/>
        </w:rPr>
        <w:t>” has the meaning assigned to such term in Section 6.12(b).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1381" w:right="339" w:bottom="1440" w:gutter="0" w:footer="0" w:header="0"/>
        </w:sectPr>
      </w:pPr>
    </w:p>
    <w:bookmarkStart w:id="54" w:name="page55"/>
    <w:bookmarkEnd w:id="54"/>
    <w:p>
      <w:pPr>
        <w:jc w:val="both"/>
        <w:ind w:firstLine="1272"/>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to convert or continue a Borrowing in accordance with Section 2.08, which shall be substantially in the form attached hereto as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or any other form approved by the Administrative Agent.</w:t>
      </w:r>
    </w:p>
    <w:p>
      <w:pPr>
        <w:spacing w:after="0" w:line="133" w:lineRule="exact"/>
        <w:rPr>
          <w:sz w:val="20"/>
          <w:szCs w:val="20"/>
          <w:color w:val="auto"/>
        </w:rPr>
      </w:pPr>
    </w:p>
    <w:p>
      <w:pPr>
        <w:jc w:val="both"/>
        <w:ind w:firstLine="1272"/>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means (a) with respect to any ABR Loan (other than a Swingline Loan), the last day of each March, June, September and December and the Maturity Date, (b) with respect to any RFR Loan, each date that is on the numerically corresponding day in each calendar month that is one month after the Borrowing of such Loan (or, if there is no such numerically corresponding day in such month, then the last day of such month) and the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and (d) with respect to any Swingline Loan, the day that such Loan is required to be repaid and the Maturity Date.</w:t>
      </w:r>
    </w:p>
    <w:p>
      <w:pPr>
        <w:spacing w:after="0" w:line="152" w:lineRule="exact"/>
        <w:rPr>
          <w:sz w:val="20"/>
          <w:szCs w:val="20"/>
          <w:color w:val="auto"/>
        </w:rPr>
      </w:pPr>
    </w:p>
    <w:p>
      <w:pPr>
        <w:jc w:val="both"/>
        <w:ind w:firstLine="1272"/>
        <w:spacing w:after="0" w:line="23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has the meaning assigned to such term in Section 6.05.</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IRS</w:t>
      </w:r>
      <w:r>
        <w:rPr>
          <w:rFonts w:ascii="Arial" w:cs="Arial" w:eastAsia="Arial" w:hAnsi="Arial"/>
          <w:sz w:val="19"/>
          <w:szCs w:val="19"/>
          <w:color w:val="auto"/>
        </w:rPr>
        <w:t>” means the United States Internal Revenue Service.</w:t>
      </w:r>
    </w:p>
    <w:p>
      <w:pPr>
        <w:spacing w:after="0" w:line="179"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ISDA Definitions</w:t>
      </w:r>
      <w:r>
        <w:rPr>
          <w:rFonts w:ascii="Arial" w:cs="Arial" w:eastAsia="Arial" w:hAnsi="Arial"/>
          <w:sz w:val="19"/>
          <w:szCs w:val="19"/>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51"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Bank</w:t>
      </w:r>
      <w:r>
        <w:rPr>
          <w:rFonts w:ascii="Arial" w:cs="Arial" w:eastAsia="Arial" w:hAnsi="Arial"/>
          <w:sz w:val="19"/>
          <w:szCs w:val="19"/>
          <w:color w:val="auto"/>
        </w:rPr>
        <w:t>” means JPMorgan Chase Bank, N.A., in its capacity as the issuer of Letters of Credit hereunder, and its successors in such capacity as provided in Section 2.06(i). The Issuing Bank may, in its discretion, arrange for one or more Letters of Credit to be issued by Affiliates of the Issuing Bank, in which case the term “Issuing Bank” shall include any such Affiliate with respect to Letters of Credit issued by such Affiliate.</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Judgment Currency</w:t>
      </w:r>
      <w:r>
        <w:rPr>
          <w:rFonts w:ascii="Arial" w:cs="Arial" w:eastAsia="Arial" w:hAnsi="Arial"/>
          <w:sz w:val="19"/>
          <w:szCs w:val="19"/>
          <w:color w:val="auto"/>
        </w:rPr>
        <w:t>” has the meaning assigned to such term in Section 9.20.</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Collateral Account</w:t>
      </w:r>
      <w:r>
        <w:rPr>
          <w:rFonts w:ascii="Arial" w:cs="Arial" w:eastAsia="Arial" w:hAnsi="Arial"/>
          <w:sz w:val="19"/>
          <w:szCs w:val="19"/>
          <w:color w:val="auto"/>
        </w:rPr>
        <w:t>” has the meaning assigned to such term in Section 2.06(j).</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Disbursement</w:t>
      </w:r>
      <w:r>
        <w:rPr>
          <w:rFonts w:ascii="Arial" w:cs="Arial" w:eastAsia="Arial" w:hAnsi="Arial"/>
          <w:sz w:val="19"/>
          <w:szCs w:val="19"/>
          <w:color w:val="auto"/>
        </w:rPr>
        <w:t>” means a payment made by the Issuing Bank pursuant to a Letter of Credit.</w:t>
      </w:r>
    </w:p>
    <w:p>
      <w:pPr>
        <w:spacing w:after="0" w:line="179"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w:t>
      </w:r>
      <w:r>
        <w:rPr>
          <w:rFonts w:ascii="Arial" w:cs="Arial" w:eastAsia="Arial" w:hAnsi="Arial"/>
          <w:sz w:val="19"/>
          <w:szCs w:val="19"/>
          <w:color w:val="auto"/>
        </w:rPr>
        <w:t xml:space="preserve">” means, at any time, the sum of (a) the aggregate undrawn amount of all outstanding Letters of Credit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aggregate amount of all LC Disbursements that have not yet been reimbursed by or on behalf of the Borrower at such time. The LC Exposure of any Lender at any time shall be its Applicable Percentage of the LC Exposure at such time. For all purposes of this Agreement, if on any date of determination a Letter of Credit has expired by its terms but any amount may still be drawn thereunder by reason of the operation of Article 29(a) of the Uniform Customs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1381" w:right="339" w:bottom="1440" w:gutter="0" w:footer="0" w:header="0"/>
        </w:sectPr>
      </w:pPr>
    </w:p>
    <w:bookmarkStart w:id="55" w:name="page56"/>
    <w:bookmarkEnd w:id="55"/>
    <w:p>
      <w:pPr>
        <w:jc w:val="both"/>
        <w:spacing w:after="0" w:line="213" w:lineRule="auto"/>
        <w:rPr>
          <w:sz w:val="20"/>
          <w:szCs w:val="20"/>
          <w:color w:val="auto"/>
        </w:rPr>
      </w:pPr>
      <w:r>
        <w:rPr>
          <w:rFonts w:ascii="Arial" w:cs="Arial" w:eastAsia="Arial" w:hAnsi="Arial"/>
          <w:sz w:val="19"/>
          <w:szCs w:val="19"/>
          <w:color w:val="auto"/>
        </w:rPr>
        <w:t>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Parent</w:t>
      </w:r>
      <w:r>
        <w:rPr>
          <w:rFonts w:ascii="Arial" w:cs="Arial" w:eastAsia="Arial" w:hAnsi="Arial"/>
          <w:sz w:val="17"/>
          <w:szCs w:val="17"/>
          <w:color w:val="auto"/>
        </w:rPr>
        <w:t>” means, with respect to any Lender, any Person as to which such Lender is, directly or indirectly, a subsidiary.</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Lender-Related Person</w:t>
      </w:r>
      <w:r>
        <w:rPr>
          <w:rFonts w:ascii="Arial" w:cs="Arial" w:eastAsia="Arial" w:hAnsi="Arial"/>
          <w:sz w:val="19"/>
          <w:szCs w:val="19"/>
          <w:color w:val="auto"/>
        </w:rPr>
        <w:t>” has the meaning assigned to such term in Section 9.03(b).</w:t>
      </w:r>
    </w:p>
    <w:p>
      <w:pPr>
        <w:spacing w:after="0" w:line="179"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means the Persons listed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and any other Person that shall have become a Lender hereunder pursuant to Section 2.20 or pursuant to an Assignment and Assumption or otherwise, other than any such Person that ceases to be a party hereto pursuant to an Assignment and Assumption or otherwise. Unless the context otherwise requires, the term “Lenders” includes the Swingline Lender and the Issuing Bank.</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means any letter of credit issued pursuant to this Agreement.</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Agreement</w:t>
      </w:r>
      <w:r>
        <w:rPr>
          <w:rFonts w:ascii="Arial" w:cs="Arial" w:eastAsia="Arial" w:hAnsi="Arial"/>
          <w:sz w:val="19"/>
          <w:szCs w:val="19"/>
          <w:color w:val="auto"/>
        </w:rPr>
        <w:t>” has the meaning assigned to such term in Section 2.06(b).</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Leverage Ratio</w:t>
      </w:r>
      <w:r>
        <w:rPr>
          <w:rFonts w:ascii="Arial" w:cs="Arial" w:eastAsia="Arial" w:hAnsi="Arial"/>
          <w:sz w:val="19"/>
          <w:szCs w:val="19"/>
          <w:color w:val="auto"/>
        </w:rPr>
        <w:t>” has the meaning assigned to such term in Section 6.12(a).</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losses, claims (including intraparty claims), demands, damages, penalties or liabilities of any kind.</w:t>
      </w:r>
    </w:p>
    <w:p>
      <w:pPr>
        <w:spacing w:after="0" w:line="191" w:lineRule="exact"/>
        <w:rPr>
          <w:sz w:val="20"/>
          <w:szCs w:val="20"/>
          <w:color w:val="auto"/>
        </w:rPr>
      </w:pPr>
    </w:p>
    <w:p>
      <w:pPr>
        <w:jc w:val="both"/>
        <w:ind w:right="20" w:firstLine="1272"/>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54"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(including schedules and exhibits hereto), any promissory notes issued pursuant to Section 2.10(e), any Letter of Credit applications, any Letter of Credit Agreement, the Collateral Documents, the Subsidiary Guaranty, and all other agreements, instruments, documents and certificates identified in Section 4.01 executed and delivered to, or in favor of, the Administrative Agent or any Lenders.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Parties</w:t>
      </w:r>
      <w:r>
        <w:rPr>
          <w:rFonts w:ascii="Arial" w:cs="Arial" w:eastAsia="Arial" w:hAnsi="Arial"/>
          <w:sz w:val="19"/>
          <w:szCs w:val="19"/>
          <w:color w:val="auto"/>
        </w:rPr>
        <w:t>” means, collectively, the Borrower and the Subsidiary Guarantors.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Loans</w:t>
      </w:r>
      <w:r>
        <w:rPr>
          <w:rFonts w:ascii="Arial" w:cs="Arial" w:eastAsia="Arial" w:hAnsi="Arial"/>
          <w:sz w:val="19"/>
          <w:szCs w:val="19"/>
          <w:color w:val="auto"/>
        </w:rPr>
        <w:t>” means the loans made by the Lenders to the Borrower pursuant to this Agreement.</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Margin Stock</w:t>
      </w:r>
      <w:r>
        <w:rPr>
          <w:rFonts w:ascii="Arial" w:cs="Arial" w:eastAsia="Arial" w:hAnsi="Arial"/>
          <w:sz w:val="19"/>
          <w:szCs w:val="19"/>
          <w:color w:val="auto"/>
        </w:rPr>
        <w:t>” means margin stock within the meaning of Regulations T, U and X, as applicable.</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(a) the business, assets, operations or financial condition of the Borrower and the Subsidiaries taken as a whole, (b) the 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381" w:right="339" w:bottom="1440" w:gutter="0" w:footer="0" w:header="0"/>
        </w:sectPr>
      </w:pPr>
    </w:p>
    <w:bookmarkStart w:id="56" w:name="page57"/>
    <w:bookmarkEnd w:id="56"/>
    <w:p>
      <w:pPr>
        <w:jc w:val="both"/>
        <w:spacing w:after="0" w:line="238" w:lineRule="auto"/>
        <w:rPr>
          <w:sz w:val="20"/>
          <w:szCs w:val="20"/>
          <w:color w:val="auto"/>
        </w:rPr>
      </w:pPr>
      <w:r>
        <w:rPr>
          <w:rFonts w:ascii="Arial" w:cs="Arial" w:eastAsia="Arial" w:hAnsi="Arial"/>
          <w:sz w:val="18"/>
          <w:szCs w:val="18"/>
          <w:color w:val="auto"/>
        </w:rPr>
        <w:t>the Borrower to perform any of its obligations under this Agreement, (c) the ability of the Loan Parties (taken as a whole) to perform their respective material obligations under the Loan Documents (taken as a whole) or (d) the validity or enforceability of this Agreement or any and all other Loan Documents or the material rights or remedies of the Administrative Agent and the Lenders thereunder.</w:t>
      </w:r>
    </w:p>
    <w:p>
      <w:pPr>
        <w:spacing w:after="0" w:line="153" w:lineRule="exact"/>
        <w:rPr>
          <w:sz w:val="20"/>
          <w:szCs w:val="20"/>
          <w:color w:val="auto"/>
        </w:rPr>
      </w:pPr>
    </w:p>
    <w:p>
      <w:pPr>
        <w:jc w:val="both"/>
        <w:ind w:firstLine="1272"/>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Domestic Subsidiary</w:t>
      </w:r>
      <w:r>
        <w:rPr>
          <w:rFonts w:ascii="Arial" w:cs="Arial" w:eastAsia="Arial" w:hAnsi="Arial"/>
          <w:sz w:val="18"/>
          <w:szCs w:val="18"/>
          <w:color w:val="auto"/>
        </w:rPr>
        <w:t xml:space="preserve">” means each Domestic Subsidiary (i) which, as of the most recent fiscal quarter of the Borrower, for the period of four consecutive fiscal quarters then ended, for which financial statements have been delivered pursuant to Section 5.01(a) or (b) (or, if prior to the date of the delivery of the first financial statements to be delivered pursuant to Section 5.01(a) or (b), the most recent financial statements referred to in Section 3.04(a)), contributed greater than five percent (5.0%) of Consolidated EBITDA for such period or (ii) which contributed greater than five percent (5.0%) of Consolidated Total Assets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the aggregate amount of Consolidated EBITDA or Consolidated Total Assets attributable to all Domestic Subsidiaries that are not Material Domestic Subsidiaries exceeds ten percent (10.0%) of Consolidated EBITDA for any such period or ten percent (10.0%) of Consolidated Total Assets as of the end of any such fiscal quarter, the Borrower (or, in the event the Borrower has failed to do so within ten (10) days, the Administrative Agent) shall designate sufficient Domestic Subsidiaries as “Material Domestic Subsidiaries” to eliminate such excess, and such designated Subsidiaries shall for all purposes of this Agreement constitute Material Domestic Subsidiaries.</w:t>
      </w:r>
    </w:p>
    <w:p>
      <w:pPr>
        <w:spacing w:after="0" w:line="152"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Foreign Subsidiary</w:t>
      </w:r>
      <w:r>
        <w:rPr>
          <w:rFonts w:ascii="Arial" w:cs="Arial" w:eastAsia="Arial" w:hAnsi="Arial"/>
          <w:sz w:val="19"/>
          <w:szCs w:val="19"/>
          <w:color w:val="auto"/>
        </w:rPr>
        <w:t>” means each Foreign Subsidiary which contributed greater than five percent (5.0%) of Consolidated Total Assets as of the applicable date of determination.</w:t>
      </w:r>
    </w:p>
    <w:p>
      <w:pPr>
        <w:spacing w:after="0" w:line="151"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means Indebtedness (other than the Loans and Letters of Credit), or obligations in respect of one or more Swap Agreements, of any one or more of the Borrower and its Subsidiaries in an aggregate principal amount exceeding $25,000,000.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means each Material Domestic Subsidiary and each Material Foreign Subsidiary.</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xml:space="preserve">” means December 13, 2026;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date is not a Business Day, the Maturity Date shall be the next preceding Business Day.</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Maximum Rate</w:t>
      </w:r>
      <w:r>
        <w:rPr>
          <w:rFonts w:ascii="Arial" w:cs="Arial" w:eastAsia="Arial" w:hAnsi="Arial"/>
          <w:sz w:val="19"/>
          <w:szCs w:val="19"/>
          <w:color w:val="auto"/>
        </w:rPr>
        <w:t>” has the meaning assigned to such term in Section 9.16.</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means Moody’s Investors Service, Inc.</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 multiemployer plan as defined in Section 4001(a)(3) of ERISA.</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has the meaning assigned to such term in Section 9.02(e).</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w:t>
      </w:r>
      <w:r>
        <w:rPr>
          <w:rFonts w:ascii="Arial" w:cs="Arial" w:eastAsia="Arial" w:hAnsi="Arial"/>
          <w:sz w:val="19"/>
          <w:szCs w:val="19"/>
          <w:color w:val="auto"/>
        </w:rPr>
        <w:t>” means the Federal Reserve Bank of New York.</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NYFRB’s Website</w:t>
      </w:r>
      <w:r>
        <w:rPr>
          <w:rFonts w:ascii="Arial" w:cs="Arial" w:eastAsia="Arial" w:hAnsi="Arial"/>
          <w:sz w:val="19"/>
          <w:szCs w:val="19"/>
          <w:color w:val="auto"/>
        </w:rPr>
        <w:t>” means the website of the NYFRB at http://www.newyorkfed.org, or any successor source.</w:t>
      </w:r>
    </w:p>
    <w:p>
      <w:pPr>
        <w:spacing w:after="0" w:line="179"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1381" w:right="339" w:bottom="1440" w:gutter="0" w:footer="0" w:header="0"/>
        </w:sectPr>
      </w:pPr>
    </w:p>
    <w:bookmarkStart w:id="57" w:name="page58"/>
    <w:bookmarkEnd w:id="57"/>
    <w:p>
      <w:pPr>
        <w:spacing w:after="0"/>
        <w:rPr>
          <w:sz w:val="20"/>
          <w:szCs w:val="20"/>
          <w:color w:val="auto"/>
        </w:rPr>
      </w:pPr>
      <w:r>
        <w:rPr>
          <w:rFonts w:ascii="Arial" w:cs="Arial" w:eastAsia="Arial" w:hAnsi="Arial"/>
          <w:sz w:val="19"/>
          <w:szCs w:val="19"/>
          <w:color w:val="auto"/>
        </w:rPr>
        <w:t>aforesaid rates as so determined would be less than zero, such rate shall be deemed to be zero for purposes of this Agreement.</w:t>
      </w:r>
    </w:p>
    <w:p>
      <w:pPr>
        <w:spacing w:after="0" w:line="179" w:lineRule="exact"/>
        <w:rPr>
          <w:sz w:val="20"/>
          <w:szCs w:val="20"/>
          <w:color w:val="auto"/>
        </w:rPr>
      </w:pPr>
    </w:p>
    <w:p>
      <w:pPr>
        <w:jc w:val="both"/>
        <w:ind w:firstLine="1272"/>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OFAC</w:t>
      </w:r>
      <w:r>
        <w:rPr>
          <w:rFonts w:ascii="Arial" w:cs="Arial" w:eastAsia="Arial" w:hAnsi="Arial"/>
          <w:sz w:val="19"/>
          <w:szCs w:val="19"/>
          <w:color w:val="auto"/>
        </w:rPr>
        <w:t>” means the Office of Foreign Assets Control of the U.S. Department of the Treasury.</w:t>
      </w:r>
    </w:p>
    <w:p>
      <w:pPr>
        <w:spacing w:after="0" w:line="179" w:lineRule="exact"/>
        <w:rPr>
          <w:sz w:val="20"/>
          <w:szCs w:val="20"/>
          <w:color w:val="auto"/>
        </w:rPr>
      </w:pPr>
    </w:p>
    <w:p>
      <w:pPr>
        <w:jc w:val="both"/>
        <w:ind w:firstLine="1272"/>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46"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53"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has the meaning assigned to such term in Section 9.04(c).</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has the meaning assigned to such term in Section 9.04(c).</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Patriot Act</w:t>
      </w:r>
      <w:r>
        <w:rPr>
          <w:rFonts w:ascii="Arial" w:cs="Arial" w:eastAsia="Arial" w:hAnsi="Arial"/>
          <w:sz w:val="19"/>
          <w:szCs w:val="19"/>
          <w:color w:val="auto"/>
        </w:rPr>
        <w:t>” means the USA PATRIOT Act of 2001.</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w:t>
      </w:r>
      <w:r>
        <w:rPr>
          <w:rFonts w:ascii="Arial" w:cs="Arial" w:eastAsia="Arial" w:hAnsi="Arial"/>
          <w:sz w:val="19"/>
          <w:szCs w:val="19"/>
          <w:color w:val="auto"/>
        </w:rPr>
        <w:t>” has the meaning assigned to such term in Section 8.06(c).</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Notice</w:t>
      </w:r>
      <w:r>
        <w:rPr>
          <w:rFonts w:ascii="Arial" w:cs="Arial" w:eastAsia="Arial" w:hAnsi="Arial"/>
          <w:sz w:val="19"/>
          <w:szCs w:val="19"/>
          <w:color w:val="auto"/>
        </w:rPr>
        <w:t>” has the meaning assigned to such term in Section 8.06(c).</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means the Pension Benefit Guaranty Corporation referred to and defined in ERISA and any successor entity performing similar functions.</w:t>
      </w:r>
    </w:p>
    <w:p>
      <w:pPr>
        <w:spacing w:after="0" w:line="151" w:lineRule="exact"/>
        <w:rPr>
          <w:sz w:val="20"/>
          <w:szCs w:val="20"/>
          <w:color w:val="auto"/>
        </w:rPr>
      </w:pPr>
    </w:p>
    <w:p>
      <w:pPr>
        <w:jc w:val="both"/>
        <w:ind w:firstLine="1272"/>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(whether by purchase, merger, consolidation or otherwise or series of related acquisitions by the Borrower or any Subsidiary of (i) all or substantially all the assets of or (ii) all or substantially all the Equity Interests in, a Person or division or line of business of a Person, if, at the time of and immediately after giving effect thereto, (a) no Default or Event of Default has occurred and is continuing or would arise immediately after giving effect (including giving effect on a pro forma basis) thereto,</w:t>
      </w:r>
    </w:p>
    <w:p>
      <w:pPr>
        <w:spacing w:after="0" w:line="3" w:lineRule="exact"/>
        <w:rPr>
          <w:sz w:val="20"/>
          <w:szCs w:val="20"/>
          <w:color w:val="auto"/>
        </w:rPr>
      </w:pPr>
    </w:p>
    <w:p>
      <w:pPr>
        <w:ind w:firstLine="6"/>
        <w:spacing w:after="0" w:line="228" w:lineRule="auto"/>
        <w:tabs>
          <w:tab w:leader="none" w:pos="294"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business of the Person whose Equity Interests are being acquired or the division or line of business being acquired or relating to the assets acquired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381" w:right="339" w:bottom="1440" w:gutter="0" w:footer="0" w:header="0"/>
        </w:sectPr>
      </w:pPr>
    </w:p>
    <w:bookmarkStart w:id="58" w:name="page59"/>
    <w:bookmarkEnd w:id="58"/>
    <w:p>
      <w:pPr>
        <w:jc w:val="both"/>
        <w:spacing w:after="0" w:line="223" w:lineRule="auto"/>
        <w:rPr>
          <w:sz w:val="20"/>
          <w:szCs w:val="20"/>
          <w:color w:val="auto"/>
        </w:rPr>
      </w:pPr>
      <w:r>
        <w:rPr>
          <w:rFonts w:ascii="Arial" w:cs="Arial" w:eastAsia="Arial" w:hAnsi="Arial"/>
          <w:sz w:val="18"/>
          <w:szCs w:val="18"/>
          <w:color w:val="auto"/>
        </w:rPr>
        <w:t>permitted under Section 6.03(b), (c) all actions required to be taken with respect to such acquired or newly formed Subsidiary under Section 5.09 shall have been taken, (d) (i) the Leverage Ratio of the Borrower does not exceed 2.75 to 1.00 and (ii) the Borrower and the Subsidiaries are in compliance with the covenant contained in Section 6.12(b), in each case of clauses (i) and (ii) on a pro forma basis immediately after giving effect to such acquisition in accordance with the provisions set forth in Section 1.04(b) and, if the aggregate consideration paid in respect of such acquisition exceeds $25,000,000, the Borrower shall have delivered to the Administrative Agent a certificate of a Financial Officer of the Borrower in a form reasonably satisfactory to the Administrative Agent, certifying that the applicable requirements set forth in this definition have been satisfied with respect to such acquisition, together, with reasonably detailed calculations demonstrating satisfaction of the requirements set forth in this clause (d) and (e) in the case of an acquisition, merger or consolidation involving a Loan Party, such Loan Party is the surviving entity of such merger and/or consolidation.</w:t>
      </w:r>
    </w:p>
    <w:p>
      <w:pPr>
        <w:spacing w:after="0" w:line="151" w:lineRule="exact"/>
        <w:rPr>
          <w:sz w:val="20"/>
          <w:szCs w:val="20"/>
          <w:color w:val="auto"/>
        </w:rPr>
      </w:pPr>
    </w:p>
    <w:p>
      <w:pPr>
        <w:jc w:val="both"/>
        <w:ind w:firstLine="1272"/>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Bond Hedge Transaction</w:t>
      </w:r>
      <w:r>
        <w:rPr>
          <w:rFonts w:ascii="Arial" w:cs="Arial" w:eastAsia="Arial" w:hAnsi="Arial"/>
          <w:sz w:val="19"/>
          <w:szCs w:val="19"/>
          <w:color w:val="auto"/>
        </w:rPr>
        <w:t xml:space="preserve">” means any call or capped call option (or substantively equivalent derivative transaction) relating to the Borrower’s ordinary shares (or other securities or property following a merger event or other change of the ordinary shares of the Borrower) purchased by the Borrower in connection with the issuance of any Permitted Convertible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purchase price for such Permitted Bond Hedge Transaction, less the proceeds received by the Borrower from the sale of any related Permitted Warrant Transaction, does not exceed the net proceeds received by the Borrower from the issuance of such Permitted Convertible Indebtedness in connection with such Permitted Bond Hedge Transaction.</w:t>
      </w:r>
    </w:p>
    <w:p>
      <w:pPr>
        <w:spacing w:after="0" w:line="151" w:lineRule="exact"/>
        <w:rPr>
          <w:sz w:val="20"/>
          <w:szCs w:val="20"/>
          <w:color w:val="auto"/>
        </w:rPr>
      </w:pPr>
    </w:p>
    <w:p>
      <w:pPr>
        <w:jc w:val="both"/>
        <w:ind w:firstLine="1272"/>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Indebtedness</w:t>
      </w:r>
      <w:r>
        <w:rPr>
          <w:rFonts w:ascii="Arial" w:cs="Arial" w:eastAsia="Arial" w:hAnsi="Arial"/>
          <w:sz w:val="18"/>
          <w:szCs w:val="18"/>
          <w:color w:val="auto"/>
        </w:rPr>
        <w:t xml:space="preserve">” means any unsecured notes issued by the Borrower that are convertible into a fixed number (subject to customary anti-dilution adjustments, “make-whole” increases and other customary changes thereto) of the Borrower’s ordinary shares (or other securities or property following a merger event or other change of the Borrower’s ordinary shares), cash or any combination thereof (with the amount of such cash or such combination determined by reference to the market price of such ordinary shares or such other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Indebtedness thereunder must satisfy each of the following conditions: (i) both immediately prior to and after giving effect (including pro forma effect) thereto, no Default or Event of Default shall exist or result therefrom, (ii) such Indebtedness is not guaranteed by any Subsidiary of the Borrower, (iii) such Indebtedness matures after, and does not require any scheduled amortization or other scheduled or otherwise required payments of principal prior to the date that is six (6) months after the Maturity Date (it being understood that neither (x) any provision requiring an offer to purchase such Indebtedness as a result of change of control or other fundamental change (which change of control or other fundamental change, for the avoidance of doubt, constitutes a “Change of Control” hereunder), which purchase is settled on a date no earlier than the date twenty (20) Business Days following the occurrence of such change of control or other fundamental change nor (y) any early conversion of any Permitted Convertible Indebtedness in accordance with the terms thereof, in either case, shall violate the foregoing restriction), (iv) any cross-default or cross-acceleration event of default (each howsoever defined) provision contained therein that relates to indebtedness or other payment obligations of the Borrower (such indebtedness or other payment obligations, a “</w:t>
      </w:r>
      <w:r>
        <w:rPr>
          <w:rFonts w:ascii="Arial" w:cs="Arial" w:eastAsia="Arial" w:hAnsi="Arial"/>
          <w:sz w:val="18"/>
          <w:szCs w:val="18"/>
          <w:u w:val="single" w:color="auto"/>
          <w:color w:val="auto"/>
        </w:rPr>
        <w:t>Cross-Default Reference Obligation</w:t>
      </w:r>
      <w:r>
        <w:rPr>
          <w:rFonts w:ascii="Arial" w:cs="Arial" w:eastAsia="Arial" w:hAnsi="Arial"/>
          <w:sz w:val="18"/>
          <w:szCs w:val="18"/>
          <w:color w:val="auto"/>
        </w:rPr>
        <w:t>”)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 and (v) the terms, conditions and covenants of such Indebtedness must be customary for convertible Indebtedness of such type (as determined by the board of directors of the Borrower, or a committee thereof, in good faith).</w:t>
      </w:r>
    </w:p>
    <w:p>
      <w:pPr>
        <w:spacing w:after="0" w:line="16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Encumbrances</w:t>
      </w:r>
      <w:r>
        <w:rPr>
          <w:rFonts w:ascii="Arial" w:cs="Arial" w:eastAsia="Arial" w:hAnsi="Arial"/>
          <w:sz w:val="19"/>
          <w:szCs w:val="19"/>
          <w:color w:val="auto"/>
        </w:rPr>
        <w:t>” means:</w:t>
      </w:r>
    </w:p>
    <w:p>
      <w:pPr>
        <w:spacing w:after="0" w:line="179" w:lineRule="exact"/>
        <w:rPr>
          <w:sz w:val="20"/>
          <w:szCs w:val="20"/>
          <w:color w:val="auto"/>
        </w:rPr>
      </w:pPr>
    </w:p>
    <w:p>
      <w:pPr>
        <w:ind w:left="640" w:firstLine="638"/>
        <w:spacing w:after="0" w:line="237" w:lineRule="auto"/>
        <w:tabs>
          <w:tab w:leader="none" w:pos="1688" w:val="left"/>
        </w:tabs>
        <w:numPr>
          <w:ilvl w:val="0"/>
          <w:numId w:val="43"/>
        </w:numPr>
        <w:rPr>
          <w:rFonts w:ascii="Arial" w:cs="Arial" w:eastAsia="Arial" w:hAnsi="Arial"/>
          <w:sz w:val="19"/>
          <w:szCs w:val="19"/>
          <w:color w:val="auto"/>
        </w:rPr>
      </w:pPr>
      <w:r>
        <w:rPr>
          <w:rFonts w:ascii="Arial" w:cs="Arial" w:eastAsia="Arial" w:hAnsi="Arial"/>
          <w:sz w:val="19"/>
          <w:szCs w:val="19"/>
          <w:color w:val="auto"/>
        </w:rPr>
        <w:t>Liens imposed by law for Taxes that have not yet been paid (to the extent such non-payment does not violate Section 5.04) or that are being contested in compliance with Section 5.04 and Liens for unpaid utility charges;</w:t>
      </w:r>
    </w:p>
    <w:p>
      <w:pPr>
        <w:spacing w:after="0" w:line="151" w:lineRule="exact"/>
        <w:rPr>
          <w:rFonts w:ascii="Arial" w:cs="Arial" w:eastAsia="Arial" w:hAnsi="Arial"/>
          <w:sz w:val="19"/>
          <w:szCs w:val="19"/>
          <w:color w:val="auto"/>
        </w:rPr>
      </w:pPr>
    </w:p>
    <w:p>
      <w:pPr>
        <w:ind w:left="640" w:firstLine="638"/>
        <w:spacing w:after="0" w:line="237" w:lineRule="auto"/>
        <w:tabs>
          <w:tab w:leader="none" w:pos="1832" w:val="left"/>
        </w:tabs>
        <w:numPr>
          <w:ilvl w:val="0"/>
          <w:numId w:val="43"/>
        </w:numPr>
        <w:rPr>
          <w:rFonts w:ascii="Arial" w:cs="Arial" w:eastAsia="Arial" w:hAnsi="Arial"/>
          <w:sz w:val="19"/>
          <w:szCs w:val="19"/>
          <w:color w:val="auto"/>
        </w:rPr>
      </w:pPr>
      <w:r>
        <w:rPr>
          <w:rFonts w:ascii="Arial" w:cs="Arial" w:eastAsia="Arial" w:hAnsi="Arial"/>
          <w:sz w:val="19"/>
          <w:szCs w:val="19"/>
          <w:color w:val="auto"/>
        </w:rPr>
        <w:t>carriers’, warehousemen’s, mechanics’, materialmen’s, repairmen’s, supplier’s and other like Liens imposed by law, arising in the ordinary course of business and securing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381" w:right="33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obligations that are not overdue by more than sixty (60) days or are being contested in compliance with Section 5.04;</w:t>
      </w:r>
    </w:p>
    <w:p>
      <w:pPr>
        <w:spacing w:after="0" w:line="179" w:lineRule="exact"/>
        <w:rPr>
          <w:sz w:val="20"/>
          <w:szCs w:val="20"/>
          <w:color w:val="auto"/>
        </w:rPr>
      </w:pPr>
    </w:p>
    <w:p>
      <w:pPr>
        <w:jc w:val="both"/>
        <w:ind w:firstLine="638"/>
        <w:spacing w:after="0" w:line="259" w:lineRule="auto"/>
        <w:tabs>
          <w:tab w:leader="none" w:pos="1085" w:val="left"/>
        </w:tabs>
        <w:numPr>
          <w:ilvl w:val="0"/>
          <w:numId w:val="44"/>
        </w:numPr>
        <w:rPr>
          <w:rFonts w:ascii="Arial" w:cs="Arial" w:eastAsia="Arial" w:hAnsi="Arial"/>
          <w:sz w:val="17"/>
          <w:szCs w:val="17"/>
          <w:color w:val="auto"/>
        </w:rPr>
      </w:pPr>
      <w:r>
        <w:rPr>
          <w:rFonts w:ascii="Arial" w:cs="Arial" w:eastAsia="Arial" w:hAnsi="Arial"/>
          <w:sz w:val="17"/>
          <w:szCs w:val="17"/>
          <w:color w:val="auto"/>
        </w:rPr>
        <w:t>pledges and deposits made in the ordinary course of business in connection with workers’ compensation, unemployment insurance and other social security or retirement benefits laws, to secure liability to insurance carriers under insurance of self-insurance arrangements or regulations or employment laws or to secure other public, statutory or regulatory regulations;</w:t>
      </w:r>
    </w:p>
    <w:p>
      <w:pPr>
        <w:spacing w:after="0" w:line="135" w:lineRule="exact"/>
        <w:rPr>
          <w:rFonts w:ascii="Arial" w:cs="Arial" w:eastAsia="Arial" w:hAnsi="Arial"/>
          <w:sz w:val="17"/>
          <w:szCs w:val="17"/>
          <w:color w:val="auto"/>
        </w:rPr>
      </w:pPr>
    </w:p>
    <w:p>
      <w:pPr>
        <w:jc w:val="both"/>
        <w:ind w:firstLine="638"/>
        <w:spacing w:after="0" w:line="232" w:lineRule="auto"/>
        <w:tabs>
          <w:tab w:leader="none" w:pos="1266"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pledges and deposits to secure the performance of bids, trade contracts, government contracts, leases, statutory obligations, customer deposit and advances, company credit cards, travel cards and other employee credit card programs, surety, customs and appeal bonds, performance and completion bonds and other obligations of a like nature, in each case in the ordinary course of business, and Liens to secure letters of credit or bank guarantees supporting any of the foregoing;</w:t>
      </w:r>
    </w:p>
    <w:p>
      <w:pPr>
        <w:spacing w:after="0" w:line="153" w:lineRule="exact"/>
        <w:rPr>
          <w:rFonts w:ascii="Arial" w:cs="Arial" w:eastAsia="Arial" w:hAnsi="Arial"/>
          <w:sz w:val="18"/>
          <w:szCs w:val="18"/>
          <w:color w:val="auto"/>
        </w:rPr>
      </w:pPr>
    </w:p>
    <w:p>
      <w:pPr>
        <w:ind w:firstLine="638"/>
        <w:spacing w:after="0" w:line="237" w:lineRule="auto"/>
        <w:tabs>
          <w:tab w:leader="none" w:pos="10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judgment Liens in respect of judgments that do not constitute an Event of Default under Section 7.01(k) or Liens securing appeal or surety bonds related to such judgments;</w:t>
      </w:r>
    </w:p>
    <w:p>
      <w:pPr>
        <w:spacing w:after="0" w:line="151" w:lineRule="exact"/>
        <w:rPr>
          <w:rFonts w:ascii="Arial" w:cs="Arial" w:eastAsia="Arial" w:hAnsi="Arial"/>
          <w:sz w:val="19"/>
          <w:szCs w:val="19"/>
          <w:color w:val="auto"/>
        </w:rPr>
      </w:pPr>
    </w:p>
    <w:p>
      <w:pPr>
        <w:jc w:val="both"/>
        <w:ind w:firstLine="638"/>
        <w:spacing w:after="0" w:line="259" w:lineRule="auto"/>
        <w:tabs>
          <w:tab w:leader="none" w:pos="1156"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easements, zoning restrictions, rights-of-way and similar charges or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and its Subsidiaries, taken as a whole;</w:t>
      </w:r>
    </w:p>
    <w:p>
      <w:pPr>
        <w:spacing w:after="0" w:line="135" w:lineRule="exact"/>
        <w:rPr>
          <w:rFonts w:ascii="Arial" w:cs="Arial" w:eastAsia="Arial" w:hAnsi="Arial"/>
          <w:sz w:val="17"/>
          <w:szCs w:val="17"/>
          <w:color w:val="auto"/>
        </w:rPr>
      </w:pPr>
    </w:p>
    <w:p>
      <w:pPr>
        <w:jc w:val="both"/>
        <w:ind w:firstLine="638"/>
        <w:spacing w:after="0" w:line="226" w:lineRule="auto"/>
        <w:tabs>
          <w:tab w:leader="none" w:pos="1125" w:val="left"/>
        </w:tabs>
        <w:numPr>
          <w:ilvl w:val="0"/>
          <w:numId w:val="44"/>
        </w:numPr>
        <w:rPr>
          <w:rFonts w:ascii="Arial" w:cs="Arial" w:eastAsia="Arial" w:hAnsi="Arial"/>
          <w:sz w:val="19"/>
          <w:szCs w:val="19"/>
          <w:color w:val="auto"/>
        </w:rPr>
      </w:pPr>
      <w:r>
        <w:rPr>
          <w:rFonts w:ascii="Arial" w:cs="Arial" w:eastAsia="Arial" w:hAnsi="Arial"/>
          <w:sz w:val="19"/>
          <w:szCs w:val="19"/>
          <w:color w:val="auto"/>
        </w:rPr>
        <w:t>leases, licenses, subleases or sublicenses granted (i) to others not adversely interfering in any material respect with the business of the Borrower and its Subsidiaries as conducted at the time granted, taken as a whole, (ii) between or among any of the Loan Parties or any of their Subsidiaries or (iii) granted to other Persons and permitted under Section 6.03;</w:t>
      </w:r>
    </w:p>
    <w:p>
      <w:pPr>
        <w:spacing w:after="0" w:line="151" w:lineRule="exact"/>
        <w:rPr>
          <w:rFonts w:ascii="Arial" w:cs="Arial" w:eastAsia="Arial" w:hAnsi="Arial"/>
          <w:sz w:val="19"/>
          <w:szCs w:val="19"/>
          <w:color w:val="auto"/>
        </w:rPr>
      </w:pPr>
    </w:p>
    <w:p>
      <w:pPr>
        <w:jc w:val="both"/>
        <w:ind w:firstLine="638"/>
        <w:spacing w:after="0" w:line="220" w:lineRule="auto"/>
        <w:tabs>
          <w:tab w:leader="none" w:pos="1108" w:val="left"/>
        </w:tabs>
        <w:numPr>
          <w:ilvl w:val="0"/>
          <w:numId w:val="44"/>
        </w:numPr>
        <w:rPr>
          <w:rFonts w:ascii="Arial" w:cs="Arial" w:eastAsia="Arial" w:hAnsi="Arial"/>
          <w:sz w:val="19"/>
          <w:szCs w:val="19"/>
          <w:color w:val="auto"/>
        </w:rPr>
      </w:pPr>
      <w:r>
        <w:rPr>
          <w:rFonts w:ascii="Arial" w:cs="Arial" w:eastAsia="Arial" w:hAnsi="Arial"/>
          <w:sz w:val="19"/>
          <w:szCs w:val="19"/>
          <w:color w:val="auto"/>
        </w:rPr>
        <w:t>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52" w:lineRule="exact"/>
        <w:rPr>
          <w:rFonts w:ascii="Arial" w:cs="Arial" w:eastAsia="Arial" w:hAnsi="Arial"/>
          <w:sz w:val="19"/>
          <w:szCs w:val="19"/>
          <w:color w:val="auto"/>
        </w:rPr>
      </w:pPr>
    </w:p>
    <w:p>
      <w:pPr>
        <w:jc w:val="both"/>
        <w:ind w:firstLine="638"/>
        <w:spacing w:after="0" w:line="238" w:lineRule="auto"/>
        <w:tabs>
          <w:tab w:leader="none" w:pos="1038"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(other than fixed or capital assets)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52" w:lineRule="exact"/>
        <w:rPr>
          <w:rFonts w:ascii="Arial" w:cs="Arial" w:eastAsia="Arial" w:hAnsi="Arial"/>
          <w:sz w:val="18"/>
          <w:szCs w:val="18"/>
          <w:color w:val="auto"/>
        </w:rPr>
      </w:pPr>
    </w:p>
    <w:p>
      <w:pPr>
        <w:ind w:firstLine="638"/>
        <w:spacing w:after="0" w:line="261" w:lineRule="auto"/>
        <w:tabs>
          <w:tab w:leader="none" w:pos="11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 so long as such Liens only cover the related goods;</w:t>
      </w:r>
    </w:p>
    <w:p>
      <w:pPr>
        <w:spacing w:after="0" w:line="132" w:lineRule="exact"/>
        <w:rPr>
          <w:rFonts w:ascii="Arial" w:cs="Arial" w:eastAsia="Arial" w:hAnsi="Arial"/>
          <w:sz w:val="18"/>
          <w:szCs w:val="18"/>
          <w:color w:val="auto"/>
        </w:rPr>
      </w:pPr>
    </w:p>
    <w:p>
      <w:pPr>
        <w:ind w:firstLine="638"/>
        <w:spacing w:after="0" w:line="291" w:lineRule="auto"/>
        <w:tabs>
          <w:tab w:leader="none" w:pos="1107" w:val="left"/>
        </w:tabs>
        <w:numPr>
          <w:ilvl w:val="0"/>
          <w:numId w:val="44"/>
        </w:numPr>
        <w:rPr>
          <w:rFonts w:ascii="Arial" w:cs="Arial" w:eastAsia="Arial" w:hAnsi="Arial"/>
          <w:sz w:val="17"/>
          <w:szCs w:val="17"/>
          <w:color w:val="auto"/>
        </w:rPr>
      </w:pPr>
      <w:r>
        <w:rPr>
          <w:rFonts w:ascii="Arial" w:cs="Arial" w:eastAsia="Arial" w:hAnsi="Arial"/>
          <w:sz w:val="17"/>
          <w:szCs w:val="17"/>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08" w:lineRule="exact"/>
        <w:rPr>
          <w:rFonts w:ascii="Arial" w:cs="Arial" w:eastAsia="Arial" w:hAnsi="Arial"/>
          <w:sz w:val="17"/>
          <w:szCs w:val="17"/>
          <w:color w:val="auto"/>
        </w:rPr>
      </w:pPr>
    </w:p>
    <w:p>
      <w:pPr>
        <w:ind w:right="20" w:firstLine="638"/>
        <w:spacing w:after="0" w:line="237" w:lineRule="auto"/>
        <w:tabs>
          <w:tab w:leader="none" w:pos="1036"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any interest or title of a landlord, lessor or sublessor under any lease of real estate or any Lien affecting solely the interest of the landlord, lessor or sublessor;</w:t>
      </w:r>
    </w:p>
    <w:p>
      <w:pPr>
        <w:spacing w:after="0" w:line="151" w:lineRule="exact"/>
        <w:rPr>
          <w:rFonts w:ascii="Arial" w:cs="Arial" w:eastAsia="Arial" w:hAnsi="Arial"/>
          <w:sz w:val="19"/>
          <w:szCs w:val="19"/>
          <w:color w:val="auto"/>
        </w:rPr>
      </w:pPr>
    </w:p>
    <w:p>
      <w:pPr>
        <w:ind w:firstLine="638"/>
        <w:spacing w:after="0" w:line="261" w:lineRule="auto"/>
        <w:tabs>
          <w:tab w:leader="none" w:pos="11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purported Liens evidenced by the filing of precautionary UCC financing statements or similar filings relating to operating leases of personal property entered into by the Borrower or any of its Subsidiaries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0600"/>
          </w:cols>
          <w:pgMar w:left="960" w:top="1381" w:right="339" w:bottom="1440" w:gutter="0" w:footer="0" w:header="0"/>
        </w:sectPr>
      </w:pPr>
    </w:p>
    <w:bookmarkStart w:id="60" w:name="page61"/>
    <w:bookmarkEnd w:id="60"/>
    <w:p>
      <w:pPr>
        <w:ind w:left="640" w:firstLine="638"/>
        <w:spacing w:after="0" w:line="237" w:lineRule="auto"/>
        <w:tabs>
          <w:tab w:leader="none" w:pos="1784"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 interest or title of a licensor under any license or sublicense entered into by the Borrower or any Subsidiary as a licensee or sublicensee (i) existing on the Effective Date or (ii) in the ordinary course of its business; and</w:t>
      </w:r>
    </w:p>
    <w:p>
      <w:pPr>
        <w:spacing w:after="0" w:line="151" w:lineRule="exact"/>
        <w:rPr>
          <w:rFonts w:ascii="Arial" w:cs="Arial" w:eastAsia="Arial" w:hAnsi="Arial"/>
          <w:sz w:val="19"/>
          <w:szCs w:val="19"/>
          <w:color w:val="auto"/>
        </w:rPr>
      </w:pPr>
    </w:p>
    <w:p>
      <w:pPr>
        <w:ind w:left="640" w:firstLine="638"/>
        <w:spacing w:after="0" w:line="237" w:lineRule="auto"/>
        <w:tabs>
          <w:tab w:leader="none" w:pos="1776" w:val="left"/>
        </w:tabs>
        <w:numPr>
          <w:ilvl w:val="0"/>
          <w:numId w:val="45"/>
        </w:numPr>
        <w:rPr>
          <w:rFonts w:ascii="Arial" w:cs="Arial" w:eastAsia="Arial" w:hAnsi="Arial"/>
          <w:sz w:val="19"/>
          <w:szCs w:val="19"/>
          <w:color w:val="auto"/>
        </w:rPr>
      </w:pPr>
      <w:r>
        <w:rPr>
          <w:rFonts w:ascii="Arial" w:cs="Arial" w:eastAsia="Arial" w:hAnsi="Arial"/>
          <w:sz w:val="19"/>
          <w:szCs w:val="19"/>
          <w:color w:val="auto"/>
        </w:rPr>
        <w:t>with respect to any real property, immaterial title defects or irregularities that do not, individually or in the aggregate, materially impair the use of such real property;</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“Permitted Encumbrances” shall not include any Lien securing Indebtedness.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Investments</w:t>
      </w:r>
      <w:r>
        <w:rPr>
          <w:rFonts w:ascii="Arial" w:cs="Arial" w:eastAsia="Arial" w:hAnsi="Arial"/>
          <w:sz w:val="19"/>
          <w:szCs w:val="19"/>
          <w:color w:val="auto"/>
        </w:rPr>
        <w:t>” means:</w:t>
      </w:r>
    </w:p>
    <w:p>
      <w:pPr>
        <w:spacing w:after="0" w:line="179" w:lineRule="exact"/>
        <w:rPr>
          <w:sz w:val="20"/>
          <w:szCs w:val="20"/>
          <w:color w:val="auto"/>
        </w:rPr>
      </w:pPr>
    </w:p>
    <w:p>
      <w:pPr>
        <w:jc w:val="both"/>
        <w:ind w:left="640" w:firstLine="638"/>
        <w:spacing w:after="0" w:line="226" w:lineRule="auto"/>
        <w:tabs>
          <w:tab w:leader="none" w:pos="1736" w:val="left"/>
        </w:tabs>
        <w:numPr>
          <w:ilvl w:val="0"/>
          <w:numId w:val="46"/>
        </w:numPr>
        <w:rPr>
          <w:rFonts w:ascii="Arial" w:cs="Arial" w:eastAsia="Arial" w:hAnsi="Arial"/>
          <w:sz w:val="19"/>
          <w:szCs w:val="19"/>
          <w:color w:val="auto"/>
        </w:rPr>
      </w:pPr>
      <w:r>
        <w:rPr>
          <w:rFonts w:ascii="Arial" w:cs="Arial" w:eastAsia="Arial" w:hAnsi="Arial"/>
          <w:sz w:val="19"/>
          <w:szCs w:val="19"/>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51" w:lineRule="exact"/>
        <w:rPr>
          <w:rFonts w:ascii="Arial" w:cs="Arial" w:eastAsia="Arial" w:hAnsi="Arial"/>
          <w:sz w:val="19"/>
          <w:szCs w:val="19"/>
          <w:color w:val="auto"/>
        </w:rPr>
      </w:pPr>
    </w:p>
    <w:p>
      <w:pPr>
        <w:ind w:left="640" w:firstLine="638"/>
        <w:spacing w:after="0" w:line="237" w:lineRule="auto"/>
        <w:tabs>
          <w:tab w:leader="none" w:pos="1697"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investments in commercial paper maturing within 270 days from the date of acquisition thereof and having, at such date of acquisition, the highest credit rating obtainable from S&amp;P or from Moody’s;</w:t>
      </w:r>
    </w:p>
    <w:p>
      <w:pPr>
        <w:spacing w:after="0" w:line="151" w:lineRule="exact"/>
        <w:rPr>
          <w:rFonts w:ascii="Arial" w:cs="Arial" w:eastAsia="Arial" w:hAnsi="Arial"/>
          <w:sz w:val="19"/>
          <w:szCs w:val="19"/>
          <w:color w:val="auto"/>
        </w:rPr>
      </w:pPr>
    </w:p>
    <w:p>
      <w:pPr>
        <w:jc w:val="both"/>
        <w:ind w:left="640" w:firstLine="638"/>
        <w:spacing w:after="0" w:line="220" w:lineRule="auto"/>
        <w:tabs>
          <w:tab w:leader="none" w:pos="1728"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investments in certificates of deposit, banker’s acceptances and time or demand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152" w:lineRule="exact"/>
        <w:rPr>
          <w:rFonts w:ascii="Arial" w:cs="Arial" w:eastAsia="Arial" w:hAnsi="Arial"/>
          <w:sz w:val="19"/>
          <w:szCs w:val="19"/>
          <w:color w:val="auto"/>
        </w:rPr>
      </w:pPr>
    </w:p>
    <w:p>
      <w:pPr>
        <w:jc w:val="both"/>
        <w:ind w:left="640" w:firstLine="638"/>
        <w:spacing w:after="0" w:line="226" w:lineRule="auto"/>
        <w:tabs>
          <w:tab w:leader="none" w:pos="1828" w:val="left"/>
        </w:tabs>
        <w:numPr>
          <w:ilvl w:val="0"/>
          <w:numId w:val="46"/>
        </w:numPr>
        <w:rPr>
          <w:rFonts w:ascii="Arial" w:cs="Arial" w:eastAsia="Arial" w:hAnsi="Arial"/>
          <w:sz w:val="19"/>
          <w:szCs w:val="19"/>
          <w:color w:val="auto"/>
        </w:rPr>
      </w:pPr>
      <w:r>
        <w:rPr>
          <w:rFonts w:ascii="Arial" w:cs="Arial" w:eastAsia="Arial" w:hAnsi="Arial"/>
          <w:sz w:val="19"/>
          <w:szCs w:val="19"/>
          <w:color w:val="auto"/>
        </w:rPr>
        <w:t>fully collateralized repurchase agreements with a term of not more than thirty (30) days for securities described in clause (a) above and entered into with a financial institution satisfying the criteria described in clause (c) above at the date of such acquisitions;</w:t>
      </w:r>
    </w:p>
    <w:p>
      <w:pPr>
        <w:spacing w:after="0" w:line="151" w:lineRule="exact"/>
        <w:rPr>
          <w:rFonts w:ascii="Arial" w:cs="Arial" w:eastAsia="Arial" w:hAnsi="Arial"/>
          <w:sz w:val="19"/>
          <w:szCs w:val="19"/>
          <w:color w:val="auto"/>
        </w:rPr>
      </w:pPr>
    </w:p>
    <w:p>
      <w:pPr>
        <w:jc w:val="both"/>
        <w:ind w:left="640" w:firstLine="638"/>
        <w:spacing w:after="0" w:line="226" w:lineRule="auto"/>
        <w:tabs>
          <w:tab w:leader="none" w:pos="1754" w:val="left"/>
        </w:tabs>
        <w:numPr>
          <w:ilvl w:val="0"/>
          <w:numId w:val="46"/>
        </w:numPr>
        <w:rPr>
          <w:rFonts w:ascii="Arial" w:cs="Arial" w:eastAsia="Arial" w:hAnsi="Arial"/>
          <w:sz w:val="19"/>
          <w:szCs w:val="19"/>
          <w:color w:val="auto"/>
        </w:rPr>
      </w:pPr>
      <w:r>
        <w:rPr>
          <w:rFonts w:ascii="Arial" w:cs="Arial" w:eastAsia="Arial" w:hAnsi="Arial"/>
          <w:sz w:val="19"/>
          <w:szCs w:val="19"/>
          <w:color w:val="auto"/>
        </w:rPr>
        <w:t>money market funds that, at such date of acquisition, (i) comply with the criteria set forth in SEC Rule 2a-7 under the Investment Company Act of 1940, (ii) are rated AAA by S&amp;P and Aaa by Moody’s and (iii) have portfolio assets of at least $5,000,000,000; and</w:t>
      </w:r>
    </w:p>
    <w:p>
      <w:pPr>
        <w:spacing w:after="0" w:line="151" w:lineRule="exact"/>
        <w:rPr>
          <w:rFonts w:ascii="Arial" w:cs="Arial" w:eastAsia="Arial" w:hAnsi="Arial"/>
          <w:sz w:val="19"/>
          <w:szCs w:val="19"/>
          <w:color w:val="auto"/>
        </w:rPr>
      </w:pPr>
    </w:p>
    <w:p>
      <w:pPr>
        <w:jc w:val="both"/>
        <w:ind w:left="640" w:firstLine="638"/>
        <w:spacing w:after="0" w:line="238" w:lineRule="auto"/>
        <w:tabs>
          <w:tab w:leader="none" w:pos="154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investments permitted by the Borrower’s investment policy as such policy is in effect, and as disclosed to the Administrative Agent, prior to the Effective Date, and as such policy may be amended, restated, supplemented or otherwise modified from time to time with the consent of the Administrative Agent, not to be unreasonably withheld, conditioned or delayed.</w:t>
      </w:r>
    </w:p>
    <w:p>
      <w:pPr>
        <w:spacing w:after="0" w:line="153"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Warrant Transaction</w:t>
      </w:r>
      <w:r>
        <w:rPr>
          <w:rFonts w:ascii="Arial" w:cs="Arial" w:eastAsia="Arial" w:hAnsi="Arial"/>
          <w:sz w:val="19"/>
          <w:szCs w:val="19"/>
          <w:color w:val="auto"/>
        </w:rPr>
        <w:t>” means any call option, warrant or right to purchase (or substantively equivalent derivative transaction) relating to the Borrower’s ordinary shares (or other securities or property following a merger event or other change of the Borrower’s ordinary shares) and/or cash (in an amount determined by reference to the price of such ordinary shares) sold by the Borrower substantially concurrently with any purchase by the Borrower of a related Permitted Bond Hedge Transaction.</w:t>
      </w:r>
    </w:p>
    <w:p>
      <w:pPr>
        <w:spacing w:after="0" w:line="153"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natural person, corporation, limited liability company, trust, joint venture, association, company, partnership, Governmental Authority or other entity.</w:t>
      </w:r>
    </w:p>
    <w:p>
      <w:pPr>
        <w:spacing w:after="0" w:line="151"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 Asset Regulations</w:t>
      </w:r>
      <w:r>
        <w:rPr>
          <w:rFonts w:ascii="Arial" w:cs="Arial" w:eastAsia="Arial" w:hAnsi="Arial"/>
          <w:sz w:val="19"/>
          <w:szCs w:val="19"/>
          <w:color w:val="auto"/>
        </w:rPr>
        <w:t xml:space="preserve">” means 29 CFR § 2510.3-101 </w:t>
      </w:r>
      <w:r>
        <w:rPr>
          <w:rFonts w:ascii="Arial" w:cs="Arial" w:eastAsia="Arial" w:hAnsi="Arial"/>
          <w:sz w:val="19"/>
          <w:szCs w:val="19"/>
          <w:i w:val="1"/>
          <w:iCs w:val="1"/>
          <w:color w:val="auto"/>
        </w:rPr>
        <w:t>et seq.</w:t>
      </w:r>
      <w:r>
        <w:rPr>
          <w:rFonts w:ascii="Arial" w:cs="Arial" w:eastAsia="Arial" w:hAnsi="Arial"/>
          <w:sz w:val="19"/>
          <w:szCs w:val="19"/>
          <w:color w:val="auto"/>
        </w:rPr>
        <w:t>, as modified by Section 3(42) of ERISA, as amended from time</w:t>
      </w:r>
    </w:p>
    <w:p>
      <w:pPr>
        <w:spacing w:after="0"/>
        <w:rPr>
          <w:sz w:val="20"/>
          <w:szCs w:val="20"/>
          <w:color w:val="auto"/>
        </w:rPr>
      </w:pPr>
      <w:r>
        <w:rPr>
          <w:rFonts w:ascii="Arial" w:cs="Arial" w:eastAsia="Arial" w:hAnsi="Arial"/>
          <w:sz w:val="19"/>
          <w:szCs w:val="19"/>
          <w:color w:val="auto"/>
        </w:rPr>
        <w:t>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1381" w:right="339" w:bottom="1440" w:gutter="0" w:footer="0" w:header="0"/>
        </w:sectPr>
      </w:pPr>
    </w:p>
    <w:bookmarkStart w:id="61" w:name="page62"/>
    <w:bookmarkEnd w:id="61"/>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 Subsidiary</w:t>
      </w:r>
      <w:r>
        <w:rPr>
          <w:rFonts w:ascii="Arial" w:cs="Arial" w:eastAsia="Arial" w:hAnsi="Arial"/>
          <w:sz w:val="17"/>
          <w:szCs w:val="17"/>
          <w:color w:val="auto"/>
        </w:rPr>
        <w:t>” means (i) each Domestic Subsidiary and (ii) each First Tier Foreign Subsidiary which is a Material Foreign</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Subsidiary.</w:t>
      </w:r>
    </w:p>
    <w:p>
      <w:pPr>
        <w:spacing w:after="0" w:line="163" w:lineRule="exact"/>
        <w:rPr>
          <w:sz w:val="20"/>
          <w:szCs w:val="20"/>
          <w:color w:val="auto"/>
        </w:rPr>
      </w:pPr>
    </w:p>
    <w:p>
      <w:pPr>
        <w:jc w:val="both"/>
        <w:ind w:firstLine="1272"/>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Proceeding</w:t>
      </w:r>
      <w:r>
        <w:rPr>
          <w:rFonts w:ascii="Arial" w:cs="Arial" w:eastAsia="Arial" w:hAnsi="Arial"/>
          <w:sz w:val="19"/>
          <w:szCs w:val="19"/>
          <w:color w:val="auto"/>
        </w:rPr>
        <w:t>” means any claim, litigation, investigation, action, suit, arbitration or administrative, judicial or regulatory action or proceeding in any jurisdiction.</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PTE</w:t>
      </w:r>
      <w:r>
        <w:rPr>
          <w:rFonts w:ascii="Arial" w:cs="Arial" w:eastAsia="Arial" w:hAnsi="Arial"/>
          <w:sz w:val="19"/>
          <w:szCs w:val="19"/>
          <w:color w:val="auto"/>
        </w:rPr>
        <w:t>” means a prohibited transaction class exemption issued by the U.S. Department of Labor, as any such exemption may be amended from time to time.</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QFC</w:t>
      </w:r>
      <w:r>
        <w:rPr>
          <w:rFonts w:ascii="Arial" w:cs="Arial" w:eastAsia="Arial" w:hAnsi="Arial"/>
          <w:sz w:val="19"/>
          <w:szCs w:val="19"/>
          <w:color w:val="auto"/>
        </w:rPr>
        <w:t>” has the meaning assigned to the term “qualified financial contract” in, and shall be interpreted in accordance with, 12 U.S.C. 5390(c)(8)(D).</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QFC Credit Support</w:t>
      </w:r>
      <w:r>
        <w:rPr>
          <w:rFonts w:ascii="Arial" w:cs="Arial" w:eastAsia="Arial" w:hAnsi="Arial"/>
          <w:sz w:val="19"/>
          <w:szCs w:val="19"/>
          <w:color w:val="auto"/>
        </w:rPr>
        <w:t>” has the meaning assigned to it in Section 9.19.</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Recipient</w:t>
      </w:r>
      <w:r>
        <w:rPr>
          <w:rFonts w:ascii="Arial" w:cs="Arial" w:eastAsia="Arial" w:hAnsi="Arial"/>
          <w:sz w:val="19"/>
          <w:szCs w:val="19"/>
          <w:color w:val="auto"/>
        </w:rPr>
        <w:t>” means (a) the Administrative Agent, (b) any Lender and (c) the Issuing Bank, as applicable.</w:t>
      </w:r>
    </w:p>
    <w:p>
      <w:pPr>
        <w:spacing w:after="0" w:line="179"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Time</w:t>
      </w:r>
      <w:r>
        <w:rPr>
          <w:rFonts w:ascii="Arial" w:cs="Arial" w:eastAsia="Arial" w:hAnsi="Arial"/>
          <w:sz w:val="19"/>
          <w:szCs w:val="19"/>
          <w:color w:val="auto"/>
        </w:rPr>
        <w:t>” with respect to any setting of the then-current Benchmark means (1) if such Benchmark is the Term SOFR Rate, 5:00 a.m., Chicago time, on the day that is two Business Days preceding the date of such setting, (2) if the RFR for such Benchmark is Daily Simple SOFR, four Business Days prior to such setting and (3) if such Benchmark is none of the Term SOFR Rate or Daily Simple SOFR, the time determined by the Administrative Agent in its reasonable discretion.</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Convertible Notes</w:t>
      </w:r>
      <w:r>
        <w:rPr>
          <w:rFonts w:ascii="Arial" w:cs="Arial" w:eastAsia="Arial" w:hAnsi="Arial"/>
          <w:sz w:val="19"/>
          <w:szCs w:val="19"/>
          <w:color w:val="auto"/>
        </w:rPr>
        <w:t>” has the meaning assigned to such term in Section 6.08.</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w:t>
      </w:r>
      <w:r>
        <w:rPr>
          <w:rFonts w:ascii="Arial" w:cs="Arial" w:eastAsia="Arial" w:hAnsi="Arial"/>
          <w:sz w:val="19"/>
          <w:szCs w:val="19"/>
          <w:color w:val="auto"/>
        </w:rPr>
        <w:t>” has the meaning assigned to such term in Section 9.04(b).</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D</w:t>
      </w:r>
      <w:r>
        <w:rPr>
          <w:rFonts w:ascii="Arial" w:cs="Arial" w:eastAsia="Arial" w:hAnsi="Arial"/>
          <w:sz w:val="19"/>
          <w:szCs w:val="19"/>
          <w:color w:val="auto"/>
        </w:rPr>
        <w:t>” means Regulation D of the Federal Reserve Board, as in effect from time to time and all official rulings and interpretations thereunder or thereof.</w:t>
      </w:r>
    </w:p>
    <w:p>
      <w:pPr>
        <w:spacing w:after="0" w:line="151" w:lineRule="exact"/>
        <w:rPr>
          <w:sz w:val="20"/>
          <w:szCs w:val="20"/>
          <w:color w:val="auto"/>
        </w:rPr>
      </w:pPr>
    </w:p>
    <w:p>
      <w:pPr>
        <w:jc w:val="both"/>
        <w:ind w:right="20"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T</w:t>
      </w:r>
      <w:r>
        <w:rPr>
          <w:rFonts w:ascii="Arial" w:cs="Arial" w:eastAsia="Arial" w:hAnsi="Arial"/>
          <w:sz w:val="19"/>
          <w:szCs w:val="19"/>
          <w:color w:val="auto"/>
        </w:rPr>
        <w:t>” means Regulation T of the Federal Reserve Board, as in effect from time to time and all official rulings and interpretations thereunder or thereof.</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U</w:t>
      </w:r>
      <w:r>
        <w:rPr>
          <w:rFonts w:ascii="Arial" w:cs="Arial" w:eastAsia="Arial" w:hAnsi="Arial"/>
          <w:sz w:val="19"/>
          <w:szCs w:val="19"/>
          <w:color w:val="auto"/>
        </w:rPr>
        <w:t>” means Regulation U of the Federal Reserve Board, as in effect from time to time and all official rulings and interpretations thereunder or thereof.</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X</w:t>
      </w:r>
      <w:r>
        <w:rPr>
          <w:rFonts w:ascii="Arial" w:cs="Arial" w:eastAsia="Arial" w:hAnsi="Arial"/>
          <w:sz w:val="19"/>
          <w:szCs w:val="19"/>
          <w:color w:val="auto"/>
        </w:rPr>
        <w:t>” means Regulation X of the Federal Reserve Board, as in effect from time to time and all official rulings and interpretations thereunder or thereof.</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specified Person, such Person’s Affiliates and the respective partners, directors, officers, managers, employees, agents and advisors of such Person and such Person’s Affiliates.</w:t>
      </w:r>
    </w:p>
    <w:p>
      <w:pPr>
        <w:spacing w:after="0" w:line="151"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the Federal Reserve Board and/or the NYFRB, the CME Term SOFR Administrator, as applicable, or a committee officially endorsed or convened by the Federal Reserve Board and/or the NYFRB or, in each case,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40"/>
          </w:cols>
          <w:pgMar w:left="320" w:top="1381" w:right="339" w:bottom="1440" w:gutter="0" w:footer="0" w:header="0"/>
        </w:sectPr>
      </w:pPr>
    </w:p>
    <w:bookmarkStart w:id="62" w:name="page63"/>
    <w:bookmarkEnd w:id="62"/>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Rate</w:t>
      </w:r>
      <w:r>
        <w:rPr>
          <w:rFonts w:ascii="Arial" w:cs="Arial" w:eastAsia="Arial" w:hAnsi="Arial"/>
          <w:sz w:val="19"/>
          <w:szCs w:val="19"/>
          <w:color w:val="auto"/>
        </w:rPr>
        <w:t>” means (i) with respect to any Term Benchmark Borrowing, the Adjusted Term SOFR Rate or (ii) with respect to any RFR Borrowing, the Adjusted Daily Simple SOFR, as applicable.</w:t>
      </w:r>
    </w:p>
    <w:p>
      <w:pPr>
        <w:spacing w:after="0" w:line="151" w:lineRule="exact"/>
        <w:rPr>
          <w:sz w:val="20"/>
          <w:szCs w:val="20"/>
          <w:color w:val="auto"/>
        </w:rPr>
      </w:pPr>
    </w:p>
    <w:p>
      <w:pPr>
        <w:jc w:val="both"/>
        <w:ind w:firstLine="1272"/>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subject to Section 2.21, (a) at any time prior to the earlier of the Loans becoming due and payable pursuant to Section 7.02 or the Commitments terminating or expiring, Lenders having Revolving Credit Exposures and Unfunded Commitments representing more than 50% of the sum of the Total Revolving Credit Exposure and Unfunded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purposes of declaring the Loans to be due and payable pursuant to Section 7.02, the Unfunded Commitment of each Lender shall be deemed to be zero; and (b) for all purposes after the Loans become due and payable pursuant to Section 7.02 or the Commitments expire or terminate, Lenders having Revolving Credit Exposures representing more than 50% of the Total Revolving Credit Exposure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clauses (a) and (b) above, (x) the Revolving Credit Exposure of any Lender that is the Swingline Lender shall be deemed to exclude any amount of its Swingline Exposure in excess of its Applicable Percentage of all outstanding Swingline Loans, adjusted to give effect to any reallocation under Section 2.21 of the Swingline Exposures of Defaulting Lenders in effect at such time, and the Unfunded Commitment of such Lender shall be determined on the basis of its Revolving Credit Exposure excluding such excess amount and (y) for the purpose of determining the Required Lenders needed for any waiver, amendment, modification or consent of or under this Agreement or any other Loan Document, any Lender that is the Borrower or an Affiliate of the Borrower shall be disregarded.</w:t>
      </w:r>
    </w:p>
    <w:p>
      <w:pPr>
        <w:spacing w:after="0" w:line="14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w:t>
      </w:r>
    </w:p>
    <w:p>
      <w:pPr>
        <w:spacing w:after="0"/>
        <w:rPr>
          <w:sz w:val="20"/>
          <w:szCs w:val="20"/>
          <w:color w:val="auto"/>
        </w:rPr>
      </w:pPr>
      <w:r>
        <w:rPr>
          <w:rFonts w:ascii="Arial" w:cs="Arial" w:eastAsia="Arial" w:hAnsi="Arial"/>
          <w:sz w:val="19"/>
          <w:szCs w:val="19"/>
          <w:color w:val="auto"/>
        </w:rPr>
        <w:t>Authority.</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the president, a Financial Officer or other executive officer of the</w:t>
      </w:r>
    </w:p>
    <w:p>
      <w:pPr>
        <w:spacing w:after="0"/>
        <w:rPr>
          <w:sz w:val="20"/>
          <w:szCs w:val="20"/>
          <w:color w:val="auto"/>
        </w:rPr>
      </w:pPr>
      <w:r>
        <w:rPr>
          <w:rFonts w:ascii="Arial" w:cs="Arial" w:eastAsia="Arial" w:hAnsi="Arial"/>
          <w:sz w:val="19"/>
          <w:szCs w:val="19"/>
          <w:color w:val="auto"/>
        </w:rPr>
        <w:t>Borrower.</w:t>
      </w:r>
    </w:p>
    <w:p>
      <w:pPr>
        <w:spacing w:after="0" w:line="163"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 or any option, warrant or other similar right to acquire any such Equity Interests in the Borrower or any Subsidiary.</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Reuters</w:t>
      </w:r>
      <w:r>
        <w:rPr>
          <w:rFonts w:ascii="Arial" w:cs="Arial" w:eastAsia="Arial" w:hAnsi="Arial"/>
          <w:sz w:val="19"/>
          <w:szCs w:val="19"/>
          <w:color w:val="auto"/>
        </w:rPr>
        <w:t>” means, as applicable, Thomson Reuters Corp., Refinitiv, or any successor thereto.</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Exposure</w:t>
      </w:r>
      <w:r>
        <w:rPr>
          <w:rFonts w:ascii="Arial" w:cs="Arial" w:eastAsia="Arial" w:hAnsi="Arial"/>
          <w:sz w:val="19"/>
          <w:szCs w:val="19"/>
          <w:color w:val="auto"/>
        </w:rPr>
        <w:t>” means, with respect to any Lender at any time, the sum of the outstanding principal amount of such Lender’s Revolving Loans, its LC Exposure and its Swingline Exposure at such time.</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Loan</w:t>
      </w:r>
      <w:r>
        <w:rPr>
          <w:rFonts w:ascii="Arial" w:cs="Arial" w:eastAsia="Arial" w:hAnsi="Arial"/>
          <w:sz w:val="19"/>
          <w:szCs w:val="19"/>
          <w:color w:val="auto"/>
        </w:rPr>
        <w:t>” means a Loan made pursuant to Section 2.01.</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RFR Borrowing</w:t>
      </w:r>
      <w:r>
        <w:rPr>
          <w:rFonts w:ascii="Arial" w:cs="Arial" w:eastAsia="Arial" w:hAnsi="Arial"/>
          <w:sz w:val="19"/>
          <w:szCs w:val="19"/>
          <w:color w:val="auto"/>
        </w:rPr>
        <w:t>” means, as to any Borrowing, the RFR Loans comprising such Borrowing.</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RFR Loan</w:t>
      </w:r>
      <w:r>
        <w:rPr>
          <w:rFonts w:ascii="Arial" w:cs="Arial" w:eastAsia="Arial" w:hAnsi="Arial"/>
          <w:sz w:val="19"/>
          <w:szCs w:val="19"/>
          <w:color w:val="auto"/>
        </w:rPr>
        <w:t>” means a Loan that bears interest at a rate based on the Adjusted Daily Simple SOFR.</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Standard &amp; Poor’s Rating Services, a Standard &amp; Poor’s Financial Services LLC business.</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and Leaseback Transaction</w:t>
      </w:r>
      <w:r>
        <w:rPr>
          <w:rFonts w:ascii="Arial" w:cs="Arial" w:eastAsia="Arial" w:hAnsi="Arial"/>
          <w:sz w:val="19"/>
          <w:szCs w:val="19"/>
          <w:color w:val="auto"/>
        </w:rPr>
        <w:t>” means any sale or other transfer of any property or asset by any Person with the intent to lease such property or asset as 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1381" w:right="339" w:bottom="1440" w:gutter="0" w:footer="0" w:header="0"/>
        </w:sectPr>
      </w:pPr>
    </w:p>
    <w:bookmarkStart w:id="63" w:name="page64"/>
    <w:bookmarkEnd w:id="63"/>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at any time, a country, region or territory which is itself the subject or target of any Sanctions (at the time of this Agreement, Crimea, Cuba, Iran, North Korea and Syria).</w:t>
      </w:r>
    </w:p>
    <w:p>
      <w:pPr>
        <w:spacing w:after="0" w:line="151"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OFAC, the U.S. Department of State,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52" w:lineRule="exact"/>
        <w:rPr>
          <w:sz w:val="20"/>
          <w:szCs w:val="20"/>
          <w:color w:val="auto"/>
        </w:rPr>
      </w:pPr>
    </w:p>
    <w:p>
      <w:pPr>
        <w:jc w:val="both"/>
        <w:ind w:firstLine="1272"/>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Her Majesty’s Treasury of the United Kingdom or other relevant sanctions authority.</w:t>
      </w:r>
    </w:p>
    <w:p>
      <w:pPr>
        <w:spacing w:after="0" w:line="13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Securities and Exchange Commission of the United States of America.</w:t>
      </w:r>
    </w:p>
    <w:p>
      <w:pPr>
        <w:spacing w:after="0" w:line="179"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Obligations</w:t>
      </w:r>
      <w:r>
        <w:rPr>
          <w:rFonts w:ascii="Arial" w:cs="Arial" w:eastAsia="Arial" w:hAnsi="Arial"/>
          <w:sz w:val="19"/>
          <w:szCs w:val="19"/>
          <w:color w:val="auto"/>
        </w:rPr>
        <w:t xml:space="preserve">” means all Obligations, together with all Swap Obligations and Banking Services Obligations owing to one or more Lenders or their respective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definition of “Secured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153" w:lineRule="exact"/>
        <w:rPr>
          <w:sz w:val="20"/>
          <w:szCs w:val="20"/>
          <w:color w:val="auto"/>
        </w:rPr>
      </w:pPr>
    </w:p>
    <w:p>
      <w:pPr>
        <w:jc w:val="both"/>
        <w:ind w:firstLine="1272"/>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holders of the Secured Obligations from time to time and shall include (i) each Lender and the Issuing Bank in respect of its Loans and LC Exposure respectively, (ii) the Administrative Agent, the Issuing Bank and the Lenders in respect of all other present and future obligations and liabilities of the Borrower and each Subsidiary of every type and description arising under or in connection with this Agreement or any other Loan Document, (iii) each Lender and Affiliate of such Lender in respect of Swap Agreements and Banking Services Agreements entered into with such Person by the Borrower or any Subsidiary, (iv) each indemnified party under Section 9.03 in respect of the obligations and liabilities of the Borrower to such Person hereunder and under the other Loan Documents, and (v) their respective successors and (in the case of a Lender, permitted) transferees and assigns.</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United States Securities Act of 1933.</w:t>
      </w:r>
    </w:p>
    <w:p>
      <w:pPr>
        <w:spacing w:after="0" w:line="179"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w:t>
      </w:r>
      <w:r>
        <w:rPr>
          <w:rFonts w:ascii="Arial" w:cs="Arial" w:eastAsia="Arial" w:hAnsi="Arial"/>
          <w:sz w:val="19"/>
          <w:szCs w:val="19"/>
          <w:color w:val="auto"/>
        </w:rPr>
        <w:t>” means that certain Pledge and Security Agreement (including any and all supplements thereto), dated as of the Effective Date, between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as the same may be amended, restated, supplemented or otherwise modified from time to time.</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w:t>
      </w:r>
      <w:r>
        <w:rPr>
          <w:rFonts w:ascii="Arial" w:cs="Arial" w:eastAsia="Arial" w:hAnsi="Arial"/>
          <w:sz w:val="19"/>
          <w:szCs w:val="19"/>
          <w:color w:val="auto"/>
        </w:rPr>
        <w:t>” means a rate equal to the secured overnight financing rate as administered by the SOFR Administrator.</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w:t>
      </w:r>
      <w:r>
        <w:rPr>
          <w:rFonts w:ascii="Arial" w:cs="Arial" w:eastAsia="Arial" w:hAnsi="Arial"/>
          <w:sz w:val="19"/>
          <w:szCs w:val="19"/>
          <w:color w:val="auto"/>
        </w:rPr>
        <w:t>” means the NYFRB (or a successor administrator of the secured overnight financing rate).</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Administrator’s Website</w:t>
      </w:r>
      <w:r>
        <w:rPr>
          <w:rFonts w:ascii="Arial" w:cs="Arial" w:eastAsia="Arial" w:hAnsi="Arial"/>
          <w:sz w:val="19"/>
          <w:szCs w:val="19"/>
          <w:color w:val="auto"/>
        </w:rPr>
        <w:t>” means the NYFRB’s Website, currently at http://www.newyorkfed.org, or any successor source for the secured overnight financing rate identified as such by the SOFR Administrator from time to time.</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Rate Day</w:t>
      </w:r>
      <w:r>
        <w:rPr>
          <w:rFonts w:ascii="Arial" w:cs="Arial" w:eastAsia="Arial" w:hAnsi="Arial"/>
          <w:sz w:val="19"/>
          <w:szCs w:val="19"/>
          <w:color w:val="auto"/>
        </w:rPr>
        <w:t>” has the meaning specified in the definition of “Daily Simple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40"/>
          </w:cols>
          <w:pgMar w:left="320" w:top="1381" w:right="339" w:bottom="1440" w:gutter="0" w:footer="0" w:header="0"/>
        </w:sectPr>
      </w:pPr>
    </w:p>
    <w:bookmarkStart w:id="64" w:name="page65"/>
    <w:bookmarkEnd w:id="64"/>
    <w:p>
      <w:pPr>
        <w:jc w:val="both"/>
        <w:ind w:firstLine="1272"/>
        <w:spacing w:after="0" w:line="23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means,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including contingent debts, as they become absolute and matured, (c) such Person does not intend to, and does not believe that it will, incur debts or liabilities, including contingent debts and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52" w:lineRule="exact"/>
        <w:rPr>
          <w:sz w:val="20"/>
          <w:szCs w:val="20"/>
          <w:color w:val="auto"/>
        </w:rPr>
      </w:pPr>
    </w:p>
    <w:p>
      <w:pPr>
        <w:jc w:val="both"/>
        <w:ind w:firstLine="1272"/>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Ancillary Obligations</w:t>
      </w:r>
      <w:r>
        <w:rPr>
          <w:rFonts w:ascii="Arial" w:cs="Arial" w:eastAsia="Arial" w:hAnsi="Arial"/>
          <w:sz w:val="18"/>
          <w:szCs w:val="18"/>
          <w:color w:val="auto"/>
        </w:rPr>
        <w:t xml:space="preserve">” means all obligations and liabilities (including interest and fees accruing during the pendency of any bankruptcy, insolvency,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under any Swap Agreement or any Banking Services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definition of “Specified Ancillary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152"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Event of Default</w:t>
      </w:r>
      <w:r>
        <w:rPr>
          <w:rFonts w:ascii="Arial" w:cs="Arial" w:eastAsia="Arial" w:hAnsi="Arial"/>
          <w:sz w:val="19"/>
          <w:szCs w:val="19"/>
          <w:color w:val="auto"/>
        </w:rPr>
        <w:t xml:space="preserve">” means any Event of Default (other than, unless the Commitments have terminated or expired or the Loans and other Secured Obligations have been accelerated pursuant to Section 7.02, an Event of Default arising from a failure to comply with any provision of </w:t>
      </w:r>
      <w:r>
        <w:rPr>
          <w:rFonts w:ascii="Arial" w:cs="Arial" w:eastAsia="Arial" w:hAnsi="Arial"/>
          <w:sz w:val="19"/>
          <w:szCs w:val="19"/>
          <w:u w:val="single" w:color="auto"/>
          <w:color w:val="auto"/>
        </w:rPr>
        <w:t>Article V</w:t>
      </w:r>
      <w:r>
        <w:rPr>
          <w:rFonts w:ascii="Arial" w:cs="Arial" w:eastAsia="Arial" w:hAnsi="Arial"/>
          <w:sz w:val="19"/>
          <w:szCs w:val="19"/>
          <w:color w:val="auto"/>
        </w:rPr>
        <w:t>, excluding Sections 5.01 or 5.08).</w:t>
      </w:r>
    </w:p>
    <w:p>
      <w:pPr>
        <w:spacing w:after="0" w:line="151"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Swap Obligation</w:t>
      </w:r>
      <w:r>
        <w:rPr>
          <w:rFonts w:ascii="Arial" w:cs="Arial" w:eastAsia="Arial" w:hAnsi="Arial"/>
          <w:sz w:val="19"/>
          <w:szCs w:val="19"/>
          <w:color w:val="auto"/>
        </w:rPr>
        <w:t>” means, with respect to any Loan Party, any obligation to pay or perform under any agreement, contract or transaction that constitutes a “swap” within the meaning of Section 1a(47) of the Commodity Exchange Act or any rules or regulations promulgated thereunder. Notwithstanding the foregoing, no Permitted Bond Hedge Transaction, Permitted Warrant Transaction or obligation of the Borrower thereunder shall be considered a Specified Swap Obligation.</w:t>
      </w:r>
    </w:p>
    <w:p>
      <w:pPr>
        <w:spacing w:after="0" w:line="153"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Indebtedness</w:t>
      </w:r>
      <w:r>
        <w:rPr>
          <w:rFonts w:ascii="Arial" w:cs="Arial" w:eastAsia="Arial" w:hAnsi="Arial"/>
          <w:sz w:val="19"/>
          <w:szCs w:val="19"/>
          <w:color w:val="auto"/>
        </w:rPr>
        <w:t>” means any Indebtedness of the Borrower or any Subsidiary the payment of which is subordinated to payment of the obligations under the Loan Documents. For the avoidance of doubt, any Permitted Convertible Indebtedness shall not constitute Subordinated Indebtedness.</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Indebtedness Documents</w:t>
      </w:r>
      <w:r>
        <w:rPr>
          <w:rFonts w:ascii="Arial" w:cs="Arial" w:eastAsia="Arial" w:hAnsi="Arial"/>
          <w:sz w:val="19"/>
          <w:szCs w:val="19"/>
          <w:color w:val="auto"/>
        </w:rPr>
        <w:t>” means any document, agreement or instrument evidencing any Subordinated Indebtedness or entered into in connection with any Subordinated Indebtedness.</w:t>
      </w:r>
    </w:p>
    <w:p>
      <w:pPr>
        <w:spacing w:after="0" w:line="151" w:lineRule="exact"/>
        <w:rPr>
          <w:sz w:val="20"/>
          <w:szCs w:val="20"/>
          <w:color w:val="auto"/>
        </w:rPr>
      </w:pPr>
    </w:p>
    <w:p>
      <w:pPr>
        <w:jc w:val="both"/>
        <w:ind w:firstLine="1272"/>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(the “</w:t>
      </w:r>
      <w:r>
        <w:rPr>
          <w:rFonts w:ascii="Arial" w:cs="Arial" w:eastAsia="Arial" w:hAnsi="Arial"/>
          <w:sz w:val="19"/>
          <w:szCs w:val="19"/>
          <w:u w:val="single" w:color="auto"/>
          <w:color w:val="auto"/>
        </w:rPr>
        <w:t>parent</w:t>
      </w:r>
      <w:r>
        <w:rPr>
          <w:rFonts w:ascii="Arial" w:cs="Arial" w:eastAsia="Arial" w:hAnsi="Arial"/>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any subsidiary of the Borrower.</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Guarantor</w:t>
      </w:r>
      <w:r>
        <w:rPr>
          <w:rFonts w:ascii="Arial" w:cs="Arial" w:eastAsia="Arial" w:hAnsi="Arial"/>
          <w:sz w:val="19"/>
          <w:szCs w:val="19"/>
          <w:color w:val="auto"/>
        </w:rPr>
        <w:t xml:space="preserve">” means each Material Domestic Subsidiary that is a party to the Subsidiary Guaranty. The Subsidiary Guarantors on the Effective Date are identified as such in </w:t>
      </w:r>
      <w:r>
        <w:rPr>
          <w:rFonts w:ascii="Arial" w:cs="Arial" w:eastAsia="Arial" w:hAnsi="Arial"/>
          <w:sz w:val="19"/>
          <w:szCs w:val="19"/>
          <w:u w:val="single" w:color="auto"/>
          <w:color w:val="auto"/>
        </w:rPr>
        <w:t>Schedule 3.01</w:t>
      </w:r>
      <w:r>
        <w:rPr>
          <w:rFonts w:ascii="Arial" w:cs="Arial" w:eastAsia="Arial" w:hAnsi="Arial"/>
          <w:sz w:val="19"/>
          <w:szCs w:val="19"/>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40"/>
          </w:cols>
          <w:pgMar w:left="320" w:top="1381" w:right="339" w:bottom="1440" w:gutter="0" w:footer="0" w:header="0"/>
        </w:sectPr>
      </w:pPr>
    </w:p>
    <w:bookmarkStart w:id="65" w:name="page66"/>
    <w:bookmarkEnd w:id="65"/>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Guaranty</w:t>
      </w:r>
      <w:r>
        <w:rPr>
          <w:rFonts w:ascii="Arial" w:cs="Arial" w:eastAsia="Arial" w:hAnsi="Arial"/>
          <w:sz w:val="19"/>
          <w:szCs w:val="19"/>
          <w:color w:val="auto"/>
        </w:rPr>
        <w:t>” means that certain Guaranty dated as of the Effective Date (including any and all supplements thereto) and executed by each Subsidiary Guarantor, as amended, restated, supplemented or otherwise modified from time to time.</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Supported QFC</w:t>
      </w:r>
      <w:r>
        <w:rPr>
          <w:rFonts w:ascii="Arial" w:cs="Arial" w:eastAsia="Arial" w:hAnsi="Arial"/>
          <w:sz w:val="19"/>
          <w:szCs w:val="19"/>
          <w:color w:val="auto"/>
        </w:rPr>
        <w:t>” has the meaning assigned to it in Section 9.19.</w:t>
      </w:r>
    </w:p>
    <w:p>
      <w:pPr>
        <w:spacing w:after="0" w:line="179" w:lineRule="exact"/>
        <w:rPr>
          <w:sz w:val="20"/>
          <w:szCs w:val="20"/>
          <w:color w:val="auto"/>
        </w:rPr>
      </w:pPr>
    </w:p>
    <w:p>
      <w:pPr>
        <w:jc w:val="both"/>
        <w:ind w:firstLine="127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w:t>
      </w:r>
      <w:r>
        <w:rPr>
          <w:rFonts w:ascii="Arial" w:cs="Arial" w:eastAsia="Arial" w:hAnsi="Arial"/>
          <w:sz w:val="17"/>
          <w:szCs w:val="17"/>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or consultants of the Borrower or the Subsidiaries shall be a Swap Agreement. Notwithstanding the foregoing, no Permitted Bond Hedge Transaction or Permitted Warrant Transaction shall be considered a Swap Agreement.</w:t>
      </w:r>
    </w:p>
    <w:p>
      <w:pPr>
        <w:spacing w:after="0" w:line="152"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Obligations</w:t>
      </w:r>
      <w:r>
        <w:rPr>
          <w:rFonts w:ascii="Arial" w:cs="Arial" w:eastAsia="Arial" w:hAnsi="Arial"/>
          <w:sz w:val="19"/>
          <w:szCs w:val="19"/>
          <w:color w:val="auto"/>
        </w:rPr>
        <w:t>” means any and all obligations of the Borrower or any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53" w:lineRule="exact"/>
        <w:rPr>
          <w:sz w:val="20"/>
          <w:szCs w:val="20"/>
          <w:color w:val="auto"/>
        </w:rPr>
      </w:pPr>
    </w:p>
    <w:p>
      <w:pPr>
        <w:jc w:val="both"/>
        <w:ind w:firstLine="1272"/>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Section 2.21 of the Swingline Exposure of Defaulting Lenders in effect at such time, and (b) in the case of any Lender that is a Swingline Lender, the aggregate principal amount of all Swingline Loans made by such Lender outstanding at such time, less the amount of participations funded by the other Lenders in such Swingline Loans.</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Lender</w:t>
      </w:r>
      <w:r>
        <w:rPr>
          <w:rFonts w:ascii="Arial" w:cs="Arial" w:eastAsia="Arial" w:hAnsi="Arial"/>
          <w:sz w:val="19"/>
          <w:szCs w:val="19"/>
          <w:color w:val="auto"/>
        </w:rPr>
        <w:t>” means JPMorgan Chase Bank, N.A., in its capacity as the lender of Swingline Loans hereunder.</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Loan</w:t>
      </w:r>
      <w:r>
        <w:rPr>
          <w:rFonts w:ascii="Arial" w:cs="Arial" w:eastAsia="Arial" w:hAnsi="Arial"/>
          <w:sz w:val="19"/>
          <w:szCs w:val="19"/>
          <w:color w:val="auto"/>
        </w:rPr>
        <w:t>” means a Loan made pursuant to Section 2.05.</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Sublimit</w:t>
      </w:r>
      <w:r>
        <w:rPr>
          <w:rFonts w:ascii="Arial" w:cs="Arial" w:eastAsia="Arial" w:hAnsi="Arial"/>
          <w:sz w:val="19"/>
          <w:szCs w:val="19"/>
          <w:color w:val="auto"/>
        </w:rPr>
        <w:t>” means $20,000,000.</w:t>
      </w:r>
    </w:p>
    <w:p>
      <w:pPr>
        <w:spacing w:after="0" w:line="179"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Benchmark</w:t>
      </w:r>
      <w:r>
        <w:rPr>
          <w:rFonts w:ascii="Arial" w:cs="Arial" w:eastAsia="Arial" w:hAnsi="Arial"/>
          <w:sz w:val="19"/>
          <w:szCs w:val="19"/>
          <w:color w:val="auto"/>
        </w:rPr>
        <w:t>” when used in reference to any Loan or Borrowing, refers to whether such Loan, or the Loans comprising such Borrowing, are bearing interest at a rate determined by reference to the Adjusted Term SOFR Rate.</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Determination Day</w:t>
      </w:r>
      <w:r>
        <w:rPr>
          <w:rFonts w:ascii="Arial" w:cs="Arial" w:eastAsia="Arial" w:hAnsi="Arial"/>
          <w:sz w:val="19"/>
          <w:szCs w:val="19"/>
          <w:color w:val="auto"/>
        </w:rPr>
        <w:t>” has the meaning assigned to it under the definition of Term SOFR Reference Rate.</w:t>
      </w:r>
    </w:p>
    <w:p>
      <w:pPr>
        <w:spacing w:after="0" w:line="179"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Rate</w:t>
      </w:r>
      <w:r>
        <w:rPr>
          <w:rFonts w:ascii="Arial" w:cs="Arial" w:eastAsia="Arial" w:hAnsi="Arial"/>
          <w:sz w:val="19"/>
          <w:szCs w:val="19"/>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40"/>
          </w:cols>
          <w:pgMar w:left="320" w:top="1381" w:right="339" w:bottom="1440" w:gutter="0" w:footer="0" w:header="0"/>
        </w:sectPr>
      </w:pPr>
    </w:p>
    <w:bookmarkStart w:id="66" w:name="page67"/>
    <w:bookmarkEnd w:id="66"/>
    <w:p>
      <w:pPr>
        <w:jc w:val="both"/>
        <w:ind w:firstLine="1272"/>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Reference Rate</w:t>
      </w:r>
      <w:r>
        <w:rPr>
          <w:rFonts w:ascii="Arial" w:cs="Arial" w:eastAsia="Arial" w:hAnsi="Arial"/>
          <w:sz w:val="18"/>
          <w:szCs w:val="18"/>
          <w:color w:val="auto"/>
        </w:rPr>
        <w:t>” means, for any day and time (such day, the “</w:t>
      </w:r>
      <w:r>
        <w:rPr>
          <w:rFonts w:ascii="Arial" w:cs="Arial" w:eastAsia="Arial" w:hAnsi="Arial"/>
          <w:sz w:val="18"/>
          <w:szCs w:val="18"/>
          <w:u w:val="single" w:color="auto"/>
          <w:color w:val="auto"/>
        </w:rPr>
        <w:t>Term SOFR Determination Day</w:t>
      </w:r>
      <w:r>
        <w:rPr>
          <w:rFonts w:ascii="Arial" w:cs="Arial" w:eastAsia="Arial" w:hAnsi="Arial"/>
          <w:sz w:val="18"/>
          <w:szCs w:val="18"/>
          <w:color w:val="auto"/>
        </w:rPr>
        <w:t>”),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Credit Exposure</w:t>
      </w:r>
      <w:r>
        <w:rPr>
          <w:rFonts w:ascii="Arial" w:cs="Arial" w:eastAsia="Arial" w:hAnsi="Arial"/>
          <w:sz w:val="19"/>
          <w:szCs w:val="19"/>
          <w:color w:val="auto"/>
        </w:rPr>
        <w:t>” means, at any time, the sum of (a) the outstanding principal amount of the Revolving Loans and Swingline Loans at such time and (b) the total LC Exposure at such time.</w:t>
      </w:r>
    </w:p>
    <w:p>
      <w:pPr>
        <w:spacing w:after="0" w:line="151" w:lineRule="exact"/>
        <w:rPr>
          <w:sz w:val="20"/>
          <w:szCs w:val="20"/>
          <w:color w:val="auto"/>
        </w:rPr>
      </w:pPr>
    </w:p>
    <w:p>
      <w:pPr>
        <w:jc w:val="both"/>
        <w:ind w:firstLine="1272"/>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109"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when used in reference to any Loan or Borrowing, refers to whether the rate of interest on such Loan, or on the Loans comprising such Borrowing, is determined by reference to the Adjusted Term SOFR Rate, the Alternate Base Rate or the Adjusted Daily Simple SOFR.</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51"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3"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Resolution Authority</w:t>
      </w:r>
      <w:r>
        <w:rPr>
          <w:rFonts w:ascii="Arial" w:cs="Arial" w:eastAsia="Arial" w:hAnsi="Arial"/>
          <w:sz w:val="19"/>
          <w:szCs w:val="19"/>
          <w:color w:val="auto"/>
        </w:rPr>
        <w:t>” means the Bank of England or any other public administrative authority having responsibility for the resolution of any UK Financial Institution.</w:t>
      </w:r>
    </w:p>
    <w:p>
      <w:pPr>
        <w:spacing w:after="0" w:line="151"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Unadjusted Benchmark Replacement</w:t>
      </w:r>
      <w:r>
        <w:rPr>
          <w:rFonts w:ascii="Arial" w:cs="Arial" w:eastAsia="Arial" w:hAnsi="Arial"/>
          <w:sz w:val="19"/>
          <w:szCs w:val="19"/>
          <w:color w:val="auto"/>
        </w:rPr>
        <w:t>” means the applicable Benchmark Replacement excluding the related Benchmark Replacement Adjustment.</w:t>
      </w:r>
    </w:p>
    <w:p>
      <w:pPr>
        <w:spacing w:after="0" w:line="14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Commitment</w:t>
      </w:r>
      <w:r>
        <w:rPr>
          <w:rFonts w:ascii="Arial" w:cs="Arial" w:eastAsia="Arial" w:hAnsi="Arial"/>
          <w:sz w:val="18"/>
          <w:szCs w:val="18"/>
          <w:color w:val="auto"/>
        </w:rPr>
        <w:t>” means, with respect to each Lender, the Commitment of such Lender less its Revolving Credit</w:t>
      </w:r>
    </w:p>
    <w:p>
      <w:pPr>
        <w:spacing w:after="0"/>
        <w:rPr>
          <w:sz w:val="20"/>
          <w:szCs w:val="20"/>
          <w:color w:val="auto"/>
        </w:rPr>
      </w:pPr>
      <w:r>
        <w:rPr>
          <w:rFonts w:ascii="Arial" w:cs="Arial" w:eastAsia="Arial" w:hAnsi="Arial"/>
          <w:sz w:val="19"/>
          <w:szCs w:val="19"/>
          <w:color w:val="auto"/>
        </w:rPr>
        <w:t>Exposure.</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United States</w:t>
      </w:r>
      <w:r>
        <w:rPr>
          <w:rFonts w:ascii="Arial" w:cs="Arial" w:eastAsia="Arial" w:hAnsi="Arial"/>
          <w:sz w:val="19"/>
          <w:szCs w:val="19"/>
          <w:color w:val="auto"/>
        </w:rPr>
        <w:t>” or “</w:t>
      </w:r>
      <w:r>
        <w:rPr>
          <w:rFonts w:ascii="Arial" w:cs="Arial" w:eastAsia="Arial" w:hAnsi="Arial"/>
          <w:sz w:val="19"/>
          <w:szCs w:val="19"/>
          <w:u w:val="single" w:color="auto"/>
          <w:color w:val="auto"/>
        </w:rPr>
        <w:t>U.S.</w:t>
      </w:r>
      <w:r>
        <w:rPr>
          <w:rFonts w:ascii="Arial" w:cs="Arial" w:eastAsia="Arial" w:hAnsi="Arial"/>
          <w:sz w:val="19"/>
          <w:szCs w:val="19"/>
          <w:color w:val="auto"/>
        </w:rPr>
        <w:t>” mean the United States of America.</w:t>
      </w:r>
    </w:p>
    <w:p>
      <w:pPr>
        <w:spacing w:after="0" w:line="179"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Unliquidated Obligations</w:t>
      </w:r>
      <w:r>
        <w:rPr>
          <w:rFonts w:ascii="Arial" w:cs="Arial" w:eastAsia="Arial" w:hAnsi="Arial"/>
          <w:sz w:val="19"/>
          <w:szCs w:val="19"/>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53"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Government Securities Business Day</w:t>
      </w:r>
      <w:r>
        <w:rPr>
          <w:rFonts w:ascii="Arial" w:cs="Arial" w:eastAsia="Arial" w:hAnsi="Arial"/>
          <w:sz w:val="19"/>
          <w:szCs w:val="19"/>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40"/>
          </w:cols>
          <w:pgMar w:left="320" w:top="1381" w:right="339" w:bottom="1440" w:gutter="0" w:footer="0" w:header="0"/>
        </w:sectPr>
      </w:pPr>
    </w:p>
    <w:bookmarkStart w:id="67" w:name="page68"/>
    <w:bookmarkEnd w:id="67"/>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a “United States person” within the meaning of Section 7701(a)(30) of the Code.</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Special Resolution Regime</w:t>
      </w:r>
      <w:r>
        <w:rPr>
          <w:rFonts w:ascii="Arial" w:cs="Arial" w:eastAsia="Arial" w:hAnsi="Arial"/>
          <w:sz w:val="19"/>
          <w:szCs w:val="19"/>
          <w:color w:val="auto"/>
        </w:rPr>
        <w:t>” has the meaning assigned to it in Section 9.19.</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has the meaning assigned to such term in Section 2.17(f)(ii)(B)(3).</w:t>
      </w:r>
    </w:p>
    <w:p>
      <w:pPr>
        <w:spacing w:after="0" w:line="179"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Withdrawal Liability</w:t>
      </w:r>
      <w:r>
        <w:rPr>
          <w:rFonts w:ascii="Arial" w:cs="Arial" w:eastAsia="Arial" w:hAnsi="Arial"/>
          <w:sz w:val="19"/>
          <w:szCs w:val="19"/>
          <w:color w:val="auto"/>
        </w:rPr>
        <w:t>” means liability to a Multiemployer Plan as a result of a complete or partial withdrawal from such Multiemployer Plan, as such terms are defined in Part I of Subtitle E of Title IV of ERISA.</w:t>
      </w:r>
    </w:p>
    <w:p>
      <w:pPr>
        <w:spacing w:after="0" w:line="151" w:lineRule="exact"/>
        <w:rPr>
          <w:sz w:val="20"/>
          <w:szCs w:val="20"/>
          <w:color w:val="auto"/>
        </w:rPr>
      </w:pPr>
    </w:p>
    <w:p>
      <w:pPr>
        <w:jc w:val="both"/>
        <w:ind w:firstLine="1272"/>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2"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010000"/>
        </w:rPr>
        <w:t>SECTION 1.02.</w:t>
      </w:r>
      <w:r>
        <w:rPr>
          <w:rFonts w:ascii="Arial" w:cs="Arial" w:eastAsia="Arial" w:hAnsi="Arial"/>
          <w:sz w:val="19"/>
          <w:szCs w:val="19"/>
          <w:u w:val="single" w:color="auto"/>
          <w:color w:val="000000"/>
        </w:rPr>
        <w:t>Classification of Loans and Borrowings</w:t>
      </w:r>
      <w:r>
        <w:rPr>
          <w:rFonts w:ascii="Arial" w:cs="Arial" w:eastAsia="Arial" w:hAnsi="Arial"/>
          <w:sz w:val="19"/>
          <w:szCs w:val="19"/>
          <w:color w:val="000000"/>
        </w:rPr>
        <w:t>. For purposes of this Agreement, Loans may be classified and referred</w:t>
      </w:r>
      <w:r>
        <w:rPr>
          <w:rFonts w:ascii="Arial" w:cs="Arial" w:eastAsia="Arial" w:hAnsi="Arial"/>
          <w:sz w:val="19"/>
          <w:szCs w:val="19"/>
          <w:color w:val="010000"/>
        </w:rPr>
        <w:t xml:space="preserve"> </w:t>
      </w:r>
      <w:r>
        <w:rPr>
          <w:rFonts w:ascii="Arial" w:cs="Arial" w:eastAsia="Arial" w:hAnsi="Arial"/>
          <w:sz w:val="19"/>
          <w:szCs w:val="19"/>
          <w:color w:val="000000"/>
        </w:rPr>
        <w:t>to by Class (</w:t>
      </w:r>
      <w:r>
        <w:rPr>
          <w:rFonts w:ascii="Arial" w:cs="Arial" w:eastAsia="Arial" w:hAnsi="Arial"/>
          <w:sz w:val="19"/>
          <w:szCs w:val="19"/>
          <w:u w:val="single" w:color="auto"/>
          <w:color w:val="000000"/>
        </w:rPr>
        <w:t>e.g.</w:t>
      </w:r>
      <w:r>
        <w:rPr>
          <w:rFonts w:ascii="Arial" w:cs="Arial" w:eastAsia="Arial" w:hAnsi="Arial"/>
          <w:sz w:val="19"/>
          <w:szCs w:val="19"/>
          <w:color w:val="000000"/>
        </w:rPr>
        <w:t>, a “Revolving Loan”) or by Type (</w:t>
      </w:r>
      <w:r>
        <w:rPr>
          <w:rFonts w:ascii="Arial" w:cs="Arial" w:eastAsia="Arial" w:hAnsi="Arial"/>
          <w:sz w:val="19"/>
          <w:szCs w:val="19"/>
          <w:u w:val="single" w:color="auto"/>
          <w:color w:val="000000"/>
        </w:rPr>
        <w:t>e.g.</w:t>
      </w:r>
      <w:r>
        <w:rPr>
          <w:rFonts w:ascii="Arial" w:cs="Arial" w:eastAsia="Arial" w:hAnsi="Arial"/>
          <w:sz w:val="19"/>
          <w:szCs w:val="19"/>
          <w:color w:val="000000"/>
        </w:rPr>
        <w:t>, a “Term Benchmark Loan” or an “RFR Loan”) or by Class and Type (</w:t>
      </w:r>
      <w:r>
        <w:rPr>
          <w:rFonts w:ascii="Arial" w:cs="Arial" w:eastAsia="Arial" w:hAnsi="Arial"/>
          <w:sz w:val="19"/>
          <w:szCs w:val="19"/>
          <w:u w:val="single" w:color="auto"/>
          <w:color w:val="000000"/>
        </w:rPr>
        <w:t>e.g.</w:t>
      </w:r>
      <w:r>
        <w:rPr>
          <w:rFonts w:ascii="Arial" w:cs="Arial" w:eastAsia="Arial" w:hAnsi="Arial"/>
          <w:sz w:val="19"/>
          <w:szCs w:val="19"/>
          <w:color w:val="000000"/>
        </w:rPr>
        <w:t>, a “Term Benchmark Revolving Loan” or an “RFR Revolving Loan”). Borrowings also may be classified and referred to by Class (</w:t>
      </w:r>
      <w:r>
        <w:rPr>
          <w:rFonts w:ascii="Arial" w:cs="Arial" w:eastAsia="Arial" w:hAnsi="Arial"/>
          <w:sz w:val="19"/>
          <w:szCs w:val="19"/>
          <w:u w:val="single" w:color="auto"/>
          <w:color w:val="000000"/>
        </w:rPr>
        <w:t>e.g.</w:t>
      </w:r>
      <w:r>
        <w:rPr>
          <w:rFonts w:ascii="Arial" w:cs="Arial" w:eastAsia="Arial" w:hAnsi="Arial"/>
          <w:sz w:val="19"/>
          <w:szCs w:val="19"/>
          <w:color w:val="000000"/>
        </w:rPr>
        <w:t>, a “Revolving Borrowing”) or by Type (</w:t>
      </w:r>
      <w:r>
        <w:rPr>
          <w:rFonts w:ascii="Arial" w:cs="Arial" w:eastAsia="Arial" w:hAnsi="Arial"/>
          <w:sz w:val="19"/>
          <w:szCs w:val="19"/>
          <w:u w:val="single" w:color="auto"/>
          <w:color w:val="000000"/>
        </w:rPr>
        <w:t>e.g.</w:t>
      </w:r>
      <w:r>
        <w:rPr>
          <w:rFonts w:ascii="Arial" w:cs="Arial" w:eastAsia="Arial" w:hAnsi="Arial"/>
          <w:sz w:val="19"/>
          <w:szCs w:val="19"/>
          <w:color w:val="000000"/>
        </w:rPr>
        <w:t>, a “Term Benchmark Borrowing” or an “RFR Borrowing”) or by Class and Type (</w:t>
      </w:r>
      <w:r>
        <w:rPr>
          <w:rFonts w:ascii="Arial" w:cs="Arial" w:eastAsia="Arial" w:hAnsi="Arial"/>
          <w:sz w:val="19"/>
          <w:szCs w:val="19"/>
          <w:u w:val="single" w:color="auto"/>
          <w:color w:val="000000"/>
        </w:rPr>
        <w:t>e.g.</w:t>
      </w:r>
      <w:r>
        <w:rPr>
          <w:rFonts w:ascii="Arial" w:cs="Arial" w:eastAsia="Arial" w:hAnsi="Arial"/>
          <w:sz w:val="19"/>
          <w:szCs w:val="19"/>
          <w:color w:val="000000"/>
        </w:rPr>
        <w:t>, a “Term Benchmark Revolving Borrowing” or an “RFR Revolving Borrowing”).</w:t>
      </w:r>
    </w:p>
    <w:p>
      <w:pPr>
        <w:spacing w:after="0" w:line="152" w:lineRule="exact"/>
        <w:rPr>
          <w:sz w:val="20"/>
          <w:szCs w:val="20"/>
          <w:color w:val="auto"/>
        </w:rPr>
      </w:pPr>
    </w:p>
    <w:p>
      <w:pPr>
        <w:jc w:val="both"/>
        <w:ind w:firstLine="1272"/>
        <w:spacing w:after="0" w:line="218" w:lineRule="auto"/>
        <w:rPr>
          <w:sz w:val="20"/>
          <w:szCs w:val="20"/>
          <w:color w:val="auto"/>
        </w:rPr>
      </w:pPr>
      <w:r>
        <w:rPr>
          <w:rFonts w:ascii="Arial" w:cs="Arial" w:eastAsia="Arial" w:hAnsi="Arial"/>
          <w:sz w:val="18"/>
          <w:szCs w:val="18"/>
          <w:color w:val="010000"/>
        </w:rPr>
        <w:t>SECTION 1.03.</w:t>
      </w:r>
      <w:r>
        <w:rPr>
          <w:rFonts w:ascii="Arial" w:cs="Arial" w:eastAsia="Arial" w:hAnsi="Arial"/>
          <w:sz w:val="18"/>
          <w:szCs w:val="18"/>
          <w:u w:val="single" w:color="auto"/>
          <w:color w:val="000000"/>
        </w:rPr>
        <w:t>Terms Generally</w:t>
      </w:r>
      <w:r>
        <w:rPr>
          <w:rFonts w:ascii="Arial" w:cs="Arial" w:eastAsia="Arial" w:hAnsi="Arial"/>
          <w:sz w:val="18"/>
          <w:szCs w:val="18"/>
          <w:color w:val="000000"/>
        </w:rPr>
        <w:t>. The definitions of terms herein shall apply equally to the singular and plural forms of the</w:t>
      </w:r>
      <w:r>
        <w:rPr>
          <w:rFonts w:ascii="Arial" w:cs="Arial" w:eastAsia="Arial" w:hAnsi="Arial"/>
          <w:sz w:val="18"/>
          <w:szCs w:val="18"/>
          <w:color w:val="010000"/>
        </w:rPr>
        <w:t xml:space="preserve"> </w:t>
      </w:r>
      <w:r>
        <w:rPr>
          <w:rFonts w:ascii="Arial" w:cs="Arial" w:eastAsia="Arial" w:hAnsi="Arial"/>
          <w:sz w:val="18"/>
          <w:szCs w:val="18"/>
          <w:color w:val="000000"/>
        </w:rPr>
        <w:t>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w:t>
      </w:r>
    </w:p>
    <w:p>
      <w:pPr>
        <w:spacing w:after="0" w:line="1" w:lineRule="exact"/>
        <w:rPr>
          <w:sz w:val="20"/>
          <w:szCs w:val="20"/>
          <w:color w:val="auto"/>
        </w:rPr>
      </w:pPr>
    </w:p>
    <w:p>
      <w:pPr>
        <w:jc w:val="both"/>
        <w:ind w:firstLine="6"/>
        <w:spacing w:after="0" w:line="219" w:lineRule="auto"/>
        <w:tabs>
          <w:tab w:leader="none" w:pos="28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law, statute, rule or regulation shall, unless otherwise specified,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59"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1.04.</w:t>
      </w:r>
      <w:r>
        <w:rPr>
          <w:rFonts w:ascii="Arial" w:cs="Arial" w:eastAsia="Arial" w:hAnsi="Arial"/>
          <w:sz w:val="19"/>
          <w:szCs w:val="19"/>
          <w:u w:val="single" w:color="auto"/>
          <w:color w:val="000000"/>
        </w:rPr>
        <w:t>Accounting Terms; GAAP; Pro Forma Calculations</w:t>
      </w:r>
      <w:r>
        <w:rPr>
          <w:rFonts w:ascii="Arial" w:cs="Arial" w:eastAsia="Arial" w:hAnsi="Arial"/>
          <w:sz w:val="19"/>
          <w:szCs w:val="19"/>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40"/>
          </w:cols>
          <w:pgMar w:left="320" w:top="1381" w:right="339" w:bottom="1440" w:gutter="0" w:footer="0" w:header="0"/>
        </w:sectPr>
      </w:pPr>
    </w:p>
    <w:bookmarkStart w:id="68" w:name="page69"/>
    <w:bookmarkEnd w:id="68"/>
    <w:p>
      <w:pPr>
        <w:jc w:val="both"/>
        <w:ind w:firstLine="1278"/>
        <w:spacing w:after="0" w:line="218" w:lineRule="auto"/>
        <w:tabs>
          <w:tab w:leader="none" w:pos="1898"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Accounting Standards Codification or Financial Accounting Standard having a similar result or effect) to value any Indebtedness or other liabilities of the Borrower or any Subsidiary at “fair value”, as defined therein and (ii)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For the avoidance of doubt, and without limitation of the foregoing, Permitted Convertible Indebtedness shall at all times be valued at the full stated principal amount thereof and shall not include any reduction or appreciation in value of the shares deliverable upon conversion thereof. Notwithstanding anything to the contrary contained in this Section 1.04(a) or in the definition of “Capital Lease Obligations,” any change in accounting for leases pursuant to GAAP resulting from the adoption of Financial Accounting Standards Board Accounting Standards Update No. 2016-02, Leases (Topic 842) (“</w:t>
      </w:r>
      <w:r>
        <w:rPr>
          <w:rFonts w:ascii="Arial" w:cs="Arial" w:eastAsia="Arial" w:hAnsi="Arial"/>
          <w:sz w:val="18"/>
          <w:szCs w:val="18"/>
          <w:u w:val="single" w:color="auto"/>
          <w:color w:val="auto"/>
        </w:rPr>
        <w:t>FAS 842</w:t>
      </w:r>
      <w:r>
        <w:rPr>
          <w:rFonts w:ascii="Arial" w:cs="Arial" w:eastAsia="Arial" w:hAnsi="Arial"/>
          <w:sz w:val="18"/>
          <w:szCs w:val="18"/>
          <w:color w:val="auto"/>
        </w:rPr>
        <w:t>”),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56" w:lineRule="exact"/>
        <w:rPr>
          <w:rFonts w:ascii="Arial" w:cs="Arial" w:eastAsia="Arial" w:hAnsi="Arial"/>
          <w:sz w:val="18"/>
          <w:szCs w:val="18"/>
          <w:color w:val="010000"/>
        </w:rPr>
      </w:pPr>
    </w:p>
    <w:p>
      <w:pPr>
        <w:jc w:val="both"/>
        <w:ind w:firstLine="1278"/>
        <w:spacing w:after="0" w:line="220" w:lineRule="auto"/>
        <w:tabs>
          <w:tab w:leader="none" w:pos="1896"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All pro forma computations required to be made hereunder giving effect to any acquisition or disposition</w:t>
      </w:r>
      <w:r>
        <w:rPr>
          <w:rFonts w:ascii="Arial" w:cs="Arial" w:eastAsia="Arial" w:hAnsi="Arial"/>
          <w:sz w:val="18"/>
          <w:szCs w:val="18"/>
          <w:color w:val="002060"/>
        </w:rPr>
        <w:t>,</w:t>
      </w:r>
      <w:r>
        <w:rPr>
          <w:rFonts w:ascii="Arial" w:cs="Arial" w:eastAsia="Arial" w:hAnsi="Arial"/>
          <w:sz w:val="18"/>
          <w:szCs w:val="18"/>
          <w:color w:val="auto"/>
        </w:rPr>
        <w:t xml:space="preserve">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w:t>
      </w:r>
      <w:r>
        <w:rPr>
          <w:rFonts w:ascii="Arial" w:cs="Arial" w:eastAsia="Arial" w:hAnsi="Arial"/>
          <w:sz w:val="18"/>
          <w:szCs w:val="18"/>
          <w:color w:val="002060"/>
        </w:rPr>
        <w:t>(a)</w:t>
      </w:r>
      <w:r>
        <w:rPr>
          <w:rFonts w:ascii="Arial" w:cs="Arial" w:eastAsia="Arial" w:hAnsi="Arial"/>
          <w:sz w:val="18"/>
          <w:szCs w:val="18"/>
          <w:color w:val="auto"/>
        </w:rPr>
        <w:t>),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56" w:lineRule="exact"/>
        <w:rPr>
          <w:rFonts w:ascii="Arial" w:cs="Arial" w:eastAsia="Arial" w:hAnsi="Arial"/>
          <w:sz w:val="18"/>
          <w:szCs w:val="18"/>
          <w:color w:val="010000"/>
        </w:rPr>
      </w:pPr>
    </w:p>
    <w:p>
      <w:pPr>
        <w:jc w:val="both"/>
        <w:ind w:firstLine="1278"/>
        <w:spacing w:after="0" w:line="226" w:lineRule="auto"/>
        <w:tabs>
          <w:tab w:leader="none" w:pos="1898"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 xml:space="preserve">Notwithstanding anything to the contrary herein, no Default or Event of Default shall arise as a result of a limitation set forth in Dollars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being exceeded solely as a result of changes in currency or exchange rates from the currency exchange rates applicable at the time or times the related transaction was entered into.</w:t>
      </w:r>
    </w:p>
    <w:p>
      <w:pPr>
        <w:spacing w:after="0" w:line="151" w:lineRule="exact"/>
        <w:rPr>
          <w:sz w:val="20"/>
          <w:szCs w:val="20"/>
          <w:color w:val="auto"/>
        </w:rPr>
      </w:pPr>
    </w:p>
    <w:p>
      <w:pPr>
        <w:jc w:val="both"/>
        <w:ind w:firstLine="1272"/>
        <w:spacing w:after="0" w:line="238" w:lineRule="auto"/>
        <w:rPr>
          <w:sz w:val="20"/>
          <w:szCs w:val="20"/>
          <w:color w:val="auto"/>
        </w:rPr>
      </w:pPr>
      <w:r>
        <w:rPr>
          <w:rFonts w:ascii="Arial" w:cs="Arial" w:eastAsia="Arial" w:hAnsi="Arial"/>
          <w:sz w:val="18"/>
          <w:szCs w:val="18"/>
          <w:color w:val="010000"/>
        </w:rPr>
        <w:t>SECTION 1.05.</w:t>
      </w:r>
      <w:r>
        <w:rPr>
          <w:rFonts w:ascii="Arial" w:cs="Arial" w:eastAsia="Arial" w:hAnsi="Arial"/>
          <w:sz w:val="18"/>
          <w:szCs w:val="18"/>
          <w:u w:val="single" w:color="auto"/>
          <w:color w:val="000000"/>
        </w:rPr>
        <w:t>Interest Rates; Benchmark Notification</w:t>
      </w:r>
      <w:r>
        <w:rPr>
          <w:rFonts w:ascii="Arial" w:cs="Arial" w:eastAsia="Arial" w:hAnsi="Arial"/>
          <w:sz w:val="18"/>
          <w:szCs w:val="18"/>
          <w:color w:val="000000"/>
        </w:rPr>
        <w:t>. The interest rate on a Loan denominated in Dollars may be derived</w:t>
      </w:r>
      <w:r>
        <w:rPr>
          <w:rFonts w:ascii="Arial" w:cs="Arial" w:eastAsia="Arial" w:hAnsi="Arial"/>
          <w:sz w:val="18"/>
          <w:szCs w:val="18"/>
          <w:color w:val="010000"/>
        </w:rPr>
        <w:t xml:space="preserve"> </w:t>
      </w:r>
      <w:r>
        <w:rPr>
          <w:rFonts w:ascii="Arial" w:cs="Arial" w:eastAsia="Arial" w:hAnsi="Arial"/>
          <w:sz w:val="18"/>
          <w:szCs w:val="18"/>
          <w:color w:val="000000"/>
        </w:rPr>
        <w:t>from an interest rate benchmark that may be discontinued or is, or may in the future become, the subject of regulatory reform. Upon the occurrence of a Benchmark Transition Event, Section 2.14(b) provides a mechanism for determining an alternative rate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240"/>
          </w:cols>
          <w:pgMar w:left="320" w:top="1381" w:right="339" w:bottom="1440" w:gutter="0" w:footer="0" w:header="0"/>
        </w:sectPr>
      </w:pPr>
    </w:p>
    <w:bookmarkStart w:id="69" w:name="page70"/>
    <w:bookmarkEnd w:id="69"/>
    <w:p>
      <w:pPr>
        <w:jc w:val="both"/>
        <w:spacing w:after="0" w:line="220" w:lineRule="auto"/>
        <w:rPr>
          <w:sz w:val="20"/>
          <w:szCs w:val="20"/>
          <w:color w:val="auto"/>
        </w:rPr>
      </w:pPr>
      <w:r>
        <w:rPr>
          <w:rFonts w:ascii="Arial" w:cs="Arial" w:eastAsia="Arial" w:hAnsi="Arial"/>
          <w:sz w:val="18"/>
          <w:szCs w:val="18"/>
          <w:color w:val="auto"/>
        </w:rPr>
        <w:t>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7" w:lineRule="exact"/>
        <w:rPr>
          <w:sz w:val="20"/>
          <w:szCs w:val="20"/>
          <w:color w:val="auto"/>
        </w:rPr>
      </w:pPr>
    </w:p>
    <w:p>
      <w:pPr>
        <w:jc w:val="both"/>
        <w:ind w:firstLine="1272"/>
        <w:spacing w:after="0" w:line="222" w:lineRule="auto"/>
        <w:rPr>
          <w:sz w:val="20"/>
          <w:szCs w:val="20"/>
          <w:color w:val="auto"/>
        </w:rPr>
      </w:pPr>
      <w:r>
        <w:rPr>
          <w:rFonts w:ascii="Arial" w:cs="Arial" w:eastAsia="Arial" w:hAnsi="Arial"/>
          <w:sz w:val="18"/>
          <w:szCs w:val="18"/>
          <w:color w:val="010000"/>
        </w:rPr>
        <w:t>SECTION 1.06.</w:t>
      </w:r>
      <w:r>
        <w:rPr>
          <w:rFonts w:ascii="Arial" w:cs="Arial" w:eastAsia="Arial" w:hAnsi="Arial"/>
          <w:sz w:val="18"/>
          <w:szCs w:val="18"/>
          <w:u w:val="single" w:color="auto"/>
          <w:color w:val="000000"/>
        </w:rPr>
        <w:t>Status of Obligations</w:t>
      </w:r>
      <w:r>
        <w:rPr>
          <w:rFonts w:ascii="Arial" w:cs="Arial" w:eastAsia="Arial" w:hAnsi="Arial"/>
          <w:sz w:val="18"/>
          <w:szCs w:val="18"/>
          <w:color w:val="000000"/>
        </w:rPr>
        <w:t>. In the event that the Borrower or any other Loan Party shall at any time issue or have</w:t>
      </w:r>
      <w:r>
        <w:rPr>
          <w:rFonts w:ascii="Arial" w:cs="Arial" w:eastAsia="Arial" w:hAnsi="Arial"/>
          <w:sz w:val="18"/>
          <w:szCs w:val="18"/>
          <w:color w:val="010000"/>
        </w:rPr>
        <w:t xml:space="preserve"> </w:t>
      </w:r>
      <w:r>
        <w:rPr>
          <w:rFonts w:ascii="Arial" w:cs="Arial" w:eastAsia="Arial" w:hAnsi="Arial"/>
          <w:sz w:val="18"/>
          <w:szCs w:val="18"/>
          <w:color w:val="000000"/>
        </w:rPr>
        <w:t>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52" w:lineRule="exact"/>
        <w:rPr>
          <w:sz w:val="20"/>
          <w:szCs w:val="20"/>
          <w:color w:val="auto"/>
        </w:rPr>
      </w:pPr>
    </w:p>
    <w:p>
      <w:pPr>
        <w:jc w:val="both"/>
        <w:ind w:firstLine="1272"/>
        <w:spacing w:after="0" w:line="229" w:lineRule="auto"/>
        <w:rPr>
          <w:sz w:val="20"/>
          <w:szCs w:val="20"/>
          <w:color w:val="auto"/>
        </w:rPr>
      </w:pPr>
      <w:r>
        <w:rPr>
          <w:rFonts w:ascii="Arial" w:cs="Arial" w:eastAsia="Arial" w:hAnsi="Arial"/>
          <w:sz w:val="18"/>
          <w:szCs w:val="18"/>
          <w:color w:val="010000"/>
        </w:rPr>
        <w:t>SECTION 1.07.</w:t>
      </w:r>
      <w:r>
        <w:rPr>
          <w:rFonts w:ascii="Arial" w:cs="Arial" w:eastAsia="Arial" w:hAnsi="Arial"/>
          <w:sz w:val="18"/>
          <w:szCs w:val="18"/>
          <w:u w:val="single" w:color="auto"/>
          <w:color w:val="000000"/>
        </w:rPr>
        <w:t>Letter of Credit Amounts</w:t>
      </w:r>
      <w:r>
        <w:rPr>
          <w:rFonts w:ascii="Arial" w:cs="Arial" w:eastAsia="Arial" w:hAnsi="Arial"/>
          <w:sz w:val="18"/>
          <w:szCs w:val="18"/>
          <w:color w:val="000000"/>
        </w:rPr>
        <w:t>. Unless otherwise specified herein, the amount of a Letter of Credit at any time shall</w:t>
      </w:r>
      <w:r>
        <w:rPr>
          <w:rFonts w:ascii="Arial" w:cs="Arial" w:eastAsia="Arial" w:hAnsi="Arial"/>
          <w:sz w:val="18"/>
          <w:szCs w:val="18"/>
          <w:color w:val="010000"/>
        </w:rPr>
        <w:t xml:space="preserve"> </w:t>
      </w:r>
      <w:r>
        <w:rPr>
          <w:rFonts w:ascii="Arial" w:cs="Arial" w:eastAsia="Arial" w:hAnsi="Arial"/>
          <w:sz w:val="18"/>
          <w:szCs w:val="18"/>
          <w:color w:val="000000"/>
        </w:rPr>
        <w:t xml:space="preserve">be deemed to be the stated amount of such Letter of Credit available to be drawn at such time;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152"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010000"/>
        </w:rPr>
        <w:t>SECTION 1.08.</w:t>
      </w:r>
      <w:r>
        <w:rPr>
          <w:rFonts w:ascii="Arial" w:cs="Arial" w:eastAsia="Arial" w:hAnsi="Arial"/>
          <w:sz w:val="19"/>
          <w:szCs w:val="19"/>
          <w:u w:val="single" w:color="auto"/>
          <w:color w:val="000000"/>
        </w:rPr>
        <w:t>Divisions</w:t>
      </w:r>
      <w:r>
        <w:rPr>
          <w:rFonts w:ascii="Arial" w:cs="Arial" w:eastAsia="Arial" w:hAnsi="Arial"/>
          <w:sz w:val="19"/>
          <w:szCs w:val="19"/>
          <w:color w:val="000000"/>
        </w:rPr>
        <w:t>. For all purposes under the Loan Documents, in connection with any division or plan of division</w:t>
      </w:r>
      <w:r>
        <w:rPr>
          <w:rFonts w:ascii="Arial" w:cs="Arial" w:eastAsia="Arial" w:hAnsi="Arial"/>
          <w:sz w:val="19"/>
          <w:szCs w:val="19"/>
          <w:color w:val="010000"/>
        </w:rPr>
        <w:t xml:space="preserve"> </w:t>
      </w:r>
      <w:r>
        <w:rPr>
          <w:rFonts w:ascii="Arial" w:cs="Arial" w:eastAsia="Arial" w:hAnsi="Arial"/>
          <w:sz w:val="19"/>
          <w:szCs w:val="19"/>
          <w:color w:val="000000"/>
        </w:rPr>
        <w:t>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84"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010000"/>
        </w:rPr>
        <w:t>Article II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The Credits</w:t>
      </w:r>
    </w:p>
    <w:p>
      <w:pPr>
        <w:spacing w:after="0" w:line="100"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010000"/>
        </w:rPr>
        <w:t>SECTION 1.01.</w:t>
      </w:r>
      <w:r>
        <w:rPr>
          <w:rFonts w:ascii="Arial" w:cs="Arial" w:eastAsia="Arial" w:hAnsi="Arial"/>
          <w:sz w:val="19"/>
          <w:szCs w:val="19"/>
          <w:u w:val="single" w:color="auto"/>
          <w:color w:val="000000"/>
        </w:rPr>
        <w:t>Commitments</w:t>
      </w:r>
      <w:r>
        <w:rPr>
          <w:rFonts w:ascii="Arial" w:cs="Arial" w:eastAsia="Arial" w:hAnsi="Arial"/>
          <w:sz w:val="19"/>
          <w:szCs w:val="19"/>
          <w:color w:val="000000"/>
        </w:rPr>
        <w:t>. Subject to the terms and conditions set forth herein, each Lender (severally and not jointly)</w:t>
      </w:r>
      <w:r>
        <w:rPr>
          <w:rFonts w:ascii="Arial" w:cs="Arial" w:eastAsia="Arial" w:hAnsi="Arial"/>
          <w:sz w:val="19"/>
          <w:szCs w:val="19"/>
          <w:color w:val="010000"/>
        </w:rPr>
        <w:t xml:space="preserve"> </w:t>
      </w:r>
      <w:r>
        <w:rPr>
          <w:rFonts w:ascii="Arial" w:cs="Arial" w:eastAsia="Arial" w:hAnsi="Arial"/>
          <w:sz w:val="19"/>
          <w:szCs w:val="19"/>
          <w:color w:val="000000"/>
        </w:rPr>
        <w:t>agrees to make Revolving Loans to the Borrower in Dollars from time to time during the Availability Period in an aggregate principal amount that will not result (after giving effect to any application of proceeds of such Borrowing to any Swingline Loans outstanding pursuant to Section 2.10(a)) in (a) such Lender’s Revolving Credit Exposure exceeding such Lender’s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40"/>
          </w:cols>
          <w:pgMar w:left="320" w:top="1381" w:right="339" w:bottom="1440" w:gutter="0" w:footer="0" w:header="0"/>
        </w:sectPr>
      </w:pPr>
    </w:p>
    <w:bookmarkStart w:id="70" w:name="page71"/>
    <w:bookmarkEnd w:id="70"/>
    <w:p>
      <w:pPr>
        <w:spacing w:after="0" w:line="237" w:lineRule="auto"/>
        <w:rPr>
          <w:sz w:val="20"/>
          <w:szCs w:val="20"/>
          <w:color w:val="auto"/>
        </w:rPr>
      </w:pPr>
      <w:r>
        <w:rPr>
          <w:rFonts w:ascii="Arial" w:cs="Arial" w:eastAsia="Arial" w:hAnsi="Arial"/>
          <w:sz w:val="19"/>
          <w:szCs w:val="19"/>
          <w:color w:val="auto"/>
        </w:rPr>
        <w:t>or (b) the Total Revolving Credit Exposure exceeding the Aggregate Commitment. Within the foregoing limits and subject to the terms and conditions set forth herein, the Borrower may borrow, prepay and reborrow Revolving Loans.</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1.02.</w:t>
      </w:r>
      <w:r>
        <w:rPr>
          <w:rFonts w:ascii="Arial" w:cs="Arial" w:eastAsia="Arial" w:hAnsi="Arial"/>
          <w:sz w:val="19"/>
          <w:szCs w:val="19"/>
          <w:u w:val="single" w:color="auto"/>
          <w:color w:val="000000"/>
        </w:rPr>
        <w:t>Loans and Borrowings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17" w:lineRule="auto"/>
        <w:tabs>
          <w:tab w:leader="none" w:pos="1898"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 xml:space="preserve">Each Revolving Loan (other than a Swingline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Commitments of the Lenders are several and no Lender shall be responsible for any other Lender’s failure to make Loans as required. Any Swingline Loan shall be made in accordance with the procedures set forth in Section 2.05.</w:t>
      </w:r>
    </w:p>
    <w:p>
      <w:pPr>
        <w:spacing w:after="0" w:line="151" w:lineRule="exact"/>
        <w:rPr>
          <w:rFonts w:ascii="Arial" w:cs="Arial" w:eastAsia="Arial" w:hAnsi="Arial"/>
          <w:sz w:val="19"/>
          <w:szCs w:val="19"/>
          <w:color w:val="010000"/>
        </w:rPr>
      </w:pPr>
    </w:p>
    <w:p>
      <w:pPr>
        <w:jc w:val="both"/>
        <w:ind w:firstLine="1278"/>
        <w:spacing w:after="0" w:line="229" w:lineRule="auto"/>
        <w:tabs>
          <w:tab w:leader="none" w:pos="1896"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 xml:space="preserve">Subject to Section 2.14, each Revolving Borrowing shall be comprised entirely of ABR Loans, Term Benchmark Loans or RFR Loans as the Borrower may request in accordance herewith.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52" w:lineRule="exact"/>
        <w:rPr>
          <w:rFonts w:ascii="Arial" w:cs="Arial" w:eastAsia="Arial" w:hAnsi="Arial"/>
          <w:sz w:val="18"/>
          <w:szCs w:val="18"/>
          <w:color w:val="010000"/>
        </w:rPr>
      </w:pPr>
    </w:p>
    <w:p>
      <w:pPr>
        <w:jc w:val="both"/>
        <w:ind w:firstLine="1278"/>
        <w:spacing w:after="0" w:line="212" w:lineRule="auto"/>
        <w:tabs>
          <w:tab w:leader="none" w:pos="1898"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 xml:space="preserve">At the commencement of each Interest Period for any Term Benchmark Revolving Borrowing, such Borrowing shall be in an aggregate amount that is an integral multiple of $100,000 and not less than $1,000,000. At the time that each ABR Revolving Borrowing and/or RFR Borrowing is made, such Borrowing shall be in an aggregate amount that is an integral multiple of $100,000 and not less than $1,000,000;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ABR Revolving Borrowing may be in an aggregate amount that is equal to the entire unused balance of the Aggregate Commitment or that is required to finance the reimbursement of an LC Disbursement as contemplated by Section 2.06(e). Each Swingline Loan shall be in an amount that is an integral multiple of $100,000 and not less than $500,000. Borrowings of more than one Type and Class may be outstanding at the same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not at any time be more than a total of ten (10) Term Benchmark Revolving Borrowings or RFR Borrowings outstanding.</w:t>
      </w:r>
    </w:p>
    <w:p>
      <w:pPr>
        <w:spacing w:after="0" w:line="152" w:lineRule="exact"/>
        <w:rPr>
          <w:rFonts w:ascii="Arial" w:cs="Arial" w:eastAsia="Arial" w:hAnsi="Arial"/>
          <w:sz w:val="19"/>
          <w:szCs w:val="19"/>
          <w:color w:val="010000"/>
        </w:rPr>
      </w:pPr>
    </w:p>
    <w:p>
      <w:pPr>
        <w:ind w:firstLine="1278"/>
        <w:spacing w:after="0" w:line="237" w:lineRule="auto"/>
        <w:tabs>
          <w:tab w:leader="none" w:pos="1896"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51"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8"/>
          <w:szCs w:val="18"/>
          <w:color w:val="010000"/>
        </w:rPr>
        <w:t>SECTION 1.03.</w:t>
      </w:r>
      <w:r>
        <w:rPr>
          <w:rFonts w:ascii="Arial" w:cs="Arial" w:eastAsia="Arial" w:hAnsi="Arial"/>
          <w:sz w:val="18"/>
          <w:szCs w:val="18"/>
          <w:u w:val="single" w:color="auto"/>
          <w:color w:val="000000"/>
        </w:rPr>
        <w:t>Requests for Revolving Borrowings</w:t>
      </w:r>
      <w:r>
        <w:rPr>
          <w:rFonts w:ascii="Arial" w:cs="Arial" w:eastAsia="Arial" w:hAnsi="Arial"/>
          <w:sz w:val="18"/>
          <w:szCs w:val="18"/>
          <w:color w:val="000000"/>
        </w:rPr>
        <w:t>. To request a Revolving Borrowing, the Borrower shall notify the</w:t>
      </w:r>
      <w:r>
        <w:rPr>
          <w:rFonts w:ascii="Arial" w:cs="Arial" w:eastAsia="Arial" w:hAnsi="Arial"/>
          <w:sz w:val="18"/>
          <w:szCs w:val="18"/>
          <w:color w:val="010000"/>
        </w:rPr>
        <w:t xml:space="preserve"> </w:t>
      </w:r>
      <w:r>
        <w:rPr>
          <w:rFonts w:ascii="Arial" w:cs="Arial" w:eastAsia="Arial" w:hAnsi="Arial"/>
          <w:sz w:val="18"/>
          <w:szCs w:val="18"/>
          <w:color w:val="000000"/>
        </w:rPr>
        <w:t>Administrative Agent of such request by irrevocable written notice (via a written Borrowing Request signed by a Responsible Officer of the Borrower) (a) (i) in the case of a Term Benchmark Borrowing, not later than 11:00 a.m., New York City time, three (3) Business Days before the date of the proposed Borrowing or (ii) in the case of an RFR Borrowing, not later than 11:00 a.m., New York City time, five Business Days before the date of the proposed Borrowing or (b) in the case of an ABR Borrowing, not later than 11:00 a.m., New York City time, on the date of the proposed Borrowing. Each such Borrowing Request shall specify the following information in compliance with Section 2.02:</w:t>
      </w:r>
    </w:p>
    <w:p>
      <w:pPr>
        <w:spacing w:after="0" w:line="156" w:lineRule="exact"/>
        <w:rPr>
          <w:sz w:val="20"/>
          <w:szCs w:val="20"/>
          <w:color w:val="auto"/>
        </w:rPr>
      </w:pPr>
    </w:p>
    <w:p>
      <w:pPr>
        <w:ind w:left="1920" w:hanging="642"/>
        <w:spacing w:after="0"/>
        <w:tabs>
          <w:tab w:leader="none" w:pos="1920"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the aggregate principal amount of the requested Borrowing;</w:t>
      </w:r>
    </w:p>
    <w:p>
      <w:pPr>
        <w:spacing w:after="0" w:line="179" w:lineRule="exact"/>
        <w:rPr>
          <w:rFonts w:ascii="Arial" w:cs="Arial" w:eastAsia="Arial" w:hAnsi="Arial"/>
          <w:sz w:val="19"/>
          <w:szCs w:val="19"/>
          <w:color w:val="010000"/>
        </w:rPr>
      </w:pPr>
    </w:p>
    <w:p>
      <w:pPr>
        <w:ind w:left="1920" w:hanging="642"/>
        <w:spacing w:after="0"/>
        <w:tabs>
          <w:tab w:leader="none" w:pos="1920"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the date of such Borrowing, which shall be a Business Day;</w:t>
      </w:r>
    </w:p>
    <w:p>
      <w:pPr>
        <w:spacing w:after="0" w:line="179" w:lineRule="exact"/>
        <w:rPr>
          <w:rFonts w:ascii="Arial" w:cs="Arial" w:eastAsia="Arial" w:hAnsi="Arial"/>
          <w:sz w:val="19"/>
          <w:szCs w:val="19"/>
          <w:color w:val="010000"/>
        </w:rPr>
      </w:pPr>
    </w:p>
    <w:p>
      <w:pPr>
        <w:ind w:left="1920" w:hanging="642"/>
        <w:spacing w:after="0"/>
        <w:tabs>
          <w:tab w:leader="none" w:pos="1920"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whether such Borrowing is to be an ABR Borrowing, a Term Benchmark Borrowing or an RFR Borrowing;</w:t>
      </w:r>
    </w:p>
    <w:p>
      <w:pPr>
        <w:spacing w:after="0" w:line="179" w:lineRule="exact"/>
        <w:rPr>
          <w:rFonts w:ascii="Arial" w:cs="Arial" w:eastAsia="Arial" w:hAnsi="Arial"/>
          <w:sz w:val="19"/>
          <w:szCs w:val="19"/>
          <w:color w:val="010000"/>
        </w:rPr>
      </w:pPr>
    </w:p>
    <w:p>
      <w:pPr>
        <w:ind w:left="640" w:firstLine="638"/>
        <w:spacing w:after="0" w:line="237" w:lineRule="auto"/>
        <w:tabs>
          <w:tab w:leader="none" w:pos="1901"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in the case of a Term Benchmark Borrowing, the initial Interest Period to be applicable thereto, which shall be a period contemplated by the definition of the term “Interest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240"/>
          </w:cols>
          <w:pgMar w:left="320" w:top="1381" w:right="339" w:bottom="1440" w:gutter="0" w:footer="0" w:header="0"/>
        </w:sectPr>
      </w:pPr>
    </w:p>
    <w:bookmarkStart w:id="71" w:name="page72"/>
    <w:bookmarkEnd w:id="71"/>
    <w:p>
      <w:pPr>
        <w:ind w:left="640" w:firstLine="638"/>
        <w:spacing w:after="0" w:line="237" w:lineRule="auto"/>
        <w:tabs>
          <w:tab w:leader="none" w:pos="1900" w:val="left"/>
        </w:tabs>
        <w:numPr>
          <w:ilvl w:val="0"/>
          <w:numId w:val="51"/>
        </w:numPr>
        <w:rPr>
          <w:rFonts w:ascii="Arial" w:cs="Arial" w:eastAsia="Arial" w:hAnsi="Arial"/>
          <w:sz w:val="19"/>
          <w:szCs w:val="19"/>
          <w:color w:val="010000"/>
        </w:rPr>
      </w:pPr>
      <w:r>
        <w:rPr>
          <w:rFonts w:ascii="Arial" w:cs="Arial" w:eastAsia="Arial" w:hAnsi="Arial"/>
          <w:sz w:val="19"/>
          <w:szCs w:val="19"/>
          <w:color w:val="auto"/>
        </w:rPr>
        <w:t>the location and number of the Borrower’s account to which funds are to be disbursed, which shall comply with the requirements of Section 2.07.</w:t>
      </w:r>
    </w:p>
    <w:p>
      <w:pPr>
        <w:spacing w:after="0" w:line="151"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If no election as to the Type of Revolving Borrowing is specified, then the requested Revolving Borrowing shall be an ABR Borrowing. If no Interest Period is specified with respect to any requested Term Benchmark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1.04.</w:t>
      </w:r>
      <w:r>
        <w:rPr>
          <w:rFonts w:ascii="Arial" w:cs="Arial" w:eastAsia="Arial" w:hAnsi="Arial"/>
          <w:sz w:val="19"/>
          <w:szCs w:val="19"/>
          <w:u w:val="single" w:color="auto"/>
          <w:color w:val="000000"/>
        </w:rPr>
        <w:t>[Intentionally Omitted]</w:t>
      </w:r>
      <w:r>
        <w:rPr>
          <w:rFonts w:ascii="Arial" w:cs="Arial" w:eastAsia="Arial" w:hAnsi="Arial"/>
          <w:sz w:val="19"/>
          <w:szCs w:val="19"/>
          <w:color w:val="000000"/>
        </w:rPr>
        <w:t>.</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1.05.</w:t>
      </w:r>
      <w:r>
        <w:rPr>
          <w:rFonts w:ascii="Arial" w:cs="Arial" w:eastAsia="Arial" w:hAnsi="Arial"/>
          <w:sz w:val="19"/>
          <w:szCs w:val="19"/>
          <w:u w:val="single" w:color="auto"/>
          <w:color w:val="000000"/>
        </w:rPr>
        <w:t>Swingline Loans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13" w:lineRule="auto"/>
        <w:tabs>
          <w:tab w:leader="none" w:pos="1898"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 xml:space="preserve">Subject to the terms and conditions set forth herein, the Swingline Lender may agree, but shall have no obligation, to make Swingline Loans in Dollars to the Borrower from time to time during the Availability Period, in an aggregate principal amount at any time outstanding that will not result in (i) the aggregate principal amount of outstanding Swingline Loans exceeding the Swingline Sublimit, (ii) the Swingline Lender’s Revolving Credit Exposure exceeding its Commitment or (iii) the Total Revolving Credit Exposure exceeding the Aggregate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53" w:lineRule="exact"/>
        <w:rPr>
          <w:rFonts w:ascii="Arial" w:cs="Arial" w:eastAsia="Arial" w:hAnsi="Arial"/>
          <w:sz w:val="19"/>
          <w:szCs w:val="19"/>
          <w:color w:val="010000"/>
        </w:rPr>
      </w:pPr>
    </w:p>
    <w:p>
      <w:pPr>
        <w:jc w:val="both"/>
        <w:ind w:firstLine="1278"/>
        <w:spacing w:after="0" w:line="211" w:lineRule="auto"/>
        <w:tabs>
          <w:tab w:leader="none" w:pos="1896"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To request a Swingline Loan, the Borrower shall notify the Administrative Agent of such request by irrevocable written notice (via a written Borrowing Request in a form approved by the Administrative Agent and signed by a Responsible Officer of the Borrower),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by means of a credit to an account of the Borrower with the Administrative Agent designated for such purpose (or, in the case of a Swingline Loan made to finance the reimbursement of an LC Disbursement as provided in Section 2.06(e), by remittance to the Issuing Bank) by 3:00 p.m., New York City time, on the requested date of such Swingline Loan.</w:t>
      </w:r>
    </w:p>
    <w:p>
      <w:pPr>
        <w:spacing w:after="0" w:line="152" w:lineRule="exact"/>
        <w:rPr>
          <w:rFonts w:ascii="Arial" w:cs="Arial" w:eastAsia="Arial" w:hAnsi="Arial"/>
          <w:sz w:val="19"/>
          <w:szCs w:val="19"/>
          <w:color w:val="010000"/>
        </w:rPr>
      </w:pPr>
    </w:p>
    <w:p>
      <w:pPr>
        <w:jc w:val="both"/>
        <w:ind w:firstLine="1278"/>
        <w:spacing w:after="0" w:line="218" w:lineRule="auto"/>
        <w:tabs>
          <w:tab w:leader="none" w:pos="1898"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The Swingline Lender may by written notice given to the Administrative Agent require the Lenders to acquire participations in all or a portion of the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 or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w:t>
      </w:r>
    </w:p>
    <w:p>
      <w:pPr>
        <w:jc w:val="both"/>
        <w:spacing w:after="0" w:line="208" w:lineRule="auto"/>
        <w:rPr>
          <w:rFonts w:ascii="Arial" w:cs="Arial" w:eastAsia="Arial" w:hAnsi="Arial"/>
          <w:sz w:val="18"/>
          <w:szCs w:val="18"/>
          <w:color w:val="010000"/>
        </w:rPr>
      </w:pPr>
      <w:r>
        <w:rPr>
          <w:rFonts w:ascii="Arial" w:cs="Arial" w:eastAsia="Arial" w:hAnsi="Arial"/>
          <w:sz w:val="19"/>
          <w:szCs w:val="19"/>
          <w:color w:val="auto"/>
        </w:rPr>
        <w:t xml:space="preserve">12:00 noon, New York City time, on a Business Day, no later than 10:00 a.m., New York City time, on the immediately succeeding Business Day), to pay to the Administrative Agent,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2.07 with respect to Loans made by such Lender (and Section 2.07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240"/>
          </w:cols>
          <w:pgMar w:left="320" w:top="1381" w:right="339" w:bottom="1440" w:gutter="0" w:footer="0" w:header="0"/>
        </w:sectPr>
      </w:pPr>
    </w:p>
    <w:bookmarkStart w:id="72" w:name="page73"/>
    <w:bookmarkEnd w:id="72"/>
    <w:p>
      <w:pPr>
        <w:jc w:val="both"/>
        <w:spacing w:after="0" w:line="212" w:lineRule="auto"/>
        <w:rPr>
          <w:sz w:val="20"/>
          <w:szCs w:val="20"/>
          <w:color w:val="auto"/>
        </w:rPr>
      </w:pPr>
      <w:r>
        <w:rPr>
          <w:rFonts w:ascii="Arial" w:cs="Arial" w:eastAsia="Arial" w:hAnsi="Arial"/>
          <w:sz w:val="19"/>
          <w:szCs w:val="19"/>
          <w:color w:val="auto"/>
        </w:rPr>
        <w:t xml:space="preserve">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52" w:lineRule="exact"/>
        <w:rPr>
          <w:sz w:val="20"/>
          <w:szCs w:val="20"/>
          <w:color w:val="auto"/>
        </w:rPr>
      </w:pPr>
    </w:p>
    <w:p>
      <w:pPr>
        <w:jc w:val="both"/>
        <w:ind w:firstLine="1278"/>
        <w:spacing w:after="0" w:line="232" w:lineRule="auto"/>
        <w:tabs>
          <w:tab w:leader="none" w:pos="1896" w:val="left"/>
        </w:tabs>
        <w:numPr>
          <w:ilvl w:val="1"/>
          <w:numId w:val="53"/>
        </w:numPr>
        <w:rPr>
          <w:rFonts w:ascii="Arial" w:cs="Arial" w:eastAsia="Arial" w:hAnsi="Arial"/>
          <w:sz w:val="17"/>
          <w:szCs w:val="17"/>
          <w:color w:val="010000"/>
        </w:rPr>
      </w:pPr>
      <w:r>
        <w:rPr>
          <w:rFonts w:ascii="Arial" w:cs="Arial" w:eastAsia="Arial" w:hAnsi="Arial"/>
          <w:sz w:val="17"/>
          <w:szCs w:val="17"/>
          <w:color w:val="auto"/>
        </w:rPr>
        <w:t>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Section 2.13(a). From and after the effective date of any such replacement,</w:t>
      </w:r>
    </w:p>
    <w:p>
      <w:pPr>
        <w:spacing w:after="0" w:line="2" w:lineRule="exact"/>
        <w:rPr>
          <w:rFonts w:ascii="Arial" w:cs="Arial" w:eastAsia="Arial" w:hAnsi="Arial"/>
          <w:sz w:val="17"/>
          <w:szCs w:val="17"/>
          <w:color w:val="010000"/>
        </w:rPr>
      </w:pPr>
    </w:p>
    <w:p>
      <w:pPr>
        <w:jc w:val="both"/>
        <w:ind w:firstLine="6"/>
        <w:spacing w:after="0" w:line="212" w:lineRule="auto"/>
        <w:tabs>
          <w:tab w:leader="none" w:pos="236"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successor Swingline Lender shall have all the rights and obligations of the replaced Swingline Lender under this Agreement with respect to Swingline Loans made thereafter and (ii)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51" w:lineRule="exact"/>
        <w:rPr>
          <w:rFonts w:ascii="Arial" w:cs="Arial" w:eastAsia="Arial" w:hAnsi="Arial"/>
          <w:sz w:val="19"/>
          <w:szCs w:val="19"/>
          <w:color w:val="auto"/>
        </w:rPr>
      </w:pPr>
    </w:p>
    <w:p>
      <w:pPr>
        <w:jc w:val="both"/>
        <w:ind w:firstLine="1278"/>
        <w:spacing w:after="0" w:line="226" w:lineRule="auto"/>
        <w:tabs>
          <w:tab w:leader="none" w:pos="1898" w:val="left"/>
        </w:tabs>
        <w:numPr>
          <w:ilvl w:val="1"/>
          <w:numId w:val="54"/>
        </w:numPr>
        <w:rPr>
          <w:rFonts w:ascii="Arial" w:cs="Arial" w:eastAsia="Arial" w:hAnsi="Arial"/>
          <w:sz w:val="19"/>
          <w:szCs w:val="19"/>
          <w:color w:val="010000"/>
        </w:rPr>
      </w:pPr>
      <w:r>
        <w:rPr>
          <w:rFonts w:ascii="Arial" w:cs="Arial" w:eastAsia="Arial" w:hAnsi="Arial"/>
          <w:sz w:val="19"/>
          <w:szCs w:val="19"/>
          <w:color w:val="auto"/>
        </w:rPr>
        <w:t>Subject to the appointment and acceptance of a successor Swingline Lender, the Swingline Lender may resign as a Swingline Lender at any time upon thirty (30) days’ prior written notice to the Administrative Agent, the Borrower and the Lenders, in which case, such Swingline Lender shall be replaced in accordance with Section 2.05(d) above.</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1.06.</w:t>
      </w:r>
      <w:r>
        <w:rPr>
          <w:rFonts w:ascii="Arial" w:cs="Arial" w:eastAsia="Arial" w:hAnsi="Arial"/>
          <w:sz w:val="19"/>
          <w:szCs w:val="19"/>
          <w:u w:val="single" w:color="auto"/>
          <w:color w:val="000000"/>
        </w:rPr>
        <w:t>Letters of Credit</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20" w:lineRule="auto"/>
        <w:tabs>
          <w:tab w:leader="none" w:pos="1898" w:val="left"/>
        </w:tabs>
        <w:numPr>
          <w:ilvl w:val="1"/>
          <w:numId w:val="55"/>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Subject to the terms and conditions set forth herein, the Borrower may request the issuance of Letters of Credit denominated in Dollars as the applicant thereof for the support of its or its Subsidiaries’ obligations, in a form reasonably acceptable to the Administrative Agent and the Issuing Bank, at any time and from time to time during the Availability Period, and the Issuing Bank may agree, but shall have no obligation, to issue such Letters of Credit.</w:t>
      </w:r>
    </w:p>
    <w:p>
      <w:pPr>
        <w:spacing w:after="0" w:line="152" w:lineRule="exact"/>
        <w:rPr>
          <w:rFonts w:ascii="Arial" w:cs="Arial" w:eastAsia="Arial" w:hAnsi="Arial"/>
          <w:sz w:val="19"/>
          <w:szCs w:val="19"/>
          <w:color w:val="010000"/>
        </w:rPr>
      </w:pPr>
    </w:p>
    <w:p>
      <w:pPr>
        <w:jc w:val="both"/>
        <w:ind w:firstLine="1278"/>
        <w:spacing w:after="0" w:line="229" w:lineRule="auto"/>
        <w:tabs>
          <w:tab w:leader="none" w:pos="1896" w:val="left"/>
        </w:tabs>
        <w:numPr>
          <w:ilvl w:val="1"/>
          <w:numId w:val="55"/>
        </w:numPr>
        <w:rPr>
          <w:rFonts w:ascii="Arial" w:cs="Arial" w:eastAsia="Arial" w:hAnsi="Arial"/>
          <w:sz w:val="17"/>
          <w:szCs w:val="17"/>
          <w:color w:val="010000"/>
        </w:rPr>
      </w:pPr>
      <w:r>
        <w:rPr>
          <w:rFonts w:ascii="Arial" w:cs="Arial" w:eastAsia="Arial" w:hAnsi="Arial"/>
          <w:sz w:val="17"/>
          <w:szCs w:val="17"/>
          <w:u w:val="single" w:color="auto"/>
          <w:color w:val="auto"/>
        </w:rPr>
        <w:t>Notice of Issuance, Amendment, Extension; Certain Conditions</w:t>
      </w:r>
      <w:r>
        <w:rPr>
          <w:rFonts w:ascii="Arial" w:cs="Arial" w:eastAsia="Arial" w:hAnsi="Arial"/>
          <w:sz w:val="17"/>
          <w:szCs w:val="17"/>
          <w:color w:val="auto"/>
        </w:rPr>
        <w:t>. To request the issuance of a Letter of Credit (or the amendment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 or extension, but in any event no less than three (3) Business Days)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Issuing Bank and using the Issuing Bank’s standard form (each, a “</w:t>
      </w:r>
      <w:r>
        <w:rPr>
          <w:rFonts w:ascii="Arial" w:cs="Arial" w:eastAsia="Arial" w:hAnsi="Arial"/>
          <w:sz w:val="17"/>
          <w:szCs w:val="17"/>
          <w:u w:val="single" w:color="auto"/>
          <w:color w:val="auto"/>
        </w:rPr>
        <w:t>Letter of Credit Agreement</w:t>
      </w:r>
      <w:r>
        <w:rPr>
          <w:rFonts w:ascii="Arial" w:cs="Arial" w:eastAsia="Arial" w:hAnsi="Arial"/>
          <w:sz w:val="17"/>
          <w:szCs w:val="17"/>
          <w:color w:val="auto"/>
        </w:rPr>
        <w:t>”).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 shall be deemed to represent and warrant that), after giving effect to such issuance, amendment or extension (i) the amount of the LC Exposure shall not exceed $25,000,000,</w:t>
      </w:r>
    </w:p>
    <w:p>
      <w:pPr>
        <w:spacing w:after="0" w:line="1" w:lineRule="exact"/>
        <w:rPr>
          <w:rFonts w:ascii="Arial" w:cs="Arial" w:eastAsia="Arial" w:hAnsi="Arial"/>
          <w:sz w:val="17"/>
          <w:szCs w:val="17"/>
          <w:color w:val="010000"/>
        </w:rPr>
      </w:pPr>
    </w:p>
    <w:p>
      <w:pPr>
        <w:ind w:left="300" w:hanging="294"/>
        <w:spacing w:after="0"/>
        <w:tabs>
          <w:tab w:leader="none" w:pos="3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240"/>
          </w:cols>
          <w:pgMar w:left="320" w:top="1381" w:right="339" w:bottom="1440" w:gutter="0" w:footer="0" w:header="0"/>
        </w:sectPr>
      </w:pPr>
    </w:p>
    <w:bookmarkStart w:id="73" w:name="page74"/>
    <w:bookmarkEnd w:id="73"/>
    <w:p>
      <w:pPr>
        <w:spacing w:after="0" w:line="237" w:lineRule="auto"/>
        <w:rPr>
          <w:sz w:val="20"/>
          <w:szCs w:val="20"/>
          <w:color w:val="auto"/>
        </w:rPr>
      </w:pPr>
      <w:r>
        <w:rPr>
          <w:rFonts w:ascii="Arial" w:cs="Arial" w:eastAsia="Arial" w:hAnsi="Arial"/>
          <w:sz w:val="19"/>
          <w:szCs w:val="19"/>
          <w:color w:val="auto"/>
        </w:rPr>
        <w:t>Revolving Credit Exposure shall not exceed the Aggregate Commitment and (iii) each Lender’s Revolving Credit Exposure shall not exceed such Lender’s Commitment.</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The Issuing Bank shall not be under any obligation to issue any Letter of Credit if:</w:t>
      </w:r>
    </w:p>
    <w:p>
      <w:pPr>
        <w:spacing w:after="0" w:line="179" w:lineRule="exact"/>
        <w:rPr>
          <w:sz w:val="20"/>
          <w:szCs w:val="20"/>
          <w:color w:val="auto"/>
        </w:rPr>
      </w:pPr>
    </w:p>
    <w:p>
      <w:pPr>
        <w:jc w:val="both"/>
        <w:ind w:left="640" w:firstLine="1274"/>
        <w:spacing w:after="0" w:line="226" w:lineRule="auto"/>
        <w:tabs>
          <w:tab w:leader="none" w:pos="2326" w:val="left"/>
        </w:tabs>
        <w:numPr>
          <w:ilvl w:val="2"/>
          <w:numId w:val="57"/>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Issuing Bank from issuing such Letter of Credit, or any law applicable to the Issuing Bank shall prohibit, or require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that was not applicable on the Effective Date and that the Issuing Bank in good faith deems material to it; or</w:t>
      </w:r>
    </w:p>
    <w:p>
      <w:pPr>
        <w:spacing w:after="0" w:line="150" w:lineRule="exact"/>
        <w:rPr>
          <w:rFonts w:ascii="Arial" w:cs="Arial" w:eastAsia="Arial" w:hAnsi="Arial"/>
          <w:sz w:val="18"/>
          <w:szCs w:val="18"/>
          <w:color w:val="auto"/>
        </w:rPr>
      </w:pPr>
    </w:p>
    <w:p>
      <w:pPr>
        <w:ind w:left="2380" w:hanging="466"/>
        <w:spacing w:after="0"/>
        <w:tabs>
          <w:tab w:leader="none" w:pos="238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one or more policies of the Issuing Bank applicable to letters</w:t>
      </w:r>
    </w:p>
    <w:p>
      <w:pPr>
        <w:ind w:left="640"/>
        <w:spacing w:after="0"/>
        <w:rPr>
          <w:rFonts w:ascii="Arial" w:cs="Arial" w:eastAsia="Arial" w:hAnsi="Arial"/>
          <w:sz w:val="18"/>
          <w:szCs w:val="18"/>
          <w:color w:val="auto"/>
        </w:rPr>
      </w:pPr>
      <w:r>
        <w:rPr>
          <w:rFonts w:ascii="Arial" w:cs="Arial" w:eastAsia="Arial" w:hAnsi="Arial"/>
          <w:sz w:val="19"/>
          <w:szCs w:val="19"/>
          <w:color w:val="auto"/>
        </w:rPr>
        <w:t>of credit generally.</w:t>
      </w:r>
    </w:p>
    <w:p>
      <w:pPr>
        <w:spacing w:after="0" w:line="163" w:lineRule="exact"/>
        <w:rPr>
          <w:rFonts w:ascii="Arial" w:cs="Arial" w:eastAsia="Arial" w:hAnsi="Arial"/>
          <w:sz w:val="18"/>
          <w:szCs w:val="18"/>
          <w:color w:val="auto"/>
        </w:rPr>
      </w:pPr>
    </w:p>
    <w:p>
      <w:pPr>
        <w:jc w:val="both"/>
        <w:ind w:firstLine="1278"/>
        <w:spacing w:after="0" w:line="225" w:lineRule="auto"/>
        <w:tabs>
          <w:tab w:leader="none" w:pos="1898" w:val="left"/>
        </w:tabs>
        <w:numPr>
          <w:ilvl w:val="1"/>
          <w:numId w:val="58"/>
        </w:numPr>
        <w:rPr>
          <w:rFonts w:ascii="Arial" w:cs="Arial" w:eastAsia="Arial" w:hAnsi="Arial"/>
          <w:sz w:val="18"/>
          <w:szCs w:val="18"/>
          <w:color w:val="010000"/>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Each Letter of Credit shall expire (or be subject to termination by notice from the Issuing Bank to the beneficiary thereof) at or prior to the close of business on the earlier of (i) the date one year after the date of the issuance of such Letter of Credit (or, in the case of any extension of the expiration date thereof, one year after such extension) and (ii) the date that is five (5) Business Days prior to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with a one-year tenor may contain customary automatic extension provisions agreed upon by the Borrower and the Issuing Bank that provide for the extension thereof for additional one-year periods (which shall in no event extend beyond the date referenced in clause (ii) above), subject to a right on the part of the Issuing Bank to prevent any such extension from occurring by giving notice to the beneficiary in advance of any such extension.</w:t>
      </w:r>
    </w:p>
    <w:p>
      <w:pPr>
        <w:spacing w:after="0" w:line="152" w:lineRule="exact"/>
        <w:rPr>
          <w:rFonts w:ascii="Arial" w:cs="Arial" w:eastAsia="Arial" w:hAnsi="Arial"/>
          <w:sz w:val="18"/>
          <w:szCs w:val="18"/>
          <w:color w:val="010000"/>
        </w:rPr>
      </w:pPr>
    </w:p>
    <w:p>
      <w:pPr>
        <w:jc w:val="both"/>
        <w:ind w:firstLine="1278"/>
        <w:spacing w:after="0" w:line="231" w:lineRule="auto"/>
        <w:tabs>
          <w:tab w:leader="none" w:pos="1896" w:val="left"/>
        </w:tabs>
        <w:numPr>
          <w:ilvl w:val="1"/>
          <w:numId w:val="58"/>
        </w:numPr>
        <w:rPr>
          <w:rFonts w:ascii="Arial" w:cs="Arial" w:eastAsia="Arial" w:hAnsi="Arial"/>
          <w:sz w:val="17"/>
          <w:szCs w:val="17"/>
          <w:color w:val="010000"/>
        </w:rPr>
      </w:pPr>
      <w:r>
        <w:rPr>
          <w:rFonts w:ascii="Arial" w:cs="Arial" w:eastAsia="Arial" w:hAnsi="Arial"/>
          <w:sz w:val="17"/>
          <w:szCs w:val="17"/>
          <w:u w:val="single" w:color="auto"/>
          <w:color w:val="auto"/>
        </w:rPr>
        <w:t>Participations</w:t>
      </w:r>
      <w:r>
        <w:rPr>
          <w:rFonts w:ascii="Arial" w:cs="Arial" w:eastAsia="Arial" w:hAnsi="Arial"/>
          <w:sz w:val="17"/>
          <w:szCs w:val="17"/>
          <w:color w:val="auto"/>
        </w:rPr>
        <w:t>. By the issuance of a Letter of Credit (or an amendment to a Letter of Credit increasing the amount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Borrower on the date due as provided in paragraph</w:t>
      </w:r>
    </w:p>
    <w:p>
      <w:pPr>
        <w:jc w:val="both"/>
        <w:ind w:firstLine="6"/>
        <w:spacing w:after="0" w:line="213" w:lineRule="auto"/>
        <w:tabs>
          <w:tab w:leader="none" w:pos="269" w:val="left"/>
        </w:tabs>
        <w:numPr>
          <w:ilvl w:val="0"/>
          <w:numId w:val="59"/>
        </w:numPr>
        <w:rPr>
          <w:rFonts w:ascii="Arial" w:cs="Arial" w:eastAsia="Arial" w:hAnsi="Arial"/>
          <w:sz w:val="19"/>
          <w:szCs w:val="19"/>
          <w:color w:val="auto"/>
        </w:rPr>
      </w:pPr>
      <w:r>
        <w:rPr>
          <w:rFonts w:ascii="Arial" w:cs="Arial" w:eastAsia="Arial" w:hAnsi="Arial"/>
          <w:sz w:val="19"/>
          <w:szCs w:val="19"/>
          <w:color w:val="auto"/>
        </w:rPr>
        <w:t>of this Section, or of any reimbursement payment required to be refunded to the Borrower for any reason, including after the Maturity Date. Each such payment shall be made without any offset, abatement, withholding or reduction whatsoever.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Commitments.</w:t>
      </w:r>
    </w:p>
    <w:p>
      <w:pPr>
        <w:spacing w:after="0" w:line="153" w:lineRule="exact"/>
        <w:rPr>
          <w:rFonts w:ascii="Arial" w:cs="Arial" w:eastAsia="Arial" w:hAnsi="Arial"/>
          <w:sz w:val="19"/>
          <w:szCs w:val="19"/>
          <w:color w:val="auto"/>
        </w:rPr>
      </w:pPr>
    </w:p>
    <w:p>
      <w:pPr>
        <w:jc w:val="both"/>
        <w:ind w:firstLine="1278"/>
        <w:spacing w:after="0" w:line="222" w:lineRule="auto"/>
        <w:tabs>
          <w:tab w:leader="none" w:pos="1898" w:val="left"/>
        </w:tabs>
        <w:numPr>
          <w:ilvl w:val="1"/>
          <w:numId w:val="59"/>
        </w:numPr>
        <w:rPr>
          <w:rFonts w:ascii="Arial" w:cs="Arial" w:eastAsia="Arial" w:hAnsi="Arial"/>
          <w:sz w:val="18"/>
          <w:szCs w:val="18"/>
          <w:color w:val="010000"/>
        </w:rPr>
      </w:pP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If the Issuing Bank shall make any LC Disbursement in respect of a Letter of Credit, the Borrower shall reimburse such LC Disbursement by paying to the Administrative Agent in Dollars the amount equal to such LC Disbursement, calculated as of the date the Issuing Bank made such LC Disbursement not later than 12:00 noon, New York City time, on the date that such LC Disbursement is made, if the Borrower shall have received notice of such LC Disbursement prior to 10:00 a.m., New York City time, on such date, or, if such notice has not been received by the Borrower prior to such time on such date, then not later than 12:00 noon, New York City time, on the Business Day immediately following the day that the Borrower receives such notice, if such notice is not received prior to such time on the day of receipt;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LC Disbursement is not less than $1,000,000, the Borrower may, subject to the conditions to borrowing set forth herein, request in accordance with Section 2.03 or 2.05 that such payment be financed with an ABR Revolving Borrowing or Swingline Loan in an equivalent amount of such LC Disbursement and, to the extent so financed, the Borrower’s obligation to make such payment shall be discharged and replaced by the resulting ABR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240"/>
          </w:cols>
          <w:pgMar w:left="320" w:top="1381" w:right="339" w:bottom="1440" w:gutter="0" w:footer="0" w:header="0"/>
        </w:sectPr>
      </w:pPr>
    </w:p>
    <w:bookmarkStart w:id="74" w:name="page75"/>
    <w:bookmarkEnd w:id="74"/>
    <w:p>
      <w:pPr>
        <w:jc w:val="both"/>
        <w:spacing w:after="0" w:line="221" w:lineRule="auto"/>
        <w:rPr>
          <w:sz w:val="20"/>
          <w:szCs w:val="20"/>
          <w:color w:val="auto"/>
        </w:rPr>
      </w:pPr>
      <w:r>
        <w:rPr>
          <w:rFonts w:ascii="Arial" w:cs="Arial" w:eastAsia="Arial" w:hAnsi="Arial"/>
          <w:sz w:val="18"/>
          <w:szCs w:val="18"/>
          <w:color w:val="auto"/>
        </w:rPr>
        <w:t xml:space="preserve">Revolving Borrowing or Swingline Loan, as applicable.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this paragraph, the Administrative Agent shall distribute such payment to the Issuing Bank or, to the extent that Lenders have made payments pursuant to this paragraph to reimburse the Issuing Bank, then to such Lenders and the Issuing Bank as their interests may appear. Any payment made by a Lender pursuant to this paragraph to reimburse the Issuing Bank for any LC Disbursement (other than the funding of Revolving Loans or a Swingline Loan as contemplated above) shall not constitute a Loan and shall not relieve the Borrower of its obligation to reimburse such LC Disbursement.</w:t>
      </w:r>
    </w:p>
    <w:p>
      <w:pPr>
        <w:spacing w:after="0" w:line="156" w:lineRule="exact"/>
        <w:rPr>
          <w:sz w:val="20"/>
          <w:szCs w:val="20"/>
          <w:color w:val="auto"/>
        </w:rPr>
      </w:pPr>
    </w:p>
    <w:p>
      <w:pPr>
        <w:jc w:val="both"/>
        <w:ind w:firstLine="1278"/>
        <w:spacing w:after="0" w:line="231" w:lineRule="auto"/>
        <w:tabs>
          <w:tab w:leader="none" w:pos="1903" w:val="left"/>
        </w:tabs>
        <w:numPr>
          <w:ilvl w:val="0"/>
          <w:numId w:val="60"/>
        </w:numPr>
        <w:rPr>
          <w:rFonts w:ascii="Arial" w:cs="Arial" w:eastAsia="Arial" w:hAnsi="Arial"/>
          <w:sz w:val="17"/>
          <w:szCs w:val="17"/>
          <w:color w:val="010000"/>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be construed to excuse the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51" w:lineRule="exact"/>
        <w:rPr>
          <w:rFonts w:ascii="Arial" w:cs="Arial" w:eastAsia="Arial" w:hAnsi="Arial"/>
          <w:sz w:val="17"/>
          <w:szCs w:val="17"/>
          <w:color w:val="010000"/>
        </w:rPr>
      </w:pPr>
    </w:p>
    <w:p>
      <w:pPr>
        <w:jc w:val="both"/>
        <w:ind w:firstLine="1278"/>
        <w:spacing w:after="0" w:line="215" w:lineRule="auto"/>
        <w:tabs>
          <w:tab w:leader="none" w:pos="1896" w:val="left"/>
        </w:tabs>
        <w:numPr>
          <w:ilvl w:val="0"/>
          <w:numId w:val="60"/>
        </w:numPr>
        <w:rPr>
          <w:rFonts w:ascii="Arial" w:cs="Arial" w:eastAsia="Arial" w:hAnsi="Arial"/>
          <w:sz w:val="19"/>
          <w:szCs w:val="19"/>
          <w:color w:val="010000"/>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The Issuing Bank shall, within the time allowed by applicable law or the specific terms of the Letter of Credit following its receipt thereof, examine all documents purporting to represent a demand for payment under a Letter of Credit. The Issuing Bank shall promptly after such examination notify the Administrative Agent and the Borrower by telephone (confirmed by telecopy or electronic mail) of such demand for payment and whether the Issuing Bank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Borrower of its obligation to reimburse the Issuing Bank and the Lenders with respect to any such LC Disbursement.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1240"/>
          </w:cols>
          <w:pgMar w:left="320" w:top="1381" w:right="339" w:bottom="1440" w:gutter="0" w:footer="0" w:header="0"/>
        </w:sectPr>
      </w:pPr>
    </w:p>
    <w:bookmarkStart w:id="75" w:name="page76"/>
    <w:bookmarkEnd w:id="75"/>
    <w:p>
      <w:pPr>
        <w:jc w:val="both"/>
        <w:ind w:firstLine="1278"/>
        <w:spacing w:after="0" w:line="224" w:lineRule="auto"/>
        <w:tabs>
          <w:tab w:leader="none" w:pos="1896" w:val="left"/>
        </w:tabs>
        <w:numPr>
          <w:ilvl w:val="0"/>
          <w:numId w:val="61"/>
        </w:numPr>
        <w:rPr>
          <w:rFonts w:ascii="Arial" w:cs="Arial" w:eastAsia="Arial" w:hAnsi="Arial"/>
          <w:sz w:val="18"/>
          <w:szCs w:val="18"/>
          <w:color w:val="010000"/>
        </w:rPr>
      </w:pPr>
      <w:r>
        <w:rPr>
          <w:rFonts w:ascii="Arial" w:cs="Arial" w:eastAsia="Arial" w:hAnsi="Arial"/>
          <w:sz w:val="18"/>
          <w:szCs w:val="18"/>
          <w:u w:val="single" w:color="auto"/>
          <w:color w:val="auto"/>
        </w:rPr>
        <w:t>Interim Interest</w:t>
      </w:r>
      <w:r>
        <w:rPr>
          <w:rFonts w:ascii="Arial" w:cs="Arial" w:eastAsia="Arial" w:hAnsi="Arial"/>
          <w:sz w:val="18"/>
          <w:szCs w:val="18"/>
          <w:color w:val="auto"/>
        </w:rPr>
        <w:t xml:space="preserve">. If the Issuing Bank shall make any LC Disbursement, then, unless the Borrower shall reimburse such LC Disbursement in full within one (1) Business Day of the date on which such LC Disbursement is made, the unpaid amount thereof shall bear interest, for each day from and including the date such LC Disbursement is made to but excluding the date that the reimbursement is due and payable, at the rate per annum then applicable to ABR Revolving Loans and such interest shall be due and payable on the date when such reimbursement is payable;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fails to reimburse such LC Disbursement when due pursuant to paragraph (e) of this Section, then Section 2.13(d) shall apply. Interest accrued pursuant to this paragraph shall be for the account of the Issuing Bank, except that interest accrued on and after the date of payment by any Lender pursuant to paragraph (e) of this Section to reimburse the Issuing Bank shall be for the account of such Lender to the extent of such payment.</w:t>
      </w:r>
    </w:p>
    <w:p>
      <w:pPr>
        <w:spacing w:after="0" w:line="150" w:lineRule="exact"/>
        <w:rPr>
          <w:rFonts w:ascii="Arial" w:cs="Arial" w:eastAsia="Arial" w:hAnsi="Arial"/>
          <w:sz w:val="18"/>
          <w:szCs w:val="18"/>
          <w:color w:val="010000"/>
        </w:rPr>
      </w:pPr>
    </w:p>
    <w:p>
      <w:pPr>
        <w:jc w:val="both"/>
        <w:ind w:firstLine="1278"/>
        <w:spacing w:after="0" w:line="222" w:lineRule="auto"/>
        <w:tabs>
          <w:tab w:leader="none" w:pos="1906" w:val="left"/>
        </w:tabs>
        <w:numPr>
          <w:ilvl w:val="0"/>
          <w:numId w:val="61"/>
        </w:numPr>
        <w:rPr>
          <w:rFonts w:ascii="Arial" w:cs="Arial" w:eastAsia="Arial" w:hAnsi="Arial"/>
          <w:sz w:val="18"/>
          <w:szCs w:val="18"/>
          <w:color w:val="010000"/>
        </w:rPr>
      </w:pPr>
      <w:r>
        <w:rPr>
          <w:rFonts w:ascii="Arial" w:cs="Arial" w:eastAsia="Arial" w:hAnsi="Arial"/>
          <w:sz w:val="18"/>
          <w:szCs w:val="18"/>
          <w:u w:val="single" w:color="auto"/>
          <w:color w:val="auto"/>
        </w:rPr>
        <w:t>Replacement and Resignation of Issuing Bank</w:t>
      </w:r>
      <w:r>
        <w:rPr>
          <w:rFonts w:ascii="Arial" w:cs="Arial" w:eastAsia="Arial" w:hAnsi="Arial"/>
          <w:sz w:val="18"/>
          <w:szCs w:val="18"/>
          <w:color w:val="auto"/>
        </w:rPr>
        <w:t>. (A) The Issuing Bank may be replaced at any time by written agreement among the Borrower, the Administrative Agent, the replaced Issuing Bank and the successor Issuing Bank. The Administrative Agent shall notify the Lenders of any such replacement of the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52" w:lineRule="exact"/>
        <w:rPr>
          <w:rFonts w:ascii="Arial" w:cs="Arial" w:eastAsia="Arial" w:hAnsi="Arial"/>
          <w:sz w:val="18"/>
          <w:szCs w:val="18"/>
          <w:color w:val="010000"/>
        </w:rPr>
      </w:pPr>
    </w:p>
    <w:p>
      <w:pPr>
        <w:jc w:val="both"/>
        <w:ind w:firstLine="1914"/>
        <w:spacing w:after="0" w:line="226" w:lineRule="auto"/>
        <w:tabs>
          <w:tab w:leader="none" w:pos="2220" w:val="left"/>
        </w:tabs>
        <w:numPr>
          <w:ilvl w:val="1"/>
          <w:numId w:val="61"/>
        </w:numPr>
        <w:rPr>
          <w:rFonts w:ascii="Arial" w:cs="Arial" w:eastAsia="Arial" w:hAnsi="Arial"/>
          <w:sz w:val="19"/>
          <w:szCs w:val="19"/>
          <w:color w:val="auto"/>
        </w:rPr>
      </w:pPr>
      <w:r>
        <w:rPr>
          <w:rFonts w:ascii="Arial" w:cs="Arial" w:eastAsia="Arial" w:hAnsi="Arial"/>
          <w:sz w:val="19"/>
          <w:szCs w:val="19"/>
          <w:color w:val="auto"/>
        </w:rPr>
        <w:t>Subject to the appointment and acceptance of a successor Issuing Bank, the Issuing Bank may resign as the Issuing Bank at any time upon thirty days’ prior written notice to the Administrative Agent, the Borrower and the Lenders, in which case, the resigning Issuing Bank shall be replaced in accordance with Section 2.06(i)(A) above.</w:t>
      </w:r>
    </w:p>
    <w:p>
      <w:pPr>
        <w:spacing w:after="0" w:line="151" w:lineRule="exact"/>
        <w:rPr>
          <w:rFonts w:ascii="Arial" w:cs="Arial" w:eastAsia="Arial" w:hAnsi="Arial"/>
          <w:sz w:val="19"/>
          <w:szCs w:val="19"/>
          <w:color w:val="auto"/>
        </w:rPr>
      </w:pPr>
    </w:p>
    <w:p>
      <w:pPr>
        <w:jc w:val="both"/>
        <w:ind w:firstLine="1278"/>
        <w:spacing w:after="0" w:line="218" w:lineRule="auto"/>
        <w:tabs>
          <w:tab w:leader="none" w:pos="1906" w:val="left"/>
        </w:tabs>
        <w:numPr>
          <w:ilvl w:val="0"/>
          <w:numId w:val="61"/>
        </w:numPr>
        <w:rPr>
          <w:rFonts w:ascii="Arial" w:cs="Arial" w:eastAsia="Arial" w:hAnsi="Arial"/>
          <w:sz w:val="18"/>
          <w:szCs w:val="18"/>
          <w:color w:val="010000"/>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total LC Exposure) demanding the deposit of cash collateral pursuant to this paragraph, the Borrower shall deposit in an account or accounts with the Administrative Agent, in the name of the Administrative Agent and for the benefit of the Lenders (the “</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an amount in cash equal to 105% of the amount of the LC Exposure as of such date plus any accrued and unpaid interest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Section 7.01(h) or 7.01(i). The Borrower also shall deposit cash collateral pursuant to this paragraph as and to the extent required by Section 2.11. Such deposit shall be held by the Administrative Agent as collateral for the payment and performance of the Secured Obligations. In addition, and without limiting the foregoing or Section 2.06(c), if any LC Exposure remains outstanding after the expiration date specified in Section 2.06(c), the Borrower shall immediately deposit into the LC Collateral Account an amount in cash equal to 105% of the amount of such LC Exposure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accrued and unpaid interest thereon. The Administrative Agent shall have exclusive dominion and control, including the exclusive right of withdrawal, over such account and the Borrower hereby grants the Administrative Agent a security interest in the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240"/>
          </w:cols>
          <w:pgMar w:left="320" w:top="1381" w:right="339" w:bottom="1440" w:gutter="0" w:footer="0" w:header="0"/>
        </w:sectPr>
      </w:pPr>
    </w:p>
    <w:bookmarkStart w:id="76" w:name="page77"/>
    <w:bookmarkEnd w:id="76"/>
    <w:p>
      <w:pPr>
        <w:jc w:val="both"/>
        <w:spacing w:after="0"/>
        <w:rPr>
          <w:sz w:val="20"/>
          <w:szCs w:val="20"/>
          <w:color w:val="auto"/>
        </w:rPr>
      </w:pPr>
      <w:r>
        <w:rPr>
          <w:rFonts w:ascii="Arial" w:cs="Arial" w:eastAsia="Arial" w:hAnsi="Arial"/>
          <w:sz w:val="17"/>
          <w:szCs w:val="17"/>
          <w:color w:val="auto"/>
        </w:rPr>
        <w:t>Lenders with LC Exposure representing greater than 50% of the total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 If the Borrower is required to provide an amount of cash collateral hereunder pursuant to Section 2.11(b), such amount (to the extent not applied as aforesaid) shall be returned to the Borrower as and to the extent that, immediately after giving effect to such return, the Total Revolving Credit Exposure would not exceed the Aggregate Commitment, and no Event of Default shall have occurred and be continuing.</w:t>
      </w:r>
    </w:p>
    <w:p>
      <w:pPr>
        <w:spacing w:after="0" w:line="152" w:lineRule="exact"/>
        <w:rPr>
          <w:sz w:val="20"/>
          <w:szCs w:val="20"/>
          <w:color w:val="auto"/>
        </w:rPr>
      </w:pPr>
    </w:p>
    <w:p>
      <w:pPr>
        <w:jc w:val="both"/>
        <w:ind w:firstLine="1278"/>
        <w:spacing w:after="0" w:line="223" w:lineRule="auto"/>
        <w:tabs>
          <w:tab w:leader="none" w:pos="1896" w:val="left"/>
        </w:tabs>
        <w:numPr>
          <w:ilvl w:val="0"/>
          <w:numId w:val="62"/>
        </w:numPr>
        <w:rPr>
          <w:rFonts w:ascii="Arial" w:cs="Arial" w:eastAsia="Arial" w:hAnsi="Arial"/>
          <w:sz w:val="18"/>
          <w:szCs w:val="18"/>
          <w:color w:val="010000"/>
        </w:rPr>
      </w:pPr>
      <w:r>
        <w:rPr>
          <w:rFonts w:ascii="Arial" w:cs="Arial" w:eastAsia="Arial" w:hAnsi="Arial"/>
          <w:sz w:val="18"/>
          <w:szCs w:val="18"/>
          <w:u w:val="single" w:color="auto"/>
          <w:color w:val="auto"/>
        </w:rPr>
        <w:t>Letters of Credit Issued for Account of Subsidiaries</w:t>
      </w:r>
      <w:r>
        <w:rPr>
          <w:rFonts w:ascii="Arial" w:cs="Arial" w:eastAsia="Arial" w:hAnsi="Arial"/>
          <w:sz w:val="18"/>
          <w:szCs w:val="18"/>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Issuing Bank (whether arising by contract, at law, in equity or otherwise) against such Subsidiary in respect of such Letter of Credit, the Borrower (i) shall reimburse, indemnify and compensate the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1.07.</w:t>
      </w:r>
      <w:r>
        <w:rPr>
          <w:rFonts w:ascii="Arial" w:cs="Arial" w:eastAsia="Arial" w:hAnsi="Arial"/>
          <w:sz w:val="19"/>
          <w:szCs w:val="19"/>
          <w:u w:val="single" w:color="auto"/>
          <w:color w:val="000000"/>
        </w:rPr>
        <w:t>Funding of Borrowings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12" w:lineRule="auto"/>
        <w:tabs>
          <w:tab w:leader="none" w:pos="1898" w:val="left"/>
        </w:tabs>
        <w:numPr>
          <w:ilvl w:val="0"/>
          <w:numId w:val="63"/>
        </w:numPr>
        <w:rPr>
          <w:rFonts w:ascii="Arial" w:cs="Arial" w:eastAsia="Arial" w:hAnsi="Arial"/>
          <w:sz w:val="19"/>
          <w:szCs w:val="19"/>
          <w:color w:val="010000"/>
        </w:rPr>
      </w:pPr>
      <w:r>
        <w:rPr>
          <w:rFonts w:ascii="Arial" w:cs="Arial" w:eastAsia="Arial" w:hAnsi="Arial"/>
          <w:sz w:val="19"/>
          <w:szCs w:val="19"/>
          <w:color w:val="auto"/>
        </w:rPr>
        <w:t xml:space="preserve">Each Lender shall make each Loan to be made by it hereunder on the proposed date thereof solely by wire transfer of immediately available funds by 12:00 noon, New York City time, to the account of the Administrative Agent most recently designated by it for such purpose by notice to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Swingline Loans shall be made as provided in Section 2.05. Except in respect of the provisions of this Agreement covering the reimbursement of Letters of Credit, the Administrative Agent will make such Loans available to the Borrower by promptly crediting the funds so received in the aforesaid account of the Administrative Agent to an account of the Borrower maintained with the Administrative Agent and designated by the Borrower in the applicable Borrowing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Revolving Loans made to finance the reimbursement of an LC Disbursement as provided in Section 2.06(e) shall be remitted by the Administrative Agent to the Issuing Bank.</w:t>
      </w:r>
    </w:p>
    <w:p>
      <w:pPr>
        <w:spacing w:after="0" w:line="152" w:lineRule="exact"/>
        <w:rPr>
          <w:rFonts w:ascii="Arial" w:cs="Arial" w:eastAsia="Arial" w:hAnsi="Arial"/>
          <w:sz w:val="19"/>
          <w:szCs w:val="19"/>
          <w:color w:val="010000"/>
        </w:rPr>
      </w:pPr>
    </w:p>
    <w:p>
      <w:pPr>
        <w:jc w:val="both"/>
        <w:ind w:firstLine="1278"/>
        <w:spacing w:after="0" w:line="221" w:lineRule="auto"/>
        <w:tabs>
          <w:tab w:leader="none" w:pos="1896"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1.08.</w:t>
      </w:r>
      <w:r>
        <w:rPr>
          <w:rFonts w:ascii="Arial" w:cs="Arial" w:eastAsia="Arial" w:hAnsi="Arial"/>
          <w:sz w:val="19"/>
          <w:szCs w:val="19"/>
          <w:u w:val="single" w:color="auto"/>
          <w:color w:val="000000"/>
        </w:rPr>
        <w:t>Interest Elections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38" w:lineRule="auto"/>
        <w:tabs>
          <w:tab w:leader="none" w:pos="1898"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Each Borrowing initially shall be of the Type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240"/>
          </w:cols>
          <w:pgMar w:left="320" w:top="1381" w:right="339" w:bottom="1440" w:gutter="0" w:footer="0" w:header="0"/>
        </w:sectPr>
      </w:pPr>
    </w:p>
    <w:bookmarkStart w:id="77" w:name="page78"/>
    <w:bookmarkEnd w:id="77"/>
    <w:p>
      <w:pPr>
        <w:jc w:val="both"/>
        <w:spacing w:after="0" w:line="220" w:lineRule="auto"/>
        <w:rPr>
          <w:sz w:val="20"/>
          <w:szCs w:val="20"/>
          <w:color w:val="auto"/>
        </w:rPr>
      </w:pPr>
      <w:r>
        <w:rPr>
          <w:rFonts w:ascii="Arial" w:cs="Arial" w:eastAsia="Arial" w:hAnsi="Arial"/>
          <w:sz w:val="19"/>
          <w:szCs w:val="19"/>
          <w:color w:val="auto"/>
        </w:rPr>
        <w:t>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53" w:lineRule="exact"/>
        <w:rPr>
          <w:sz w:val="20"/>
          <w:szCs w:val="20"/>
          <w:color w:val="auto"/>
        </w:rPr>
      </w:pPr>
    </w:p>
    <w:p>
      <w:pPr>
        <w:jc w:val="both"/>
        <w:ind w:firstLine="1278"/>
        <w:spacing w:after="0" w:line="215" w:lineRule="auto"/>
        <w:tabs>
          <w:tab w:leader="none" w:pos="1896"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To make an election pursuant to this Section, the Borrower shall notify the Administrative Agent of such election (by irrevocable written notice via an Interest Election Request signed by a Responsible Officer of the Borrower) by the time that a Borrowing Request would be required under Section 2.03 if the Borrower were requesting a Borrowing of the Type resulting from such election to be made on the effective date of such election. Notwithstanding any contrary provision herein, this Section shall not be construed to permit the Borrower to (i) elect an Interest Period for Term Benchmark Loans that does not comply with Section 2.02(d) or (ii) convert any Borrowing to a Borrowing of a Type not available under such Borrowing.</w:t>
      </w:r>
    </w:p>
    <w:p>
      <w:pPr>
        <w:spacing w:after="0" w:line="150" w:lineRule="exact"/>
        <w:rPr>
          <w:rFonts w:ascii="Arial" w:cs="Arial" w:eastAsia="Arial" w:hAnsi="Arial"/>
          <w:sz w:val="19"/>
          <w:szCs w:val="19"/>
          <w:color w:val="010000"/>
        </w:rPr>
      </w:pPr>
    </w:p>
    <w:p>
      <w:pPr>
        <w:ind w:left="1900" w:hanging="622"/>
        <w:spacing w:after="0"/>
        <w:tabs>
          <w:tab w:leader="none" w:pos="1900"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Each Interest Election Request shall specify the following information in compliance with Section 2.02:</w:t>
      </w:r>
    </w:p>
    <w:p>
      <w:pPr>
        <w:spacing w:after="0" w:line="179" w:lineRule="exact"/>
        <w:rPr>
          <w:sz w:val="20"/>
          <w:szCs w:val="20"/>
          <w:color w:val="auto"/>
        </w:rPr>
      </w:pPr>
    </w:p>
    <w:p>
      <w:pPr>
        <w:jc w:val="both"/>
        <w:ind w:left="640" w:firstLine="638"/>
        <w:spacing w:after="0" w:line="226" w:lineRule="auto"/>
        <w:tabs>
          <w:tab w:leader="none" w:pos="1910" w:val="left"/>
        </w:tabs>
        <w:numPr>
          <w:ilvl w:val="0"/>
          <w:numId w:val="66"/>
        </w:numPr>
        <w:rPr>
          <w:rFonts w:ascii="Arial" w:cs="Arial" w:eastAsia="Arial" w:hAnsi="Arial"/>
          <w:sz w:val="19"/>
          <w:szCs w:val="19"/>
          <w:color w:val="010000"/>
        </w:rPr>
      </w:pPr>
      <w:r>
        <w:rPr>
          <w:rFonts w:ascii="Arial" w:cs="Arial" w:eastAsia="Arial" w:hAnsi="Arial"/>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51" w:lineRule="exact"/>
        <w:rPr>
          <w:rFonts w:ascii="Arial" w:cs="Arial" w:eastAsia="Arial" w:hAnsi="Arial"/>
          <w:sz w:val="19"/>
          <w:szCs w:val="19"/>
          <w:color w:val="010000"/>
        </w:rPr>
      </w:pPr>
    </w:p>
    <w:p>
      <w:pPr>
        <w:ind w:left="1920" w:hanging="642"/>
        <w:spacing w:after="0"/>
        <w:tabs>
          <w:tab w:leader="none" w:pos="192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the effective date of the election made pursuant to such Interest Election Request, which shall be a Business Day;</w:t>
      </w:r>
    </w:p>
    <w:p>
      <w:pPr>
        <w:spacing w:after="0" w:line="190" w:lineRule="exact"/>
        <w:rPr>
          <w:rFonts w:ascii="Arial" w:cs="Arial" w:eastAsia="Arial" w:hAnsi="Arial"/>
          <w:sz w:val="18"/>
          <w:szCs w:val="18"/>
          <w:color w:val="010000"/>
        </w:rPr>
      </w:pPr>
    </w:p>
    <w:p>
      <w:pPr>
        <w:ind w:left="1920" w:hanging="642"/>
        <w:spacing w:after="0"/>
        <w:tabs>
          <w:tab w:leader="none" w:pos="1920" w:val="left"/>
        </w:tabs>
        <w:numPr>
          <w:ilvl w:val="0"/>
          <w:numId w:val="66"/>
        </w:numPr>
        <w:rPr>
          <w:rFonts w:ascii="Arial" w:cs="Arial" w:eastAsia="Arial" w:hAnsi="Arial"/>
          <w:sz w:val="17"/>
          <w:szCs w:val="17"/>
          <w:color w:val="010000"/>
        </w:rPr>
      </w:pPr>
      <w:r>
        <w:rPr>
          <w:rFonts w:ascii="Arial" w:cs="Arial" w:eastAsia="Arial" w:hAnsi="Arial"/>
          <w:sz w:val="17"/>
          <w:szCs w:val="17"/>
          <w:color w:val="auto"/>
        </w:rPr>
        <w:t>whether the resulting Borrowing is to be an ABR Borrowing, a Term Benchmark Borrowing or an RFR Borrowing; and</w:t>
      </w:r>
    </w:p>
    <w:p>
      <w:pPr>
        <w:spacing w:after="0" w:line="202" w:lineRule="exact"/>
        <w:rPr>
          <w:rFonts w:ascii="Arial" w:cs="Arial" w:eastAsia="Arial" w:hAnsi="Arial"/>
          <w:sz w:val="17"/>
          <w:szCs w:val="17"/>
          <w:color w:val="010000"/>
        </w:rPr>
      </w:pPr>
    </w:p>
    <w:p>
      <w:pPr>
        <w:ind w:left="640" w:firstLine="638"/>
        <w:spacing w:after="0" w:line="261" w:lineRule="auto"/>
        <w:tabs>
          <w:tab w:leader="none" w:pos="1901"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133" w:lineRule="exact"/>
        <w:rPr>
          <w:sz w:val="20"/>
          <w:szCs w:val="20"/>
          <w:color w:val="auto"/>
        </w:rPr>
      </w:pPr>
    </w:p>
    <w:p>
      <w:pPr>
        <w:spacing w:after="0" w:line="237" w:lineRule="auto"/>
        <w:rPr>
          <w:sz w:val="20"/>
          <w:szCs w:val="20"/>
          <w:color w:val="auto"/>
        </w:rPr>
      </w:pPr>
      <w:r>
        <w:rPr>
          <w:rFonts w:ascii="Arial" w:cs="Arial" w:eastAsia="Arial" w:hAnsi="Arial"/>
          <w:sz w:val="19"/>
          <w:szCs w:val="19"/>
          <w:color w:val="auto"/>
        </w:rPr>
        <w:t>If any such Interest Election Request requests a Term Benchmark Borrowing but does not specify an Interest Period, then the Borrower shall be deemed to have selected an Interest Period of one month’s duration.</w:t>
      </w:r>
    </w:p>
    <w:p>
      <w:pPr>
        <w:spacing w:after="0" w:line="151" w:lineRule="exact"/>
        <w:rPr>
          <w:sz w:val="20"/>
          <w:szCs w:val="20"/>
          <w:color w:val="auto"/>
        </w:rPr>
      </w:pPr>
    </w:p>
    <w:p>
      <w:pPr>
        <w:ind w:right="20" w:firstLine="1278"/>
        <w:spacing w:after="0" w:line="237" w:lineRule="auto"/>
        <w:tabs>
          <w:tab w:leader="none" w:pos="1896" w:val="left"/>
        </w:tabs>
        <w:numPr>
          <w:ilvl w:val="1"/>
          <w:numId w:val="67"/>
        </w:numPr>
        <w:rPr>
          <w:rFonts w:ascii="Arial" w:cs="Arial" w:eastAsia="Arial" w:hAnsi="Arial"/>
          <w:sz w:val="19"/>
          <w:szCs w:val="19"/>
          <w:color w:val="010000"/>
        </w:rPr>
      </w:pPr>
      <w:r>
        <w:rPr>
          <w:rFonts w:ascii="Arial" w:cs="Arial" w:eastAsia="Arial" w:hAnsi="Arial"/>
          <w:sz w:val="19"/>
          <w:szCs w:val="19"/>
          <w:color w:val="auto"/>
        </w:rPr>
        <w:t>Promptly following receipt of an Interest Election Request, the Administrative Agent shall advise each Lender of the details thereof and of such Lender’s portion of each resulting Borrowing.</w:t>
      </w:r>
    </w:p>
    <w:p>
      <w:pPr>
        <w:spacing w:after="0" w:line="151" w:lineRule="exact"/>
        <w:rPr>
          <w:rFonts w:ascii="Arial" w:cs="Arial" w:eastAsia="Arial" w:hAnsi="Arial"/>
          <w:sz w:val="19"/>
          <w:szCs w:val="19"/>
          <w:color w:val="010000"/>
        </w:rPr>
      </w:pPr>
    </w:p>
    <w:p>
      <w:pPr>
        <w:jc w:val="both"/>
        <w:ind w:firstLine="1278"/>
        <w:spacing w:after="0" w:line="231" w:lineRule="auto"/>
        <w:tabs>
          <w:tab w:leader="none" w:pos="1898" w:val="left"/>
        </w:tabs>
        <w:numPr>
          <w:ilvl w:val="1"/>
          <w:numId w:val="67"/>
        </w:numPr>
        <w:rPr>
          <w:rFonts w:ascii="Arial" w:cs="Arial" w:eastAsia="Arial" w:hAnsi="Arial"/>
          <w:sz w:val="17"/>
          <w:szCs w:val="17"/>
          <w:color w:val="010000"/>
        </w:rPr>
      </w:pPr>
      <w:r>
        <w:rPr>
          <w:rFonts w:ascii="Arial" w:cs="Arial" w:eastAsia="Arial" w:hAnsi="Arial"/>
          <w:sz w:val="17"/>
          <w:szCs w:val="17"/>
          <w:color w:val="auto"/>
        </w:rPr>
        <w:t>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deemed to have an Interest Period that is one month.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w:t>
      </w:r>
    </w:p>
    <w:p>
      <w:pPr>
        <w:spacing w:after="0" w:line="2" w:lineRule="exact"/>
        <w:rPr>
          <w:rFonts w:ascii="Arial" w:cs="Arial" w:eastAsia="Arial" w:hAnsi="Arial"/>
          <w:sz w:val="17"/>
          <w:szCs w:val="17"/>
          <w:color w:val="010000"/>
        </w:rPr>
      </w:pPr>
    </w:p>
    <w:p>
      <w:pPr>
        <w:ind w:firstLine="6"/>
        <w:spacing w:after="0" w:line="228" w:lineRule="auto"/>
        <w:tabs>
          <w:tab w:leader="none" w:pos="298" w:val="left"/>
        </w:tabs>
        <w:numPr>
          <w:ilvl w:val="0"/>
          <w:numId w:val="68"/>
        </w:numPr>
        <w:rPr>
          <w:rFonts w:ascii="Arial" w:cs="Arial" w:eastAsia="Arial" w:hAnsi="Arial"/>
          <w:sz w:val="19"/>
          <w:szCs w:val="19"/>
          <w:color w:val="auto"/>
        </w:rPr>
      </w:pPr>
      <w:r>
        <w:rPr>
          <w:rFonts w:ascii="Arial" w:cs="Arial" w:eastAsia="Arial" w:hAnsi="Arial"/>
          <w:sz w:val="19"/>
          <w:szCs w:val="19"/>
          <w:color w:val="auto"/>
        </w:rPr>
        <w:t>unless repaid, (A) each Term Benchmark Borrowing and (B) each RFR Borrowing shall be converted to an ABR Borrowing at the end of the Interest Period applicable thereto.</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1.09.</w:t>
      </w:r>
      <w:r>
        <w:rPr>
          <w:rFonts w:ascii="Arial" w:cs="Arial" w:eastAsia="Arial" w:hAnsi="Arial"/>
          <w:sz w:val="19"/>
          <w:szCs w:val="19"/>
          <w:u w:val="single" w:color="auto"/>
          <w:color w:val="000000"/>
        </w:rPr>
        <w:t>Termination and Reduction of Commitments</w:t>
      </w:r>
      <w:r>
        <w:rPr>
          <w:rFonts w:ascii="Arial" w:cs="Arial" w:eastAsia="Arial" w:hAnsi="Arial"/>
          <w:sz w:val="19"/>
          <w:szCs w:val="19"/>
          <w:color w:val="000000"/>
        </w:rPr>
        <w:t>.</w:t>
      </w:r>
    </w:p>
    <w:p>
      <w:pPr>
        <w:spacing w:after="0" w:line="179" w:lineRule="exact"/>
        <w:rPr>
          <w:sz w:val="20"/>
          <w:szCs w:val="20"/>
          <w:color w:val="auto"/>
        </w:rPr>
      </w:pPr>
    </w:p>
    <w:p>
      <w:pPr>
        <w:ind w:left="1900" w:hanging="622"/>
        <w:spacing w:after="0"/>
        <w:tabs>
          <w:tab w:leader="none" w:pos="1900"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Unless previously terminated, the Commitments shall terminate on the Maturity Date.</w:t>
      </w:r>
    </w:p>
    <w:p>
      <w:pPr>
        <w:spacing w:after="0" w:line="200" w:lineRule="exact"/>
        <w:rPr>
          <w:rFonts w:ascii="Arial" w:cs="Arial" w:eastAsia="Arial" w:hAnsi="Arial"/>
          <w:sz w:val="19"/>
          <w:szCs w:val="19"/>
          <w:color w:val="010000"/>
        </w:rPr>
      </w:pPr>
    </w:p>
    <w:p>
      <w:pPr>
        <w:spacing w:after="0" w:line="200" w:lineRule="exact"/>
        <w:rPr>
          <w:rFonts w:ascii="Arial" w:cs="Arial" w:eastAsia="Arial" w:hAnsi="Arial"/>
          <w:sz w:val="19"/>
          <w:szCs w:val="19"/>
          <w:color w:val="010000"/>
        </w:rPr>
      </w:pPr>
    </w:p>
    <w:p>
      <w:pPr>
        <w:spacing w:after="0" w:line="200" w:lineRule="exact"/>
        <w:rPr>
          <w:rFonts w:ascii="Arial" w:cs="Arial" w:eastAsia="Arial" w:hAnsi="Arial"/>
          <w:sz w:val="19"/>
          <w:szCs w:val="19"/>
          <w:color w:val="010000"/>
        </w:rPr>
      </w:pPr>
    </w:p>
    <w:p>
      <w:pPr>
        <w:spacing w:after="0" w:line="200" w:lineRule="exact"/>
        <w:rPr>
          <w:rFonts w:ascii="Arial" w:cs="Arial" w:eastAsia="Arial" w:hAnsi="Arial"/>
          <w:sz w:val="19"/>
          <w:szCs w:val="19"/>
          <w:color w:val="010000"/>
        </w:rPr>
      </w:pPr>
    </w:p>
    <w:p>
      <w:pPr>
        <w:spacing w:after="0" w:line="200" w:lineRule="exact"/>
        <w:rPr>
          <w:rFonts w:ascii="Arial" w:cs="Arial" w:eastAsia="Arial" w:hAnsi="Arial"/>
          <w:sz w:val="19"/>
          <w:szCs w:val="19"/>
          <w:color w:val="010000"/>
        </w:rPr>
      </w:pPr>
    </w:p>
    <w:p>
      <w:pPr>
        <w:spacing w:after="0" w:line="265" w:lineRule="exact"/>
        <w:rPr>
          <w:rFonts w:ascii="Arial" w:cs="Arial" w:eastAsia="Arial" w:hAnsi="Arial"/>
          <w:sz w:val="19"/>
          <w:szCs w:val="19"/>
          <w:color w:val="010000"/>
        </w:rPr>
      </w:pPr>
    </w:p>
    <w:p>
      <w:pPr>
        <w:ind w:left="5520"/>
        <w:spacing w:after="0"/>
        <w:rPr>
          <w:rFonts w:ascii="Arial" w:cs="Arial" w:eastAsia="Arial" w:hAnsi="Arial"/>
          <w:sz w:val="19"/>
          <w:szCs w:val="19"/>
          <w:color w:val="010000"/>
        </w:rPr>
      </w:pPr>
      <w:r>
        <w:rPr>
          <w:rFonts w:ascii="Arial" w:cs="Arial" w:eastAsia="Arial" w:hAnsi="Arial"/>
          <w:sz w:val="19"/>
          <w:szCs w:val="19"/>
          <w:color w:val="auto"/>
        </w:rPr>
        <w:t>39</w:t>
      </w:r>
    </w:p>
    <w:p>
      <w:pPr>
        <w:sectPr>
          <w:pgSz w:w="11900" w:h="16838" w:orient="portrait"/>
          <w:cols w:equalWidth="0" w:num="1">
            <w:col w:w="11240"/>
          </w:cols>
          <w:pgMar w:left="320" w:top="1381" w:right="339" w:bottom="1440" w:gutter="0" w:footer="0" w:header="0"/>
        </w:sectPr>
      </w:pPr>
    </w:p>
    <w:bookmarkStart w:id="78" w:name="page79"/>
    <w:bookmarkEnd w:id="78"/>
    <w:p>
      <w:pPr>
        <w:jc w:val="both"/>
        <w:ind w:firstLine="1278"/>
        <w:spacing w:after="0" w:line="217" w:lineRule="auto"/>
        <w:tabs>
          <w:tab w:leader="none" w:pos="1896"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 xml:space="preserve">The Borrower may at any time terminate, or from time to time reduce,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reduction of the Commitments shall be in an amount that is an integral multiple of $1,000,000 and not less than $5,000,000 and (ii) the Borrower shall not terminate or reduce the Commitments if, after giving effect to any concurrent prepayment of the Loans in accordance with Section 2.11, (A) the amount of any Lender’s Revolving Credit Exposure would exceed its Commitment or (B) the Total Revolving Credit Exposure would exceed the Aggregate Commitment.</w:t>
      </w:r>
    </w:p>
    <w:p>
      <w:pPr>
        <w:spacing w:after="0" w:line="151" w:lineRule="exact"/>
        <w:rPr>
          <w:rFonts w:ascii="Arial" w:cs="Arial" w:eastAsia="Arial" w:hAnsi="Arial"/>
          <w:sz w:val="19"/>
          <w:szCs w:val="19"/>
          <w:color w:val="010000"/>
        </w:rPr>
      </w:pPr>
    </w:p>
    <w:p>
      <w:pPr>
        <w:jc w:val="both"/>
        <w:ind w:firstLine="1278"/>
        <w:spacing w:after="0" w:line="224" w:lineRule="auto"/>
        <w:tabs>
          <w:tab w:leader="none" w:pos="1898"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 xml:space="preserve">The Borrower shall notify the Administrative Agent of any election to terminate or reduce the Commitments under 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delivered by the Borrower may state that such notice is conditioned upon the effectiveness of other credit facilities or other transactions specified therein,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1.10.</w:t>
      </w:r>
      <w:r>
        <w:rPr>
          <w:rFonts w:ascii="Arial" w:cs="Arial" w:eastAsia="Arial" w:hAnsi="Arial"/>
          <w:sz w:val="19"/>
          <w:szCs w:val="19"/>
          <w:u w:val="single" w:color="auto"/>
          <w:color w:val="000000"/>
        </w:rPr>
        <w:t>Repayment of Loans; Evidence of Debt</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04" w:lineRule="auto"/>
        <w:tabs>
          <w:tab w:leader="none" w:pos="1898"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The Borrower hereby unconditionally promises to pay (i) to the Administrative Agent for the account of each Lender the then unpaid principal amount of each Revolving Loan on the Maturity Date and (ii) to the Administrative Agent for the account of the Swingline Lender the then unpaid principal amount of each Swingline Loan on the earlier of the Maturity Date and the fifth (5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Business Day after such Swingline Loan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each date that a Revolving Borrowing is made, the Borrower shall repay all Swingline Loans then outstanding and the proceeds of any such Borrowing shall be applied by the Administrative Agent to repay any Swingline Loans outstanding.</w:t>
      </w:r>
    </w:p>
    <w:p>
      <w:pPr>
        <w:spacing w:after="0" w:line="152" w:lineRule="exact"/>
        <w:rPr>
          <w:rFonts w:ascii="Arial" w:cs="Arial" w:eastAsia="Arial" w:hAnsi="Arial"/>
          <w:sz w:val="19"/>
          <w:szCs w:val="19"/>
          <w:color w:val="010000"/>
        </w:rPr>
      </w:pPr>
    </w:p>
    <w:p>
      <w:pPr>
        <w:jc w:val="both"/>
        <w:ind w:firstLine="1278"/>
        <w:spacing w:after="0" w:line="226" w:lineRule="auto"/>
        <w:tabs>
          <w:tab w:leader="none" w:pos="1896"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51" w:lineRule="exact"/>
        <w:rPr>
          <w:rFonts w:ascii="Arial" w:cs="Arial" w:eastAsia="Arial" w:hAnsi="Arial"/>
          <w:sz w:val="19"/>
          <w:szCs w:val="19"/>
          <w:color w:val="010000"/>
        </w:rPr>
      </w:pPr>
    </w:p>
    <w:p>
      <w:pPr>
        <w:jc w:val="both"/>
        <w:ind w:firstLine="1278"/>
        <w:spacing w:after="0" w:line="220" w:lineRule="auto"/>
        <w:tabs>
          <w:tab w:leader="none" w:pos="1898"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52" w:lineRule="exact"/>
        <w:rPr>
          <w:rFonts w:ascii="Arial" w:cs="Arial" w:eastAsia="Arial" w:hAnsi="Arial"/>
          <w:sz w:val="19"/>
          <w:szCs w:val="19"/>
          <w:color w:val="010000"/>
        </w:rPr>
      </w:pPr>
    </w:p>
    <w:p>
      <w:pPr>
        <w:jc w:val="both"/>
        <w:ind w:firstLine="1278"/>
        <w:spacing w:after="0" w:line="220" w:lineRule="auto"/>
        <w:tabs>
          <w:tab w:leader="none" w:pos="1896"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 xml:space="preserve">The entries made in the accounts maintained pursuant to paragraph (b) or (c) of this Section shall be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existence and amounts of the obligations recorded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Lender or the Administrative Agent to maintain such accounts or any error therein shall not in any manner affect the Obligations (including, without limitation, the obligation of the Borrower to repay the Loans in accordance with the terms of this Agreement).</w:t>
      </w:r>
    </w:p>
    <w:p>
      <w:pPr>
        <w:spacing w:after="0" w:line="152" w:lineRule="exact"/>
        <w:rPr>
          <w:rFonts w:ascii="Arial" w:cs="Arial" w:eastAsia="Arial" w:hAnsi="Arial"/>
          <w:sz w:val="19"/>
          <w:szCs w:val="19"/>
          <w:color w:val="010000"/>
        </w:rPr>
      </w:pPr>
    </w:p>
    <w:p>
      <w:pPr>
        <w:jc w:val="both"/>
        <w:ind w:firstLine="1278"/>
        <w:spacing w:after="0" w:line="232" w:lineRule="auto"/>
        <w:tabs>
          <w:tab w:leader="none" w:pos="1898"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 xml:space="preserve">Any Lender may request that Loans made by it be evidenced by a promissory note. In such event, the Borrower shall prepare, execute and deliver to such Lender a promissory note payable to such Lender (or, if requested by such Lender, to such Lender and its registered assigns) and in the form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 Thereafter, the Loans evidenced by such promissory note and interest thereon shall at all times (including after assignment pursuant to Section 9.04) be represented by one or more promissory notes in such form.</w:t>
      </w:r>
    </w:p>
    <w:p>
      <w:pPr>
        <w:spacing w:after="0" w:line="154"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010000"/>
        </w:rPr>
        <w:t>SECTION 1.11.</w:t>
      </w:r>
      <w:r>
        <w:rPr>
          <w:rFonts w:ascii="Arial" w:cs="Arial" w:eastAsia="Arial" w:hAnsi="Arial"/>
          <w:sz w:val="19"/>
          <w:szCs w:val="19"/>
          <w:u w:val="single" w:color="auto"/>
          <w:color w:val="000000"/>
        </w:rPr>
        <w:t>Prepayment of Loans</w:t>
      </w:r>
      <w:r>
        <w:rPr>
          <w:rFonts w:ascii="Arial" w:cs="Arial" w:eastAsia="Arial" w:hAnsi="Arial"/>
          <w:sz w:val="19"/>
          <w:szCs w:val="19"/>
          <w:color w:val="000000"/>
        </w:rPr>
        <w:t>. The Borrower shall have the right at any time and from time to time to prepay any</w:t>
      </w:r>
      <w:r>
        <w:rPr>
          <w:rFonts w:ascii="Arial" w:cs="Arial" w:eastAsia="Arial" w:hAnsi="Arial"/>
          <w:sz w:val="19"/>
          <w:szCs w:val="19"/>
          <w:color w:val="010000"/>
        </w:rPr>
        <w:t xml:space="preserve"> </w:t>
      </w:r>
      <w:r>
        <w:rPr>
          <w:rFonts w:ascii="Arial" w:cs="Arial" w:eastAsia="Arial" w:hAnsi="Arial"/>
          <w:sz w:val="19"/>
          <w:szCs w:val="19"/>
          <w:color w:val="000000"/>
        </w:rPr>
        <w:t>Borrowing in whole or in part (without premium or penalty (but subject to break funding payments required by Section 2.16)), subject to prior notice in accordance with the provisions of this Section 2.11. The Borrower shall notify the Administrative Agent (and, in the case of prepayment of a Swingline Loan, the Swingline Lender) by written notice of any prepayment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1240"/>
          </w:cols>
          <w:pgMar w:left="320" w:top="1381" w:right="339" w:bottom="1440" w:gutter="0" w:footer="0" w:header="0"/>
        </w:sectPr>
      </w:pPr>
    </w:p>
    <w:bookmarkStart w:id="79" w:name="page80"/>
    <w:bookmarkEnd w:id="79"/>
    <w:p>
      <w:pPr>
        <w:jc w:val="both"/>
        <w:ind w:firstLine="6"/>
        <w:spacing w:after="0" w:line="232" w:lineRule="auto"/>
        <w:tabs>
          <w:tab w:leader="none" w:pos="235"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in the case of prepayment of (x) a Term Benchmark Revolving Borrowing, not later than 11:00 a.m., New York City time, three (3) Business Days before the date of prepayment or (y) an RFR Revolving Borrowing, not later than 11:00 a.m., New York City time, five (5) Business Days before the date of prepayment, (ii) in the case of prepayment of an ABR Revolving Borrowing, not later than 11:00 a.m., New York City time, one (1) Business Day before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Loans included in the prepaid Borrowing. Prepayments shall be accompanied by (i) accrued interest to the extent required by Section 2.13 and (ii) any break funding payments required by Section 2.16. If at any time the Total Revolving Credit Exposure exceeds the Aggregate Commitment, the Borrower shall immediately repay Borrowings or cash collateralize LC Exposure in an account with the Administrative Agent pursuant to Section 2.06(j), as applicable, in an aggregate principal amount sufficient to cause the aggregate principal amount of the Total Revolving Credit Exposure to be less than or equal to the Aggregate Commitment.</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1.12.</w:t>
      </w:r>
      <w:r>
        <w:rPr>
          <w:rFonts w:ascii="Arial" w:cs="Arial" w:eastAsia="Arial" w:hAnsi="Arial"/>
          <w:sz w:val="19"/>
          <w:szCs w:val="19"/>
          <w:u w:val="single" w:color="auto"/>
          <w:color w:val="000000"/>
        </w:rPr>
        <w:t>Fees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04" w:lineRule="auto"/>
        <w:tabs>
          <w:tab w:leader="none" w:pos="1898" w:val="left"/>
        </w:tabs>
        <w:numPr>
          <w:ilvl w:val="0"/>
          <w:numId w:val="73"/>
        </w:numPr>
        <w:rPr>
          <w:rFonts w:ascii="Arial" w:cs="Arial" w:eastAsia="Arial" w:hAnsi="Arial"/>
          <w:sz w:val="19"/>
          <w:szCs w:val="19"/>
          <w:color w:val="010000"/>
        </w:rPr>
      </w:pPr>
      <w:r>
        <w:rPr>
          <w:rFonts w:ascii="Arial" w:cs="Arial" w:eastAsia="Arial" w:hAnsi="Arial"/>
          <w:sz w:val="19"/>
          <w:szCs w:val="19"/>
          <w:color w:val="auto"/>
        </w:rPr>
        <w:t>The Borrower agrees to pay to the Administrative Agent for the account of each Lender a commitment fee (the “</w:t>
      </w:r>
      <w:r>
        <w:rPr>
          <w:rFonts w:ascii="Arial" w:cs="Arial" w:eastAsia="Arial" w:hAnsi="Arial"/>
          <w:sz w:val="19"/>
          <w:szCs w:val="19"/>
          <w:u w:val="single" w:color="auto"/>
          <w:color w:val="auto"/>
        </w:rPr>
        <w:t>Commitment Fee</w:t>
      </w:r>
      <w:r>
        <w:rPr>
          <w:rFonts w:ascii="Arial" w:cs="Arial" w:eastAsia="Arial" w:hAnsi="Arial"/>
          <w:sz w:val="19"/>
          <w:szCs w:val="19"/>
          <w:color w:val="auto"/>
        </w:rPr>
        <w:t>”), which shall accrue at the Applicable Rate applicable to the Commitment Fee on the daily amount of the Available Revolving Commitment of such Lender during the period from and including the Effective Date to but excluding the date on which such Commitment terminates. Commitment Fees accrued through and including the last day of March, June, September and December of each year shall be payable in arrears on the fifteenth (15</w:t>
      </w:r>
      <w:r>
        <w:rPr>
          <w:rFonts w:ascii="Arial" w:cs="Arial" w:eastAsia="Arial" w:hAnsi="Arial"/>
          <w:sz w:val="25"/>
          <w:szCs w:val="25"/>
          <w:color w:val="auto"/>
          <w:vertAlign w:val="superscript"/>
        </w:rPr>
        <w:t>th</w:t>
      </w:r>
      <w:r>
        <w:rPr>
          <w:rFonts w:ascii="Arial" w:cs="Arial" w:eastAsia="Arial" w:hAnsi="Arial"/>
          <w:sz w:val="19"/>
          <w:szCs w:val="19"/>
          <w:color w:val="auto"/>
        </w:rPr>
        <w:t>) day following such last day and on the date on which the Commitments terminate, commencing on the first such date to occur after the date hereof. All Commitment Fees shall be computed on the basis of a year of 360 days and shall be payable for the actual number of days elapsed (including the first day and the last day of each period but excluding the date on which the Commitments terminate).</w:t>
      </w:r>
    </w:p>
    <w:p>
      <w:pPr>
        <w:spacing w:after="0" w:line="151" w:lineRule="exact"/>
        <w:rPr>
          <w:rFonts w:ascii="Arial" w:cs="Arial" w:eastAsia="Arial" w:hAnsi="Arial"/>
          <w:sz w:val="19"/>
          <w:szCs w:val="19"/>
          <w:color w:val="010000"/>
        </w:rPr>
      </w:pPr>
    </w:p>
    <w:p>
      <w:pPr>
        <w:jc w:val="both"/>
        <w:ind w:firstLine="1278"/>
        <w:spacing w:after="0" w:line="228" w:lineRule="auto"/>
        <w:tabs>
          <w:tab w:leader="none" w:pos="1896" w:val="left"/>
        </w:tabs>
        <w:numPr>
          <w:ilvl w:val="0"/>
          <w:numId w:val="73"/>
        </w:numPr>
        <w:rPr>
          <w:rFonts w:ascii="Arial" w:cs="Arial" w:eastAsia="Arial" w:hAnsi="Arial"/>
          <w:sz w:val="17"/>
          <w:szCs w:val="17"/>
          <w:color w:val="010000"/>
        </w:rPr>
      </w:pPr>
      <w:r>
        <w:rPr>
          <w:rFonts w:ascii="Arial" w:cs="Arial" w:eastAsia="Arial" w:hAnsi="Arial"/>
          <w:sz w:val="17"/>
          <w:szCs w:val="17"/>
          <w:color w:val="auto"/>
        </w:rPr>
        <w:t>The Borrower agrees to pay (i) to the Administrative Agent for the account of each Lender a participation fee with respect to its participations in each outstanding Letter of Credit, which shall accrue on the daily maximum stated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Commitment terminates and the date on which such Lender ceases to have any LC Exposure and (ii) to the Issuing Bank for its own account a fronting fee, which shall accrue at the rate of 0.125% per annum on the daily maximum stated amount then available to be drawn under such Letter of Credit, during the period from and including the Effective Date to but excluding the later of the date of termination of the Commitments and the date on which there ceases to be any LC Exposure, as well as the Issuing Bank’s standard fees with respect to the issuance, amendment or extension of any Letter of Credit and other processing fees, and other standard costs and charges, of such Issuing bank relating the Letters of Credit as from time to time in effect. Participation fees and fronting fees accrued through and including the last day of March, June, September and December of each year shall be payable on the fifteenth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such last day, commencing on the first such date to occur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fees shall be payable on the date on which the Commitments terminate and any such fees accruing after the date on which the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240"/>
          </w:cols>
          <w:pgMar w:left="320" w:top="1381" w:right="339" w:bottom="1440" w:gutter="0" w:footer="0" w:header="0"/>
        </w:sectPr>
      </w:pPr>
    </w:p>
    <w:bookmarkStart w:id="80" w:name="page81"/>
    <w:bookmarkEnd w:id="80"/>
    <w:p>
      <w:pPr>
        <w:ind w:firstLine="1278"/>
        <w:spacing w:after="0" w:line="237" w:lineRule="auto"/>
        <w:tabs>
          <w:tab w:leader="none" w:pos="1898" w:val="left"/>
        </w:tabs>
        <w:numPr>
          <w:ilvl w:val="0"/>
          <w:numId w:val="74"/>
        </w:numPr>
        <w:rPr>
          <w:rFonts w:ascii="Arial" w:cs="Arial" w:eastAsia="Arial" w:hAnsi="Arial"/>
          <w:sz w:val="19"/>
          <w:szCs w:val="19"/>
          <w:color w:val="010000"/>
        </w:rPr>
      </w:pPr>
      <w:r>
        <w:rPr>
          <w:rFonts w:ascii="Arial" w:cs="Arial" w:eastAsia="Arial" w:hAnsi="Arial"/>
          <w:sz w:val="19"/>
          <w:szCs w:val="19"/>
          <w:color w:val="auto"/>
        </w:rPr>
        <w:t>The Borrower agrees to pay to the Administrative Agent, for its own account, fees payable in the amounts and at the times separately agreed upon between the Borrower and the Administrative Agent.</w:t>
      </w:r>
    </w:p>
    <w:p>
      <w:pPr>
        <w:spacing w:after="0" w:line="151" w:lineRule="exact"/>
        <w:rPr>
          <w:rFonts w:ascii="Arial" w:cs="Arial" w:eastAsia="Arial" w:hAnsi="Arial"/>
          <w:sz w:val="19"/>
          <w:szCs w:val="19"/>
          <w:color w:val="010000"/>
        </w:rPr>
      </w:pPr>
    </w:p>
    <w:p>
      <w:pPr>
        <w:jc w:val="both"/>
        <w:ind w:firstLine="1278"/>
        <w:spacing w:after="0" w:line="226" w:lineRule="auto"/>
        <w:tabs>
          <w:tab w:leader="none" w:pos="1896" w:val="left"/>
        </w:tabs>
        <w:numPr>
          <w:ilvl w:val="0"/>
          <w:numId w:val="74"/>
        </w:numPr>
        <w:rPr>
          <w:rFonts w:ascii="Arial" w:cs="Arial" w:eastAsia="Arial" w:hAnsi="Arial"/>
          <w:sz w:val="19"/>
          <w:szCs w:val="19"/>
          <w:color w:val="010000"/>
        </w:rPr>
      </w:pPr>
      <w:r>
        <w:rPr>
          <w:rFonts w:ascii="Arial" w:cs="Arial" w:eastAsia="Arial" w:hAnsi="Arial"/>
          <w:sz w:val="19"/>
          <w:szCs w:val="19"/>
          <w:color w:val="auto"/>
        </w:rPr>
        <w:t>All fees payable hereunder shall be paid on the dates due, in Dollars and immediately available funds, to the Administrative Agent (or to the Issuing Bank, in the case of fees payable to it) for distribution, in the case of Commitment Fees and participation fees, to the Lenders. Fees paid shall not be refundable under any circumstances.</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1.13.</w:t>
      </w:r>
      <w:r>
        <w:rPr>
          <w:rFonts w:ascii="Arial" w:cs="Arial" w:eastAsia="Arial" w:hAnsi="Arial"/>
          <w:sz w:val="19"/>
          <w:szCs w:val="19"/>
          <w:u w:val="single" w:color="auto"/>
          <w:color w:val="000000"/>
        </w:rPr>
        <w:t>Interest</w:t>
      </w:r>
      <w:r>
        <w:rPr>
          <w:rFonts w:ascii="Arial" w:cs="Arial" w:eastAsia="Arial" w:hAnsi="Arial"/>
          <w:sz w:val="19"/>
          <w:szCs w:val="19"/>
          <w:color w:val="000000"/>
        </w:rPr>
        <w:t>.</w:t>
      </w:r>
    </w:p>
    <w:p>
      <w:pPr>
        <w:spacing w:after="0" w:line="179" w:lineRule="exact"/>
        <w:rPr>
          <w:sz w:val="20"/>
          <w:szCs w:val="20"/>
          <w:color w:val="auto"/>
        </w:rPr>
      </w:pPr>
    </w:p>
    <w:p>
      <w:pPr>
        <w:ind w:firstLine="1278"/>
        <w:spacing w:after="0" w:line="237" w:lineRule="auto"/>
        <w:tabs>
          <w:tab w:leader="none" w:pos="1898"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The Loans comprising each ABR Borrowing (including each Swingline Loan) shall bear interest at the Alternate Base Rate plus the Applicable Rate.</w:t>
      </w:r>
    </w:p>
    <w:p>
      <w:pPr>
        <w:spacing w:after="0" w:line="151" w:lineRule="exact"/>
        <w:rPr>
          <w:rFonts w:ascii="Arial" w:cs="Arial" w:eastAsia="Arial" w:hAnsi="Arial"/>
          <w:sz w:val="19"/>
          <w:szCs w:val="19"/>
          <w:color w:val="010000"/>
        </w:rPr>
      </w:pPr>
    </w:p>
    <w:p>
      <w:pPr>
        <w:ind w:firstLine="1278"/>
        <w:spacing w:after="0" w:line="237" w:lineRule="auto"/>
        <w:tabs>
          <w:tab w:leader="none" w:pos="1896"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The Loans comprising each Term Benchmark Borrowing shall bear interest at the Adjusted Term SOFR Rate for the Interest Period in effect for such Borrowing plus the Applicable Rate.</w:t>
      </w:r>
    </w:p>
    <w:p>
      <w:pPr>
        <w:spacing w:after="0" w:line="146" w:lineRule="exact"/>
        <w:rPr>
          <w:rFonts w:ascii="Arial" w:cs="Arial" w:eastAsia="Arial" w:hAnsi="Arial"/>
          <w:sz w:val="19"/>
          <w:szCs w:val="19"/>
          <w:color w:val="010000"/>
        </w:rPr>
      </w:pPr>
    </w:p>
    <w:p>
      <w:pPr>
        <w:ind w:left="1900" w:hanging="622"/>
        <w:spacing w:after="0"/>
        <w:tabs>
          <w:tab w:leader="none" w:pos="1900"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Each RFR Loan shall bear interest at a rate per annum equal to the Adjusted Daily Simple SOFR plus the Applicable</w:t>
      </w:r>
    </w:p>
    <w:p>
      <w:pPr>
        <w:spacing w:after="0"/>
        <w:rPr>
          <w:rFonts w:ascii="Arial" w:cs="Arial" w:eastAsia="Arial" w:hAnsi="Arial"/>
          <w:sz w:val="18"/>
          <w:szCs w:val="18"/>
          <w:color w:val="010000"/>
        </w:rPr>
      </w:pPr>
      <w:r>
        <w:rPr>
          <w:rFonts w:ascii="Arial" w:cs="Arial" w:eastAsia="Arial" w:hAnsi="Arial"/>
          <w:sz w:val="19"/>
          <w:szCs w:val="19"/>
          <w:color w:val="auto"/>
        </w:rPr>
        <w:t>Rate.</w:t>
      </w:r>
    </w:p>
    <w:p>
      <w:pPr>
        <w:spacing w:after="0" w:line="163" w:lineRule="exact"/>
        <w:rPr>
          <w:rFonts w:ascii="Arial" w:cs="Arial" w:eastAsia="Arial" w:hAnsi="Arial"/>
          <w:sz w:val="18"/>
          <w:szCs w:val="18"/>
          <w:color w:val="010000"/>
        </w:rPr>
      </w:pPr>
    </w:p>
    <w:p>
      <w:pPr>
        <w:jc w:val="both"/>
        <w:ind w:firstLine="1278"/>
        <w:spacing w:after="0" w:line="217" w:lineRule="auto"/>
        <w:tabs>
          <w:tab w:leader="none" w:pos="1896"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51" w:lineRule="exact"/>
        <w:rPr>
          <w:rFonts w:ascii="Arial" w:cs="Arial" w:eastAsia="Arial" w:hAnsi="Arial"/>
          <w:sz w:val="19"/>
          <w:szCs w:val="19"/>
          <w:color w:val="010000"/>
        </w:rPr>
      </w:pPr>
    </w:p>
    <w:p>
      <w:pPr>
        <w:jc w:val="both"/>
        <w:ind w:firstLine="1278"/>
        <w:spacing w:after="0" w:line="215" w:lineRule="auto"/>
        <w:tabs>
          <w:tab w:leader="none" w:pos="1898"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 xml:space="preserve">Accrued interest on each Loan shall be payable in arrears on each Interest Payment Date for such Loan and upon termination of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paragraph (c)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50" w:lineRule="exact"/>
        <w:rPr>
          <w:rFonts w:ascii="Arial" w:cs="Arial" w:eastAsia="Arial" w:hAnsi="Arial"/>
          <w:sz w:val="19"/>
          <w:szCs w:val="19"/>
          <w:color w:val="010000"/>
        </w:rPr>
      </w:pPr>
    </w:p>
    <w:p>
      <w:pPr>
        <w:jc w:val="both"/>
        <w:ind w:firstLine="1278"/>
        <w:spacing w:after="0" w:line="225" w:lineRule="auto"/>
        <w:tabs>
          <w:tab w:leader="none" w:pos="1903"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Interest computed by reference to the Term SOFR Rate or Daily Simple SOFR hereunder shall be computed on the basis of a year of 360 days. Interest computed by reference to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Term SOFR Rate, Adjusted Daily Simple SOFR or Daily Simple SOFR shall be determined by the Administrative Agent, and such determination shall be conclusive absent manifest error.</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1.14.</w:t>
      </w:r>
      <w:r>
        <w:rPr>
          <w:rFonts w:ascii="Arial" w:cs="Arial" w:eastAsia="Arial" w:hAnsi="Arial"/>
          <w:sz w:val="19"/>
          <w:szCs w:val="19"/>
          <w:u w:val="single" w:color="auto"/>
          <w:color w:val="000000"/>
        </w:rPr>
        <w:t>Alternate Rate of Interest</w:t>
      </w:r>
      <w:r>
        <w:rPr>
          <w:rFonts w:ascii="Arial" w:cs="Arial" w:eastAsia="Arial" w:hAnsi="Arial"/>
          <w:sz w:val="19"/>
          <w:szCs w:val="19"/>
          <w:color w:val="000000"/>
        </w:rPr>
        <w:t>.</w:t>
      </w:r>
    </w:p>
    <w:p>
      <w:pPr>
        <w:spacing w:after="0" w:line="179" w:lineRule="exact"/>
        <w:rPr>
          <w:sz w:val="20"/>
          <w:szCs w:val="20"/>
          <w:color w:val="auto"/>
        </w:rPr>
      </w:pPr>
    </w:p>
    <w:p>
      <w:pPr>
        <w:ind w:left="1900" w:hanging="622"/>
        <w:spacing w:after="0"/>
        <w:tabs>
          <w:tab w:leader="none" w:pos="1900"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Subject to clauses (b), (c), (d), (e) and (f) of this Section 2.14, if:</w:t>
      </w:r>
    </w:p>
    <w:p>
      <w:pPr>
        <w:spacing w:after="0" w:line="179" w:lineRule="exact"/>
        <w:rPr>
          <w:sz w:val="20"/>
          <w:szCs w:val="20"/>
          <w:color w:val="auto"/>
        </w:rPr>
      </w:pPr>
    </w:p>
    <w:p>
      <w:pPr>
        <w:jc w:val="both"/>
        <w:ind w:left="640" w:firstLine="638"/>
        <w:spacing w:after="0" w:line="217" w:lineRule="auto"/>
        <w:tabs>
          <w:tab w:leader="none" w:pos="1910" w:val="left"/>
        </w:tabs>
        <w:numPr>
          <w:ilvl w:val="0"/>
          <w:numId w:val="77"/>
        </w:numPr>
        <w:rPr>
          <w:rFonts w:ascii="Arial" w:cs="Arial" w:eastAsia="Arial" w:hAnsi="Arial"/>
          <w:sz w:val="19"/>
          <w:szCs w:val="19"/>
          <w:color w:val="010000"/>
        </w:rPr>
      </w:pPr>
      <w:r>
        <w:rPr>
          <w:rFonts w:ascii="Arial" w:cs="Arial" w:eastAsia="Arial" w:hAnsi="Arial"/>
          <w:sz w:val="19"/>
          <w:szCs w:val="19"/>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or (B) at any time, that adequate and reasonable means do not exist for ascertaining the applicable Adjusted Daily Simple SOFR or Daily Simple SOFR;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1240"/>
          </w:cols>
          <w:pgMar w:left="320" w:top="1381" w:right="339" w:bottom="1440" w:gutter="0" w:footer="0" w:header="0"/>
        </w:sectPr>
      </w:pPr>
    </w:p>
    <w:bookmarkStart w:id="81" w:name="page82"/>
    <w:bookmarkEnd w:id="81"/>
    <w:p>
      <w:pPr>
        <w:jc w:val="both"/>
        <w:ind w:left="640" w:firstLine="638"/>
        <w:spacing w:after="0" w:line="217" w:lineRule="auto"/>
        <w:tabs>
          <w:tab w:leader="none" w:pos="1911"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 (B) at any time, Adjusted Daily Simple SOFR will not adequately and fairly reflect the cost to such Lenders (or Lender) of making or maintaining their Loans (or its Loan) included in such Borrowing;</w:t>
      </w:r>
    </w:p>
    <w:p>
      <w:pPr>
        <w:spacing w:after="0" w:line="152"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(1) 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 (x) an RFR Borrowing so long as the Adjusted Daily Simple SOFR is not also the subject of Section 2.14(a)(i) or (ii) above or (y) an ABR Borrowing if the Adjusted Daily Simple SOFR also is the subject of Section 2.14(a)(i) or (ii) above and</w:t>
      </w:r>
    </w:p>
    <w:p>
      <w:pPr>
        <w:spacing w:after="0" w:line="1" w:lineRule="exact"/>
        <w:rPr>
          <w:sz w:val="20"/>
          <w:szCs w:val="20"/>
          <w:color w:val="auto"/>
        </w:rPr>
      </w:pPr>
    </w:p>
    <w:p>
      <w:pPr>
        <w:jc w:val="both"/>
        <w:ind w:firstLine="6"/>
        <w:spacing w:after="0" w:line="232" w:lineRule="auto"/>
        <w:tabs>
          <w:tab w:leader="none" w:pos="294"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any Borrowing Request that requests an RFR Borrowing shall instead be deemed to be a Borrowing Request, as applicable, for an ABR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(1) any Term Benchmark Loan shall on the last day of the Interest Period applicable to such Loan (or the next succeeding Business Day if such day is not a Business Day), be converted by the Administrative Agent to, and shall constitute, (x) an RFR Borrowing so long as the Adjusted Daily Simple SOFR is not also the subject of Section 2.14(a)(i) or (ii) above or (y) an ABR Loan if the Adjusted Daily Simple SOFR also is the subject of Section 2.14(a)(i) or (ii) above, on such day, and (2) any RFR Loan shall on and from such day be converted by the Administrative Agent to, and shall constitute an ABR Loan.</w:t>
      </w:r>
    </w:p>
    <w:p>
      <w:pPr>
        <w:spacing w:after="0" w:line="157" w:lineRule="exact"/>
        <w:rPr>
          <w:rFonts w:ascii="Arial" w:cs="Arial" w:eastAsia="Arial" w:hAnsi="Arial"/>
          <w:sz w:val="17"/>
          <w:szCs w:val="17"/>
          <w:color w:val="auto"/>
        </w:rPr>
      </w:pPr>
    </w:p>
    <w:p>
      <w:pPr>
        <w:jc w:val="both"/>
        <w:ind w:firstLine="1278"/>
        <w:spacing w:after="0" w:line="212" w:lineRule="auto"/>
        <w:tabs>
          <w:tab w:leader="none" w:pos="1896" w:val="left"/>
        </w:tabs>
        <w:numPr>
          <w:ilvl w:val="1"/>
          <w:numId w:val="79"/>
        </w:numPr>
        <w:rPr>
          <w:rFonts w:ascii="Arial" w:cs="Arial" w:eastAsia="Arial" w:hAnsi="Arial"/>
          <w:sz w:val="19"/>
          <w:szCs w:val="19"/>
          <w:color w:val="010000"/>
        </w:rPr>
      </w:pPr>
      <w:r>
        <w:rPr>
          <w:rFonts w:ascii="Arial" w:cs="Arial" w:eastAsia="Arial" w:hAnsi="Arial"/>
          <w:sz w:val="19"/>
          <w:szCs w:val="19"/>
          <w:color w:val="auto"/>
        </w:rPr>
        <w:t>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52" w:lineRule="exact"/>
        <w:rPr>
          <w:rFonts w:ascii="Arial" w:cs="Arial" w:eastAsia="Arial" w:hAnsi="Arial"/>
          <w:sz w:val="19"/>
          <w:szCs w:val="19"/>
          <w:color w:val="010000"/>
        </w:rPr>
      </w:pPr>
    </w:p>
    <w:p>
      <w:pPr>
        <w:jc w:val="both"/>
        <w:ind w:firstLine="1278"/>
        <w:spacing w:after="0" w:line="220" w:lineRule="auto"/>
        <w:tabs>
          <w:tab w:leader="none" w:pos="1898" w:val="left"/>
        </w:tabs>
        <w:numPr>
          <w:ilvl w:val="1"/>
          <w:numId w:val="79"/>
        </w:numPr>
        <w:rPr>
          <w:rFonts w:ascii="Arial" w:cs="Arial" w:eastAsia="Arial" w:hAnsi="Arial"/>
          <w:sz w:val="19"/>
          <w:szCs w:val="19"/>
          <w:color w:val="010000"/>
        </w:rPr>
      </w:pPr>
      <w:r>
        <w:rPr>
          <w:rFonts w:ascii="Arial" w:cs="Arial" w:eastAsia="Arial" w:hAnsi="Arial"/>
          <w:sz w:val="19"/>
          <w:szCs w:val="19"/>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52" w:lineRule="exact"/>
        <w:rPr>
          <w:rFonts w:ascii="Arial" w:cs="Arial" w:eastAsia="Arial" w:hAnsi="Arial"/>
          <w:sz w:val="19"/>
          <w:szCs w:val="19"/>
          <w:color w:val="010000"/>
        </w:rPr>
      </w:pPr>
    </w:p>
    <w:p>
      <w:pPr>
        <w:jc w:val="both"/>
        <w:ind w:firstLine="1278"/>
        <w:spacing w:after="0" w:line="220" w:lineRule="auto"/>
        <w:tabs>
          <w:tab w:leader="none" w:pos="1896" w:val="left"/>
        </w:tabs>
        <w:numPr>
          <w:ilvl w:val="1"/>
          <w:numId w:val="79"/>
        </w:numPr>
        <w:rPr>
          <w:rFonts w:ascii="Arial" w:cs="Arial" w:eastAsia="Arial" w:hAnsi="Arial"/>
          <w:sz w:val="19"/>
          <w:szCs w:val="19"/>
          <w:color w:val="010000"/>
        </w:rPr>
      </w:pPr>
      <w:r>
        <w:rPr>
          <w:rFonts w:ascii="Arial" w:cs="Arial" w:eastAsia="Arial" w:hAnsi="Arial"/>
          <w:sz w:val="19"/>
          <w:szCs w:val="19"/>
          <w:color w:val="auto"/>
        </w:rPr>
        <w:t>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ectPr>
          <w:pgSz w:w="11900" w:h="16838" w:orient="portrait"/>
          <w:cols w:equalWidth="0" w:num="1">
            <w:col w:w="11240"/>
          </w:cols>
          <w:pgMar w:left="320" w:top="1381" w:right="339" w:bottom="1440" w:gutter="0" w:footer="0" w:header="0"/>
        </w:sectPr>
      </w:pPr>
    </w:p>
    <w:bookmarkStart w:id="82" w:name="page83"/>
    <w:bookmarkEnd w:id="82"/>
    <w:p>
      <w:pPr>
        <w:jc w:val="both"/>
        <w:spacing w:after="0" w:line="217" w:lineRule="auto"/>
        <w:rPr>
          <w:sz w:val="20"/>
          <w:szCs w:val="20"/>
          <w:color w:val="auto"/>
        </w:rPr>
      </w:pPr>
      <w:r>
        <w:rPr>
          <w:rFonts w:ascii="Arial" w:cs="Arial" w:eastAsia="Arial" w:hAnsi="Arial"/>
          <w:sz w:val="19"/>
          <w:szCs w:val="19"/>
          <w:color w:val="auto"/>
        </w:rPr>
        <w:t>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52" w:lineRule="exact"/>
        <w:rPr>
          <w:sz w:val="20"/>
          <w:szCs w:val="20"/>
          <w:color w:val="auto"/>
        </w:rPr>
      </w:pPr>
    </w:p>
    <w:p>
      <w:pPr>
        <w:jc w:val="both"/>
        <w:ind w:firstLine="1278"/>
        <w:spacing w:after="0" w:line="235" w:lineRule="auto"/>
        <w:tabs>
          <w:tab w:leader="none" w:pos="1898"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52" w:lineRule="exact"/>
        <w:rPr>
          <w:rFonts w:ascii="Arial" w:cs="Arial" w:eastAsia="Arial" w:hAnsi="Arial"/>
          <w:sz w:val="17"/>
          <w:szCs w:val="17"/>
          <w:color w:val="010000"/>
        </w:rPr>
      </w:pPr>
    </w:p>
    <w:p>
      <w:pPr>
        <w:jc w:val="both"/>
        <w:ind w:firstLine="1278"/>
        <w:spacing w:after="0" w:line="219" w:lineRule="auto"/>
        <w:tabs>
          <w:tab w:leader="none" w:pos="1903"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 an RFR Borrowing so long as the Adjusted Daily Simple SOFR is not the subject of a Benchmark Transition Event or (B) an ABR Borrowing if the Adjusted Daily Simple SOFR is the subject of a Benchmark Transition Event.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2.14, (1) any Term Benchmark Loan shall on the last day of the Interest Period applicable to such Loan (or the next succeeding Business Day if such day is not a Business Day), be converted by the Administrative Agent to, and shall constitute, (x) an RFR Borrowing so long as the Adjusted Daily Simple SOFR is not the subject of a Benchmark Transition Event or (y) an ABR Loan if the Adjusted Daily Simple SOFR is the subject of a Benchmark Transition Event, on such day and (2) any RFR Loan shall on and from such day be converted by the Administrative Agent to, and shall constitute an ABR Loan.</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1.15.</w:t>
      </w:r>
      <w:r>
        <w:rPr>
          <w:rFonts w:ascii="Arial" w:cs="Arial" w:eastAsia="Arial" w:hAnsi="Arial"/>
          <w:sz w:val="19"/>
          <w:szCs w:val="19"/>
          <w:u w:val="single" w:color="auto"/>
          <w:color w:val="000000"/>
        </w:rPr>
        <w:t>Increased Costs</w:t>
      </w:r>
      <w:r>
        <w:rPr>
          <w:rFonts w:ascii="Arial" w:cs="Arial" w:eastAsia="Arial" w:hAnsi="Arial"/>
          <w:sz w:val="19"/>
          <w:szCs w:val="19"/>
          <w:color w:val="000000"/>
        </w:rPr>
        <w:t>.</w:t>
      </w:r>
    </w:p>
    <w:p>
      <w:pPr>
        <w:spacing w:after="0" w:line="179" w:lineRule="exact"/>
        <w:rPr>
          <w:sz w:val="20"/>
          <w:szCs w:val="20"/>
          <w:color w:val="auto"/>
        </w:rPr>
      </w:pPr>
    </w:p>
    <w:p>
      <w:pPr>
        <w:ind w:left="1900" w:hanging="622"/>
        <w:spacing w:after="0"/>
        <w:tabs>
          <w:tab w:leader="none" w:pos="1900"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If any Change in Law shall:</w:t>
      </w:r>
    </w:p>
    <w:p>
      <w:pPr>
        <w:spacing w:after="0" w:line="179" w:lineRule="exact"/>
        <w:rPr>
          <w:sz w:val="20"/>
          <w:szCs w:val="20"/>
          <w:color w:val="auto"/>
        </w:rPr>
      </w:pPr>
    </w:p>
    <w:p>
      <w:pPr>
        <w:jc w:val="both"/>
        <w:ind w:left="640" w:firstLine="638"/>
        <w:spacing w:after="0" w:line="238" w:lineRule="auto"/>
        <w:tabs>
          <w:tab w:leader="none" w:pos="1910"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Term SOFR Rate) or the Issuing Bank;</w:t>
      </w:r>
    </w:p>
    <w:p>
      <w:pPr>
        <w:spacing w:after="0" w:line="152" w:lineRule="exact"/>
        <w:rPr>
          <w:rFonts w:ascii="Arial" w:cs="Arial" w:eastAsia="Arial" w:hAnsi="Arial"/>
          <w:sz w:val="18"/>
          <w:szCs w:val="18"/>
          <w:color w:val="010000"/>
        </w:rPr>
      </w:pPr>
    </w:p>
    <w:p>
      <w:pPr>
        <w:ind w:left="640" w:firstLine="638"/>
        <w:spacing w:after="0" w:line="291" w:lineRule="auto"/>
        <w:tabs>
          <w:tab w:leader="none" w:pos="1911"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impose on any Lender or the Issuing Bank or the applicable offshore interbank market any other condition, cost or expense (other than Taxes) affecting this Agreement or Loans made by such Lender or any Letter of Credit or participation therein;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240"/>
          </w:cols>
          <w:pgMar w:left="320" w:top="1381" w:right="339" w:bottom="1440" w:gutter="0" w:footer="0" w:header="0"/>
        </w:sectPr>
      </w:pPr>
    </w:p>
    <w:bookmarkStart w:id="83" w:name="page84"/>
    <w:bookmarkEnd w:id="83"/>
    <w:p>
      <w:pPr>
        <w:jc w:val="both"/>
        <w:ind w:left="640" w:firstLine="638"/>
        <w:spacing w:after="0" w:line="226" w:lineRule="auto"/>
        <w:tabs>
          <w:tab w:leader="none" w:pos="1912"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51" w:lineRule="exact"/>
        <w:rPr>
          <w:sz w:val="20"/>
          <w:szCs w:val="20"/>
          <w:color w:val="auto"/>
        </w:rPr>
      </w:pPr>
    </w:p>
    <w:p>
      <w:pPr>
        <w:jc w:val="both"/>
        <w:spacing w:after="0" w:line="209" w:lineRule="auto"/>
        <w:rPr>
          <w:sz w:val="20"/>
          <w:szCs w:val="20"/>
          <w:color w:val="auto"/>
        </w:rPr>
      </w:pPr>
      <w:r>
        <w:rPr>
          <w:rFonts w:ascii="Arial" w:cs="Arial" w:eastAsia="Arial" w:hAnsi="Arial"/>
          <w:sz w:val="19"/>
          <w:szCs w:val="19"/>
          <w:color w:val="auto"/>
        </w:rPr>
        <w:t>and the result of any of the foregoing shall be to increase the cost to such Lender or such other Recipient of making, continuing, converting or maintaining any Loan (or of maintaining its obligation to make any such Loan) or to increase the cost to such Lender, the Issuing Bank or such other Recipient of participating in, issuing or maintaining any Letter of Credit (or of maintaining its obligation to participate in or issue any Letter of Credit) or to reduce the amount of any sum received or receivable by such Lender, the Issuing Bank or such other Recipient hereunder (whether of principal, interest or otherwise), then the Borrower will pay to such Lender, the Issuing Bank or such other Recipient, as the case may be, such additional amount or amounts as will compensate such Lender, the Issuing Bank or such other Recipient, as the case may be, for such additional costs incurred or reduction suffered as reasonably determined by the Administrative Agent, such Lender or the Issuing Bank (which determination shall be made in good faith (and not on an arbitrary or capricious basis) and generally consistent with similarly situated customers of the Administrative Agent, such Lender or the Issuing Bank, as applicable, under agreements having provisions similar to this Section 2.15, after consideration of such factors as the Administrative Agent, such Lender or the Issuing Bank, as applicable, then reasonably determines to be relevant).</w:t>
      </w:r>
    </w:p>
    <w:p>
      <w:pPr>
        <w:spacing w:after="0" w:line="160" w:lineRule="exact"/>
        <w:rPr>
          <w:sz w:val="20"/>
          <w:szCs w:val="20"/>
          <w:color w:val="auto"/>
        </w:rPr>
      </w:pPr>
    </w:p>
    <w:p>
      <w:pPr>
        <w:jc w:val="both"/>
        <w:ind w:firstLine="1278"/>
        <w:spacing w:after="0" w:line="220" w:lineRule="auto"/>
        <w:tabs>
          <w:tab w:leader="none" w:pos="1896"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such Lender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 as reasonably determined by the Administrative Agent, such Lender or the Issuing Bank (which determination shall be made in good faith (and not on an arbitrary or capricious basis) and generally consistent with similarly situated customers of the Administrative Agent, such Lender or the Issuing Bank, as applicable, under agreements having provisions similar to this Section 2.15, after consideration of such factors as the Administrative Agent, such Lender or the Issuing Bank, as applicable, then reasonably determines to be relevant).</w:t>
      </w:r>
    </w:p>
    <w:p>
      <w:pPr>
        <w:spacing w:after="0" w:line="156" w:lineRule="exact"/>
        <w:rPr>
          <w:rFonts w:ascii="Arial" w:cs="Arial" w:eastAsia="Arial" w:hAnsi="Arial"/>
          <w:sz w:val="18"/>
          <w:szCs w:val="18"/>
          <w:color w:val="010000"/>
        </w:rPr>
      </w:pPr>
    </w:p>
    <w:p>
      <w:pPr>
        <w:jc w:val="both"/>
        <w:ind w:firstLine="1278"/>
        <w:spacing w:after="0" w:line="248" w:lineRule="auto"/>
        <w:tabs>
          <w:tab w:leader="none" w:pos="1898" w:val="left"/>
        </w:tabs>
        <w:numPr>
          <w:ilvl w:val="0"/>
          <w:numId w:val="84"/>
        </w:numPr>
        <w:rPr>
          <w:rFonts w:ascii="Arial" w:cs="Arial" w:eastAsia="Arial" w:hAnsi="Arial"/>
          <w:sz w:val="17"/>
          <w:szCs w:val="17"/>
          <w:color w:val="010000"/>
        </w:rPr>
      </w:pPr>
      <w:r>
        <w:rPr>
          <w:rFonts w:ascii="Arial" w:cs="Arial" w:eastAsia="Arial" w:hAnsi="Arial"/>
          <w:sz w:val="17"/>
          <w:szCs w:val="17"/>
          <w:color w:val="auto"/>
        </w:rPr>
        <w:t>A certificate of a Lender or the Issuing Bank setting forth, in reasonable detail, the basis and calculation of the amount or amounts necessary to compensate such Lender or the Issuing Bank or its holding company, as the case may be, as specified in paragraph (a) or (b) of this Section shall be delivered to the Borrower and shall be conclusive absent manifest error. The Borrower shall pay such Lender or the Issuing Bank, as the case may be, the amount shown as due on any such certificate within thirty (30) days after receipt thereof.</w:t>
      </w:r>
    </w:p>
    <w:p>
      <w:pPr>
        <w:spacing w:after="0" w:line="146" w:lineRule="exact"/>
        <w:rPr>
          <w:rFonts w:ascii="Arial" w:cs="Arial" w:eastAsia="Arial" w:hAnsi="Arial"/>
          <w:sz w:val="17"/>
          <w:szCs w:val="17"/>
          <w:color w:val="010000"/>
        </w:rPr>
      </w:pPr>
    </w:p>
    <w:p>
      <w:pPr>
        <w:jc w:val="both"/>
        <w:ind w:firstLine="1278"/>
        <w:spacing w:after="0" w:line="213" w:lineRule="auto"/>
        <w:tabs>
          <w:tab w:leader="none" w:pos="1896"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or the Issuing Bank pursuant to this Section for any increased costs or reductions incurred more than 180 days prior to the date that such Lender or the Issuing Bank, as the case may be, notifies the Borrower of the Change in Law giving rise to such increased costs or reductions and of such Lender’s or the Issuing Bank’s intention to claim compensation therefor;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1.16.</w:t>
      </w:r>
      <w:r>
        <w:rPr>
          <w:rFonts w:ascii="Arial" w:cs="Arial" w:eastAsia="Arial" w:hAnsi="Arial"/>
          <w:sz w:val="19"/>
          <w:szCs w:val="19"/>
          <w:u w:val="single" w:color="auto"/>
          <w:color w:val="000000"/>
        </w:rPr>
        <w:t>Break Funding Payments</w:t>
      </w:r>
      <w:r>
        <w:rPr>
          <w:rFonts w:ascii="Arial" w:cs="Arial" w:eastAsia="Arial" w:hAnsi="Arial"/>
          <w:sz w:val="19"/>
          <w:szCs w:val="19"/>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240"/>
          </w:cols>
          <w:pgMar w:left="320" w:top="1381" w:right="339" w:bottom="1440" w:gutter="0" w:footer="0" w:header="0"/>
        </w:sectPr>
      </w:pPr>
    </w:p>
    <w:bookmarkStart w:id="84" w:name="page85"/>
    <w:bookmarkEnd w:id="84"/>
    <w:p>
      <w:pPr>
        <w:jc w:val="both"/>
        <w:ind w:firstLine="1278"/>
        <w:spacing w:after="0" w:line="221" w:lineRule="auto"/>
        <w:tabs>
          <w:tab w:leader="none" w:pos="1898"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With respect to Loans that are not RFR Loans,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2.11(b) and is revoked in accordance therewith) or (iv) the assignment of any Term Benchmark Loan other than on the last day of the Interest Period applicable thereto as a result of a request by the Borrower pursuant to Section 2.19, then, in any such event, the Borrower shall compensate each Lender for the loss, cost and expense attributable to such event (other than loss of anticipated profits). A certificate of any Lender setting forth any amount or amounts that such Lender is entitled to receive pursuant to this Section, and setting forth in reasonable detail the calculations used by such Lender to determine such amount or amounts, shall be delivered to the Borrower and shall be conclusive absent manifest error. The Borrower shall pay such Lender the amount shown as due on any such certificate within thirty (30) days after receipt thereof.</w:t>
      </w:r>
    </w:p>
    <w:p>
      <w:pPr>
        <w:spacing w:after="0" w:line="155" w:lineRule="exact"/>
        <w:rPr>
          <w:rFonts w:ascii="Arial" w:cs="Arial" w:eastAsia="Arial" w:hAnsi="Arial"/>
          <w:sz w:val="18"/>
          <w:szCs w:val="18"/>
          <w:color w:val="010000"/>
        </w:rPr>
      </w:pPr>
    </w:p>
    <w:p>
      <w:pPr>
        <w:jc w:val="both"/>
        <w:ind w:firstLine="1278"/>
        <w:spacing w:after="0" w:line="210" w:lineRule="auto"/>
        <w:tabs>
          <w:tab w:leader="none" w:pos="1896"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2.11(b) and is revoked in accordance therewith) or (iii) the assignment of any RFR Loan other than on the Interest Payment Date applicable thereto as a result of a request by the Borrower pursuant to Section 2.19, then, in any such event, the Borrower shall compensate each Lender for the loss, cost and expense attributable to such event (other than loss of anticipated profits). A certificate of any Lender setting forth any amount or amounts that such Lender is entitled to receive pursuant to this Section, and setting forth in reasonable detail the calculations used by such Lender to determine such amount or amounts, shall be delivered to the Borrower and shall be conclusive absent manifest error. The Borrower shall pay such Lender the amount shown as due on any such certificate within thirty (30) days after receipt thereof.</w:t>
      </w:r>
    </w:p>
    <w:p>
      <w:pPr>
        <w:spacing w:after="0" w:line="155"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1.17.</w:t>
      </w:r>
      <w:r>
        <w:rPr>
          <w:rFonts w:ascii="Arial" w:cs="Arial" w:eastAsia="Arial" w:hAnsi="Arial"/>
          <w:sz w:val="19"/>
          <w:szCs w:val="19"/>
          <w:u w:val="single" w:color="auto"/>
          <w:color w:val="000000"/>
        </w:rPr>
        <w:t>Taxes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24" w:lineRule="auto"/>
        <w:tabs>
          <w:tab w:leader="none" w:pos="1898" w:val="left"/>
        </w:tabs>
        <w:numPr>
          <w:ilvl w:val="0"/>
          <w:numId w:val="86"/>
        </w:numPr>
        <w:rPr>
          <w:rFonts w:ascii="Arial" w:cs="Arial" w:eastAsia="Arial" w:hAnsi="Arial"/>
          <w:sz w:val="18"/>
          <w:szCs w:val="18"/>
          <w:color w:val="010000"/>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50" w:lineRule="exact"/>
        <w:rPr>
          <w:rFonts w:ascii="Arial" w:cs="Arial" w:eastAsia="Arial" w:hAnsi="Arial"/>
          <w:sz w:val="18"/>
          <w:szCs w:val="18"/>
          <w:color w:val="010000"/>
        </w:rPr>
      </w:pPr>
    </w:p>
    <w:p>
      <w:pPr>
        <w:ind w:firstLine="1278"/>
        <w:spacing w:after="0" w:line="237" w:lineRule="auto"/>
        <w:tabs>
          <w:tab w:leader="none" w:pos="1896" w:val="left"/>
        </w:tabs>
        <w:numPr>
          <w:ilvl w:val="0"/>
          <w:numId w:val="86"/>
        </w:numPr>
        <w:rPr>
          <w:rFonts w:ascii="Arial" w:cs="Arial" w:eastAsia="Arial" w:hAnsi="Arial"/>
          <w:sz w:val="19"/>
          <w:szCs w:val="19"/>
          <w:color w:val="010000"/>
        </w:rPr>
      </w:pPr>
      <w:r>
        <w:rPr>
          <w:rFonts w:ascii="Arial" w:cs="Arial" w:eastAsia="Arial" w:hAnsi="Arial"/>
          <w:sz w:val="19"/>
          <w:szCs w:val="19"/>
          <w:u w:val="single" w:color="auto"/>
          <w:color w:val="auto"/>
        </w:rPr>
        <w:t>Payment of Other Taxes by the Borrower</w:t>
      </w:r>
      <w:r>
        <w:rPr>
          <w:rFonts w:ascii="Arial" w:cs="Arial" w:eastAsia="Arial" w:hAnsi="Arial"/>
          <w:sz w:val="19"/>
          <w:szCs w:val="19"/>
          <w:color w:val="auto"/>
        </w:rPr>
        <w:t>. The Borrower shall timely pay to the relevant Governmental Authority in accordance with applicable law, or at the option of the Administrative Agent timely reimburse it for, Other Taxes.</w:t>
      </w:r>
    </w:p>
    <w:p>
      <w:pPr>
        <w:spacing w:after="0" w:line="151" w:lineRule="exact"/>
        <w:rPr>
          <w:rFonts w:ascii="Arial" w:cs="Arial" w:eastAsia="Arial" w:hAnsi="Arial"/>
          <w:sz w:val="19"/>
          <w:szCs w:val="19"/>
          <w:color w:val="010000"/>
        </w:rPr>
      </w:pPr>
    </w:p>
    <w:p>
      <w:pPr>
        <w:jc w:val="both"/>
        <w:ind w:firstLine="1278"/>
        <w:spacing w:after="0" w:line="220" w:lineRule="auto"/>
        <w:tabs>
          <w:tab w:leader="none" w:pos="1898" w:val="left"/>
        </w:tabs>
        <w:numPr>
          <w:ilvl w:val="0"/>
          <w:numId w:val="86"/>
        </w:numPr>
        <w:rPr>
          <w:rFonts w:ascii="Arial" w:cs="Arial" w:eastAsia="Arial" w:hAnsi="Arial"/>
          <w:sz w:val="19"/>
          <w:szCs w:val="19"/>
          <w:color w:val="010000"/>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2" w:lineRule="exact"/>
        <w:rPr>
          <w:rFonts w:ascii="Arial" w:cs="Arial" w:eastAsia="Arial" w:hAnsi="Arial"/>
          <w:sz w:val="19"/>
          <w:szCs w:val="19"/>
          <w:color w:val="010000"/>
        </w:rPr>
      </w:pPr>
    </w:p>
    <w:p>
      <w:pPr>
        <w:jc w:val="both"/>
        <w:ind w:firstLine="1278"/>
        <w:spacing w:after="0" w:line="238" w:lineRule="auto"/>
        <w:tabs>
          <w:tab w:leader="none" w:pos="1896" w:val="left"/>
        </w:tabs>
        <w:numPr>
          <w:ilvl w:val="0"/>
          <w:numId w:val="86"/>
        </w:numPr>
        <w:rPr>
          <w:rFonts w:ascii="Arial" w:cs="Arial" w:eastAsia="Arial" w:hAnsi="Arial"/>
          <w:sz w:val="18"/>
          <w:szCs w:val="18"/>
          <w:color w:val="010000"/>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ectPr>
          <w:pgSz w:w="11900" w:h="16838" w:orient="portrait"/>
          <w:cols w:equalWidth="0" w:num="1">
            <w:col w:w="11240"/>
          </w:cols>
          <w:pgMar w:left="320" w:top="1381" w:right="339" w:bottom="1440" w:gutter="0" w:footer="0" w:header="0"/>
        </w:sectPr>
      </w:pPr>
    </w:p>
    <w:bookmarkStart w:id="85" w:name="page86"/>
    <w:bookmarkEnd w:id="85"/>
    <w:p>
      <w:pPr>
        <w:jc w:val="both"/>
        <w:spacing w:after="0" w:line="220" w:lineRule="auto"/>
        <w:rPr>
          <w:sz w:val="20"/>
          <w:szCs w:val="20"/>
          <w:color w:val="auto"/>
        </w:rPr>
      </w:pPr>
      <w:r>
        <w:rPr>
          <w:rFonts w:ascii="Arial" w:cs="Arial" w:eastAsia="Arial" w:hAnsi="Arial"/>
          <w:sz w:val="19"/>
          <w:szCs w:val="19"/>
          <w:color w:val="auto"/>
        </w:rPr>
        <w:t>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53" w:lineRule="exact"/>
        <w:rPr>
          <w:sz w:val="20"/>
          <w:szCs w:val="20"/>
          <w:color w:val="auto"/>
        </w:rPr>
      </w:pPr>
    </w:p>
    <w:p>
      <w:pPr>
        <w:jc w:val="both"/>
        <w:ind w:firstLine="1278"/>
        <w:spacing w:after="0" w:line="235" w:lineRule="auto"/>
        <w:tabs>
          <w:tab w:leader="none" w:pos="1898" w:val="left"/>
        </w:tabs>
        <w:numPr>
          <w:ilvl w:val="0"/>
          <w:numId w:val="87"/>
        </w:numPr>
        <w:rPr>
          <w:rFonts w:ascii="Arial" w:cs="Arial" w:eastAsia="Arial" w:hAnsi="Arial"/>
          <w:sz w:val="17"/>
          <w:szCs w:val="17"/>
          <w:color w:val="010000"/>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52" w:lineRule="exact"/>
        <w:rPr>
          <w:rFonts w:ascii="Arial" w:cs="Arial" w:eastAsia="Arial" w:hAnsi="Arial"/>
          <w:sz w:val="17"/>
          <w:szCs w:val="17"/>
          <w:color w:val="010000"/>
        </w:rPr>
      </w:pPr>
    </w:p>
    <w:p>
      <w:pPr>
        <w:ind w:left="1900" w:hanging="622"/>
        <w:spacing w:after="0"/>
        <w:tabs>
          <w:tab w:leader="none" w:pos="1900" w:val="left"/>
        </w:tabs>
        <w:numPr>
          <w:ilvl w:val="0"/>
          <w:numId w:val="87"/>
        </w:numPr>
        <w:rPr>
          <w:rFonts w:ascii="Arial" w:cs="Arial" w:eastAsia="Arial" w:hAnsi="Arial"/>
          <w:sz w:val="19"/>
          <w:szCs w:val="19"/>
          <w:color w:val="010000"/>
        </w:rPr>
      </w:pPr>
      <w:r>
        <w:rPr>
          <w:rFonts w:ascii="Arial" w:cs="Arial" w:eastAsia="Arial" w:hAnsi="Arial"/>
          <w:sz w:val="19"/>
          <w:szCs w:val="19"/>
          <w:u w:val="single" w:color="auto"/>
          <w:color w:val="auto"/>
        </w:rPr>
        <w:t>Status of Lenders</w:t>
      </w:r>
      <w:r>
        <w:rPr>
          <w:rFonts w:ascii="Arial" w:cs="Arial" w:eastAsia="Arial" w:hAnsi="Arial"/>
          <w:sz w:val="19"/>
          <w:szCs w:val="19"/>
          <w:color w:val="auto"/>
        </w:rPr>
        <w:t>.</w:t>
      </w:r>
    </w:p>
    <w:p>
      <w:pPr>
        <w:spacing w:after="0" w:line="179" w:lineRule="exact"/>
        <w:rPr>
          <w:sz w:val="20"/>
          <w:szCs w:val="20"/>
          <w:color w:val="auto"/>
        </w:rPr>
      </w:pPr>
    </w:p>
    <w:p>
      <w:pPr>
        <w:jc w:val="both"/>
        <w:ind w:left="640" w:firstLine="638"/>
        <w:spacing w:after="0" w:line="221" w:lineRule="auto"/>
        <w:tabs>
          <w:tab w:leader="none" w:pos="1910" w:val="left"/>
        </w:tabs>
        <w:numPr>
          <w:ilvl w:val="0"/>
          <w:numId w:val="88"/>
        </w:numPr>
        <w:rPr>
          <w:rFonts w:ascii="Arial" w:cs="Arial" w:eastAsia="Arial" w:hAnsi="Arial"/>
          <w:sz w:val="18"/>
          <w:szCs w:val="18"/>
          <w:color w:val="010000"/>
        </w:rPr>
      </w:pPr>
      <w:r>
        <w:rPr>
          <w:rFonts w:ascii="Arial" w:cs="Arial" w:eastAsia="Arial" w:hAnsi="Arial"/>
          <w:sz w:val="18"/>
          <w:szCs w:val="18"/>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5" w:lineRule="exact"/>
        <w:rPr>
          <w:rFonts w:ascii="Arial" w:cs="Arial" w:eastAsia="Arial" w:hAnsi="Arial"/>
          <w:sz w:val="18"/>
          <w:szCs w:val="18"/>
          <w:color w:val="010000"/>
        </w:rPr>
      </w:pPr>
    </w:p>
    <w:p>
      <w:pPr>
        <w:ind w:left="1920" w:hanging="642"/>
        <w:spacing w:after="0"/>
        <w:tabs>
          <w:tab w:leader="none" w:pos="1920" w:val="left"/>
        </w:tabs>
        <w:numPr>
          <w:ilvl w:val="0"/>
          <w:numId w:val="88"/>
        </w:numPr>
        <w:rPr>
          <w:rFonts w:ascii="Arial" w:cs="Arial" w:eastAsia="Arial" w:hAnsi="Arial"/>
          <w:sz w:val="19"/>
          <w:szCs w:val="19"/>
          <w:color w:val="010000"/>
        </w:rPr>
      </w:pPr>
      <w:r>
        <w:rPr>
          <w:rFonts w:ascii="Arial" w:cs="Arial" w:eastAsia="Arial" w:hAnsi="Arial"/>
          <w:sz w:val="19"/>
          <w:szCs w:val="19"/>
          <w:color w:val="auto"/>
        </w:rPr>
        <w:t>Without limiting the generality of the foregoing:</w:t>
      </w:r>
    </w:p>
    <w:p>
      <w:pPr>
        <w:spacing w:after="0" w:line="179" w:lineRule="exact"/>
        <w:rPr>
          <w:rFonts w:ascii="Arial" w:cs="Arial" w:eastAsia="Arial" w:hAnsi="Arial"/>
          <w:sz w:val="19"/>
          <w:szCs w:val="19"/>
          <w:color w:val="010000"/>
        </w:rPr>
      </w:pPr>
    </w:p>
    <w:p>
      <w:pPr>
        <w:jc w:val="both"/>
        <w:ind w:left="1280" w:firstLine="634"/>
        <w:spacing w:after="0" w:line="220" w:lineRule="auto"/>
        <w:tabs>
          <w:tab w:leader="none" w:pos="2543"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52" w:lineRule="exact"/>
        <w:rPr>
          <w:rFonts w:ascii="Arial" w:cs="Arial" w:eastAsia="Arial" w:hAnsi="Arial"/>
          <w:sz w:val="19"/>
          <w:szCs w:val="19"/>
          <w:color w:val="010000"/>
        </w:rPr>
      </w:pPr>
    </w:p>
    <w:p>
      <w:pPr>
        <w:jc w:val="both"/>
        <w:ind w:left="1280" w:firstLine="634"/>
        <w:spacing w:after="0" w:line="220" w:lineRule="auto"/>
        <w:tabs>
          <w:tab w:leader="none" w:pos="2546"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9" w:lineRule="exact"/>
        <w:rPr>
          <w:sz w:val="20"/>
          <w:szCs w:val="20"/>
          <w:color w:val="auto"/>
        </w:rPr>
      </w:pPr>
    </w:p>
    <w:p>
      <w:pPr>
        <w:ind w:left="2180" w:hanging="266"/>
        <w:spacing w:after="0"/>
        <w:tabs>
          <w:tab w:leader="none" w:pos="2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w:t>
      </w:r>
    </w:p>
    <w:p>
      <w:pPr>
        <w:spacing w:after="0" w:line="40"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9"/>
          <w:szCs w:val="19"/>
          <w:color w:val="auto"/>
        </w:rPr>
        <w:t>(x) with respect to payments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240"/>
          </w:cols>
          <w:pgMar w:left="320" w:top="1381" w:right="339" w:bottom="1440" w:gutter="0" w:footer="0" w:header="0"/>
        </w:sectPr>
      </w:pPr>
    </w:p>
    <w:bookmarkStart w:id="86" w:name="page87"/>
    <w:bookmarkEnd w:id="86"/>
    <w:p>
      <w:pPr>
        <w:jc w:val="both"/>
        <w:ind w:left="800"/>
        <w:spacing w:after="0" w:line="269" w:lineRule="auto"/>
        <w:rPr>
          <w:sz w:val="20"/>
          <w:szCs w:val="20"/>
          <w:color w:val="auto"/>
        </w:rPr>
      </w:pPr>
      <w:r>
        <w:rPr>
          <w:rFonts w:ascii="Arial" w:cs="Arial" w:eastAsia="Arial" w:hAnsi="Arial"/>
          <w:sz w:val="19"/>
          <w:szCs w:val="19"/>
          <w:color w:val="auto"/>
        </w:rPr>
        <w:t>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207" w:lineRule="exact"/>
        <w:rPr>
          <w:sz w:val="20"/>
          <w:szCs w:val="20"/>
          <w:color w:val="auto"/>
        </w:rPr>
      </w:pPr>
    </w:p>
    <w:p>
      <w:pPr>
        <w:ind w:left="800" w:hanging="6"/>
        <w:spacing w:after="0" w:line="293" w:lineRule="auto"/>
        <w:tabs>
          <w:tab w:leader="none" w:pos="1075" w:val="left"/>
        </w:tabs>
        <w:numPr>
          <w:ilvl w:val="0"/>
          <w:numId w:val="90"/>
        </w:numPr>
        <w:rPr>
          <w:rFonts w:ascii="Arial" w:cs="Arial" w:eastAsia="Arial" w:hAnsi="Arial"/>
          <w:sz w:val="19"/>
          <w:szCs w:val="19"/>
          <w:color w:val="auto"/>
        </w:rPr>
      </w:pPr>
      <w:r>
        <w:rPr>
          <w:rFonts w:ascii="Arial" w:cs="Arial" w:eastAsia="Arial" w:hAnsi="Arial"/>
          <w:sz w:val="19"/>
          <w:szCs w:val="19"/>
          <w:color w:val="auto"/>
        </w:rPr>
        <w:t>in the case of a Foreign Lender claiming that its extension of credit will generate U.S. effectively connected income, an executed copy of IRS Form W-8ECI;</w:t>
      </w:r>
    </w:p>
    <w:p>
      <w:pPr>
        <w:spacing w:after="0" w:line="182" w:lineRule="exact"/>
        <w:rPr>
          <w:rFonts w:ascii="Arial" w:cs="Arial" w:eastAsia="Arial" w:hAnsi="Arial"/>
          <w:sz w:val="19"/>
          <w:szCs w:val="19"/>
          <w:color w:val="auto"/>
        </w:rPr>
      </w:pPr>
    </w:p>
    <w:p>
      <w:pPr>
        <w:jc w:val="both"/>
        <w:ind w:left="800" w:hanging="6"/>
        <w:spacing w:after="0" w:line="268" w:lineRule="auto"/>
        <w:tabs>
          <w:tab w:leader="none" w:pos="1079"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F-1</w:t>
      </w:r>
      <w:r>
        <w:rPr>
          <w:rFonts w:ascii="Arial" w:cs="Arial" w:eastAsia="Arial" w:hAnsi="Arial"/>
          <w:sz w:val="19"/>
          <w:szCs w:val="19"/>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 (y) an executed copy of IRS Form W-8BEN or IRS Form W-8BEN-E; or</w:t>
      </w:r>
    </w:p>
    <w:p>
      <w:pPr>
        <w:spacing w:after="0" w:line="179" w:lineRule="exact"/>
        <w:rPr>
          <w:rFonts w:ascii="Arial" w:cs="Arial" w:eastAsia="Arial" w:hAnsi="Arial"/>
          <w:sz w:val="19"/>
          <w:szCs w:val="19"/>
          <w:color w:val="auto"/>
        </w:rPr>
      </w:pPr>
    </w:p>
    <w:p>
      <w:pPr>
        <w:jc w:val="both"/>
        <w:ind w:left="800" w:hanging="6"/>
        <w:spacing w:after="0" w:line="226" w:lineRule="auto"/>
        <w:tabs>
          <w:tab w:leader="none" w:pos="1076"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an executed copy of IRS Form W-8IMY, accompanied by IRS Form W-8ECI, IRS Form W-8BEN or IRS Form W-8BEN-E, a U.S. Tax Compliance Certificate substantially in the form of </w:t>
      </w:r>
      <w:r>
        <w:rPr>
          <w:rFonts w:ascii="Arial" w:cs="Arial" w:eastAsia="Arial" w:hAnsi="Arial"/>
          <w:sz w:val="18"/>
          <w:szCs w:val="18"/>
          <w:u w:val="single" w:color="auto"/>
          <w:color w:val="auto"/>
        </w:rPr>
        <w:t>Exhibit F-2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F-3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F-4</w:t>
      </w:r>
      <w:r>
        <w:rPr>
          <w:rFonts w:ascii="Arial" w:cs="Arial" w:eastAsia="Arial" w:hAnsi="Arial"/>
          <w:sz w:val="18"/>
          <w:szCs w:val="18"/>
          <w:color w:val="auto"/>
        </w:rPr>
        <w:t xml:space="preserve"> on behalf of each such direct and indirect partner;</w:t>
      </w:r>
    </w:p>
    <w:p>
      <w:pPr>
        <w:spacing w:after="0" w:line="156" w:lineRule="exact"/>
        <w:rPr>
          <w:sz w:val="20"/>
          <w:szCs w:val="20"/>
          <w:color w:val="auto"/>
        </w:rPr>
      </w:pPr>
    </w:p>
    <w:p>
      <w:pPr>
        <w:jc w:val="both"/>
        <w:ind w:left="160" w:firstLine="634"/>
        <w:spacing w:after="0" w:line="213" w:lineRule="auto"/>
        <w:tabs>
          <w:tab w:leader="none" w:pos="1426" w:val="left"/>
        </w:tabs>
        <w:numPr>
          <w:ilvl w:val="1"/>
          <w:numId w:val="91"/>
        </w:numPr>
        <w:rPr>
          <w:rFonts w:ascii="Arial" w:cs="Arial" w:eastAsia="Arial" w:hAnsi="Arial"/>
          <w:sz w:val="19"/>
          <w:szCs w:val="19"/>
          <w:color w:val="010000"/>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53" w:lineRule="exact"/>
        <w:rPr>
          <w:rFonts w:ascii="Arial" w:cs="Arial" w:eastAsia="Arial" w:hAnsi="Arial"/>
          <w:sz w:val="19"/>
          <w:szCs w:val="19"/>
          <w:color w:val="010000"/>
        </w:rPr>
      </w:pPr>
    </w:p>
    <w:p>
      <w:pPr>
        <w:jc w:val="both"/>
        <w:ind w:left="160" w:firstLine="634"/>
        <w:spacing w:after="0" w:line="231" w:lineRule="auto"/>
        <w:tabs>
          <w:tab w:leader="none" w:pos="1423" w:val="left"/>
        </w:tabs>
        <w:numPr>
          <w:ilvl w:val="1"/>
          <w:numId w:val="91"/>
        </w:numPr>
        <w:rPr>
          <w:rFonts w:ascii="Arial" w:cs="Arial" w:eastAsia="Arial" w:hAnsi="Arial"/>
          <w:sz w:val="17"/>
          <w:szCs w:val="17"/>
          <w:color w:val="010000"/>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2" w:lineRule="exact"/>
        <w:rPr>
          <w:rFonts w:ascii="Arial" w:cs="Arial" w:eastAsia="Arial" w:hAnsi="Arial"/>
          <w:sz w:val="17"/>
          <w:szCs w:val="17"/>
          <w:color w:val="010000"/>
        </w:rPr>
      </w:pPr>
    </w:p>
    <w:p>
      <w:pPr>
        <w:jc w:val="both"/>
        <w:ind w:left="160" w:hanging="2"/>
        <w:spacing w:after="0" w:line="220" w:lineRule="auto"/>
        <w:tabs>
          <w:tab w:leader="none" w:pos="401" w:val="left"/>
        </w:tabs>
        <w:numPr>
          <w:ilvl w:val="0"/>
          <w:numId w:val="92"/>
        </w:numPr>
        <w:rPr>
          <w:rFonts w:ascii="Arial" w:cs="Arial" w:eastAsia="Arial" w:hAnsi="Arial"/>
          <w:sz w:val="19"/>
          <w:szCs w:val="19"/>
          <w:color w:val="auto"/>
        </w:rPr>
      </w:pPr>
      <w:r>
        <w:rPr>
          <w:rFonts w:ascii="Arial" w:cs="Arial" w:eastAsia="Arial" w:hAnsi="Arial"/>
          <w:sz w:val="19"/>
          <w:szCs w:val="19"/>
          <w:color w:val="auto"/>
        </w:rPr>
        <w:t>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0120"/>
          </w:cols>
          <w:pgMar w:left="1440" w:top="1408" w:right="339" w:bottom="1440" w:gutter="0" w:footer="0" w:header="0"/>
        </w:sectPr>
      </w:pPr>
    </w:p>
    <w:bookmarkStart w:id="87" w:name="page88"/>
    <w:bookmarkEnd w:id="87"/>
    <w:p>
      <w:pPr>
        <w:ind w:left="1280"/>
        <w:spacing w:after="0" w:line="237" w:lineRule="auto"/>
        <w:rPr>
          <w:sz w:val="20"/>
          <w:szCs w:val="20"/>
          <w:color w:val="auto"/>
        </w:rPr>
      </w:pPr>
      <w:r>
        <w:rPr>
          <w:rFonts w:ascii="Arial" w:cs="Arial" w:eastAsia="Arial" w:hAnsi="Arial"/>
          <w:sz w:val="19"/>
          <w:szCs w:val="19"/>
          <w:color w:val="auto"/>
        </w:rPr>
        <w:t>FATCA or to determine the amount to deduct and withhold from such payment. Solely for purposes of this clause (D), “FATCA” shall include any amendments made to FATCA after the date of this Agreement.</w:t>
      </w:r>
    </w:p>
    <w:p>
      <w:pPr>
        <w:spacing w:after="0" w:line="151" w:lineRule="exact"/>
        <w:rPr>
          <w:sz w:val="20"/>
          <w:szCs w:val="20"/>
          <w:color w:val="auto"/>
        </w:rPr>
      </w:pPr>
    </w:p>
    <w:p>
      <w:pPr>
        <w:ind w:firstLine="636"/>
        <w:spacing w:after="0" w:line="261"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33" w:lineRule="exact"/>
        <w:rPr>
          <w:sz w:val="20"/>
          <w:szCs w:val="20"/>
          <w:color w:val="auto"/>
        </w:rPr>
      </w:pPr>
    </w:p>
    <w:p>
      <w:pPr>
        <w:jc w:val="both"/>
        <w:ind w:firstLine="1278"/>
        <w:spacing w:after="0" w:line="220" w:lineRule="auto"/>
        <w:tabs>
          <w:tab w:leader="none" w:pos="1896" w:val="left"/>
        </w:tabs>
        <w:numPr>
          <w:ilvl w:val="0"/>
          <w:numId w:val="93"/>
        </w:numPr>
        <w:rPr>
          <w:rFonts w:ascii="Arial" w:cs="Arial" w:eastAsia="Arial" w:hAnsi="Arial"/>
          <w:sz w:val="18"/>
          <w:szCs w:val="18"/>
          <w:color w:val="010000"/>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2" w:lineRule="exact"/>
        <w:rPr>
          <w:rFonts w:ascii="Arial" w:cs="Arial" w:eastAsia="Arial" w:hAnsi="Arial"/>
          <w:sz w:val="18"/>
          <w:szCs w:val="18"/>
          <w:color w:val="010000"/>
        </w:rPr>
      </w:pPr>
    </w:p>
    <w:p>
      <w:pPr>
        <w:jc w:val="both"/>
        <w:ind w:firstLine="1278"/>
        <w:spacing w:after="0" w:line="226" w:lineRule="auto"/>
        <w:tabs>
          <w:tab w:leader="none" w:pos="1896" w:val="left"/>
        </w:tabs>
        <w:numPr>
          <w:ilvl w:val="0"/>
          <w:numId w:val="93"/>
        </w:numPr>
        <w:rPr>
          <w:rFonts w:ascii="Arial" w:cs="Arial" w:eastAsia="Arial" w:hAnsi="Arial"/>
          <w:sz w:val="19"/>
          <w:szCs w:val="19"/>
          <w:color w:val="010000"/>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51" w:lineRule="exact"/>
        <w:rPr>
          <w:rFonts w:ascii="Arial" w:cs="Arial" w:eastAsia="Arial" w:hAnsi="Arial"/>
          <w:sz w:val="19"/>
          <w:szCs w:val="19"/>
          <w:color w:val="010000"/>
        </w:rPr>
      </w:pPr>
    </w:p>
    <w:p>
      <w:pPr>
        <w:ind w:firstLine="1278"/>
        <w:spacing w:after="0" w:line="237" w:lineRule="auto"/>
        <w:tabs>
          <w:tab w:leader="none" w:pos="1906" w:val="left"/>
        </w:tabs>
        <w:numPr>
          <w:ilvl w:val="0"/>
          <w:numId w:val="93"/>
        </w:numPr>
        <w:rPr>
          <w:rFonts w:ascii="Arial" w:cs="Arial" w:eastAsia="Arial" w:hAnsi="Arial"/>
          <w:sz w:val="19"/>
          <w:szCs w:val="19"/>
          <w:color w:val="010000"/>
        </w:rPr>
      </w:pPr>
      <w:r>
        <w:rPr>
          <w:rFonts w:ascii="Arial" w:cs="Arial" w:eastAsia="Arial" w:hAnsi="Arial"/>
          <w:sz w:val="19"/>
          <w:szCs w:val="19"/>
          <w:u w:val="single" w:color="auto"/>
          <w:color w:val="auto"/>
        </w:rPr>
        <w:t>Defined Terms</w:t>
      </w:r>
      <w:r>
        <w:rPr>
          <w:rFonts w:ascii="Arial" w:cs="Arial" w:eastAsia="Arial" w:hAnsi="Arial"/>
          <w:sz w:val="19"/>
          <w:szCs w:val="19"/>
          <w:color w:val="auto"/>
        </w:rPr>
        <w:t>. For purposes of this Section 2.17, the term “Lender” includes the Issuing Bank and the term “applicable law” includes FATCA.</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1.18.</w:t>
      </w:r>
      <w:r>
        <w:rPr>
          <w:rFonts w:ascii="Arial" w:cs="Arial" w:eastAsia="Arial" w:hAnsi="Arial"/>
          <w:sz w:val="19"/>
          <w:szCs w:val="19"/>
          <w:u w:val="single" w:color="auto"/>
          <w:color w:val="000000"/>
        </w:rPr>
        <w:t>Payments Generally; Allocations of Proceeds; Pro Rata Treatment; Sharing of Setoffs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34" w:lineRule="auto"/>
        <w:tabs>
          <w:tab w:leader="none" w:pos="1898" w:val="left"/>
        </w:tabs>
        <w:numPr>
          <w:ilvl w:val="0"/>
          <w:numId w:val="94"/>
        </w:numPr>
        <w:rPr>
          <w:rFonts w:ascii="Arial" w:cs="Arial" w:eastAsia="Arial" w:hAnsi="Arial"/>
          <w:sz w:val="17"/>
          <w:szCs w:val="17"/>
          <w:color w:val="010000"/>
        </w:rPr>
      </w:pPr>
      <w:r>
        <w:rPr>
          <w:rFonts w:ascii="Arial" w:cs="Arial" w:eastAsia="Arial" w:hAnsi="Arial"/>
          <w:sz w:val="17"/>
          <w:szCs w:val="17"/>
          <w:color w:val="auto"/>
        </w:rPr>
        <w:t>The Borrower shall make each payment or prepayment required to be made by it hereunder (whether of principal, interest, fees or reimbursement of LC Disbursements, or of amounts payable under Section 2.15, 2.16 or 2.17, or otherwise) in Dollars prior to 12:00 noon,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Chicago, Illinois 60603, except payments to be made directly to the Issuing Bank or the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56" w:lineRule="exact"/>
        <w:rPr>
          <w:rFonts w:ascii="Arial" w:cs="Arial" w:eastAsia="Arial" w:hAnsi="Arial"/>
          <w:sz w:val="17"/>
          <w:szCs w:val="17"/>
          <w:color w:val="010000"/>
        </w:rPr>
      </w:pPr>
    </w:p>
    <w:p>
      <w:pPr>
        <w:jc w:val="both"/>
        <w:ind w:firstLine="1278"/>
        <w:spacing w:after="0" w:line="226" w:lineRule="auto"/>
        <w:tabs>
          <w:tab w:leader="none" w:pos="1896"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At any time that payments are not required to be applied in the manner required by Section 7.03, if at any time insufficient funds are received by and available to the Administrative Agent to pay fully all amounts of principal, unreimbursed LC Disbursements, interest and fees then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1240"/>
          </w:cols>
          <w:pgMar w:left="320" w:top="1381" w:right="339" w:bottom="1440" w:gutter="0" w:footer="0" w:header="0"/>
        </w:sectPr>
      </w:pPr>
    </w:p>
    <w:bookmarkStart w:id="88" w:name="page89"/>
    <w:bookmarkEnd w:id="88"/>
    <w:p>
      <w:pPr>
        <w:jc w:val="both"/>
        <w:spacing w:after="0" w:line="220" w:lineRule="auto"/>
        <w:rPr>
          <w:sz w:val="20"/>
          <w:szCs w:val="20"/>
          <w:color w:val="auto"/>
        </w:rPr>
      </w:pPr>
      <w:r>
        <w:rPr>
          <w:rFonts w:ascii="Arial" w:cs="Arial" w:eastAsia="Arial" w:hAnsi="Arial"/>
          <w:sz w:val="19"/>
          <w:szCs w:val="19"/>
          <w:color w:val="auto"/>
        </w:rPr>
        <w:t xml:space="preserve">hereunder, such funds shall be applied (i)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19"/>
          <w:szCs w:val="19"/>
          <w:u w:val="single" w:color="auto"/>
          <w:color w:val="auto"/>
        </w:rPr>
        <w:t>second</w:t>
      </w:r>
      <w:r>
        <w:rPr>
          <w:rFonts w:ascii="Arial" w:cs="Arial" w:eastAsia="Arial" w:hAnsi="Arial"/>
          <w:sz w:val="19"/>
          <w:szCs w:val="19"/>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53" w:lineRule="exact"/>
        <w:rPr>
          <w:sz w:val="20"/>
          <w:szCs w:val="20"/>
          <w:color w:val="auto"/>
        </w:rPr>
      </w:pPr>
    </w:p>
    <w:p>
      <w:pPr>
        <w:jc w:val="both"/>
        <w:ind w:firstLine="1278"/>
        <w:spacing w:after="0" w:line="222" w:lineRule="auto"/>
        <w:tabs>
          <w:tab w:leader="none" w:pos="1898"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the Borrower pursuant to Section 2.03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 2.03 or 2.05, as applicable and (ii) the Administrative Agent to charge any deposit account of the Borrower maintained with the Administrative Agent for each payment of principal, interest and fees as it becomes due hereunder or any other amount due under the Loan Documents.</w:t>
      </w:r>
    </w:p>
    <w:p>
      <w:pPr>
        <w:spacing w:after="0" w:line="152" w:lineRule="exact"/>
        <w:rPr>
          <w:rFonts w:ascii="Arial" w:cs="Arial" w:eastAsia="Arial" w:hAnsi="Arial"/>
          <w:sz w:val="18"/>
          <w:szCs w:val="18"/>
          <w:color w:val="010000"/>
        </w:rPr>
      </w:pPr>
    </w:p>
    <w:p>
      <w:pPr>
        <w:jc w:val="both"/>
        <w:ind w:firstLine="1278"/>
        <w:spacing w:after="0" w:line="219" w:lineRule="auto"/>
        <w:tabs>
          <w:tab w:leader="none" w:pos="1896"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 xml:space="preserve">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58" w:lineRule="exact"/>
        <w:rPr>
          <w:rFonts w:ascii="Arial" w:cs="Arial" w:eastAsia="Arial" w:hAnsi="Arial"/>
          <w:sz w:val="18"/>
          <w:szCs w:val="18"/>
          <w:color w:val="010000"/>
        </w:rPr>
      </w:pPr>
    </w:p>
    <w:p>
      <w:pPr>
        <w:jc w:val="both"/>
        <w:ind w:firstLine="1278"/>
        <w:spacing w:after="0" w:line="224" w:lineRule="auto"/>
        <w:tabs>
          <w:tab w:leader="none" w:pos="1898"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Unless the Administrative Agent shall have received, prior to any date on which any payment is due to the Administrative Agent for the account of the Lenders or the Issuing Bank pursuant to the terms of this Agreement or any other Loan Document, notice from the Borrower that the Borrower will not make such payment or prepayment,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NYFRB Rate.</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1.19.</w:t>
      </w:r>
      <w:r>
        <w:rPr>
          <w:rFonts w:ascii="Arial" w:cs="Arial" w:eastAsia="Arial" w:hAnsi="Arial"/>
          <w:sz w:val="19"/>
          <w:szCs w:val="19"/>
          <w:u w:val="single" w:color="auto"/>
          <w:color w:val="000000"/>
        </w:rPr>
        <w:t>Mitigation Obligations; Replacement of Lenders</w:t>
      </w:r>
      <w:r>
        <w:rPr>
          <w:rFonts w:ascii="Arial" w:cs="Arial" w:eastAsia="Arial" w:hAnsi="Arial"/>
          <w:sz w:val="19"/>
          <w:szCs w:val="19"/>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1240"/>
          </w:cols>
          <w:pgMar w:left="320" w:top="1381" w:right="339" w:bottom="1440" w:gutter="0" w:footer="0" w:header="0"/>
        </w:sectPr>
      </w:pPr>
    </w:p>
    <w:bookmarkStart w:id="89" w:name="page90"/>
    <w:bookmarkEnd w:id="89"/>
    <w:p>
      <w:pPr>
        <w:jc w:val="both"/>
        <w:ind w:firstLine="1278"/>
        <w:spacing w:after="0" w:line="219" w:lineRule="auto"/>
        <w:tabs>
          <w:tab w:leader="none" w:pos="1898" w:val="left"/>
        </w:tabs>
        <w:numPr>
          <w:ilvl w:val="1"/>
          <w:numId w:val="96"/>
        </w:numPr>
        <w:rPr>
          <w:rFonts w:ascii="Arial" w:cs="Arial" w:eastAsia="Arial" w:hAnsi="Arial"/>
          <w:sz w:val="18"/>
          <w:szCs w:val="18"/>
          <w:color w:val="010000"/>
        </w:rPr>
      </w:pPr>
      <w:r>
        <w:rPr>
          <w:rFonts w:ascii="Arial" w:cs="Arial" w:eastAsia="Arial" w:hAnsi="Arial"/>
          <w:sz w:val="18"/>
          <w:szCs w:val="18"/>
          <w:color w:val="auto"/>
        </w:rPr>
        <w:t>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w:t>
      </w:r>
    </w:p>
    <w:p>
      <w:pPr>
        <w:spacing w:after="0" w:line="2" w:lineRule="exact"/>
        <w:rPr>
          <w:rFonts w:ascii="Arial" w:cs="Arial" w:eastAsia="Arial" w:hAnsi="Arial"/>
          <w:sz w:val="18"/>
          <w:szCs w:val="18"/>
          <w:color w:val="010000"/>
        </w:rPr>
      </w:pPr>
    </w:p>
    <w:p>
      <w:pPr>
        <w:jc w:val="both"/>
        <w:ind w:firstLine="6"/>
        <w:spacing w:after="0" w:line="232" w:lineRule="auto"/>
        <w:tabs>
          <w:tab w:leader="none" w:pos="233" w:val="left"/>
        </w:tabs>
        <w:numPr>
          <w:ilvl w:val="0"/>
          <w:numId w:val="97"/>
        </w:numPr>
        <w:rPr>
          <w:rFonts w:ascii="Arial" w:cs="Arial" w:eastAsia="Arial" w:hAnsi="Arial"/>
          <w:sz w:val="18"/>
          <w:szCs w:val="18"/>
          <w:color w:val="auto"/>
        </w:rPr>
      </w:pPr>
      <w:r>
        <w:rPr>
          <w:rFonts w:ascii="Arial" w:cs="Arial" w:eastAsia="Arial" w:hAnsi="Arial"/>
          <w:sz w:val="18"/>
          <w:szCs w:val="18"/>
          <w:color w:val="auto"/>
        </w:rPr>
        <w:t>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52" w:lineRule="exact"/>
        <w:rPr>
          <w:rFonts w:ascii="Arial" w:cs="Arial" w:eastAsia="Arial" w:hAnsi="Arial"/>
          <w:sz w:val="18"/>
          <w:szCs w:val="18"/>
          <w:color w:val="auto"/>
        </w:rPr>
      </w:pPr>
    </w:p>
    <w:p>
      <w:pPr>
        <w:jc w:val="both"/>
        <w:ind w:firstLine="1278"/>
        <w:spacing w:after="0" w:line="230" w:lineRule="auto"/>
        <w:tabs>
          <w:tab w:leader="none" w:pos="1896" w:val="left"/>
        </w:tabs>
        <w:numPr>
          <w:ilvl w:val="1"/>
          <w:numId w:val="97"/>
        </w:numPr>
        <w:rPr>
          <w:rFonts w:ascii="Arial" w:cs="Arial" w:eastAsia="Arial" w:hAnsi="Arial"/>
          <w:sz w:val="17"/>
          <w:szCs w:val="17"/>
          <w:color w:val="010000"/>
        </w:rPr>
      </w:pPr>
      <w:r>
        <w:rPr>
          <w:rFonts w:ascii="Arial" w:cs="Arial" w:eastAsia="Arial" w:hAnsi="Arial"/>
          <w:sz w:val="17"/>
          <w:szCs w:val="17"/>
          <w:color w:val="auto"/>
        </w:rPr>
        <w:t xml:space="preserve">If (i) any Lender requests compensation under Section 2.15, (ii) the Borrower is required to pay any Indemnified Taxes or additional amounts to any Lender or any Governmental Authority for the account of any Lender pursuant to Section 2.17 or (iii)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the other Loan Documents to an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have received the prior written consent of the Administrative Agent (and if a Commitment is being assigned, the Issuing Bank and the Swingline Lender), which consent shall not unreasonably be withheld, conditioned or delayed,</w:t>
      </w:r>
    </w:p>
    <w:p>
      <w:pPr>
        <w:spacing w:after="0" w:line="1" w:lineRule="exact"/>
        <w:rPr>
          <w:rFonts w:ascii="Arial" w:cs="Arial" w:eastAsia="Arial" w:hAnsi="Arial"/>
          <w:sz w:val="17"/>
          <w:szCs w:val="17"/>
          <w:color w:val="010000"/>
        </w:rPr>
      </w:pPr>
    </w:p>
    <w:p>
      <w:pPr>
        <w:jc w:val="both"/>
        <w:ind w:firstLine="6"/>
        <w:spacing w:after="0" w:line="218" w:lineRule="auto"/>
        <w:tabs>
          <w:tab w:leader="none" w:pos="339"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documents shall be without recourse to or warranty by the parties thereto.</w:t>
      </w:r>
    </w:p>
    <w:p>
      <w:pPr>
        <w:spacing w:after="0" w:line="161"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8"/>
          <w:szCs w:val="18"/>
          <w:color w:val="010000"/>
        </w:rPr>
        <w:t>SECTION 1.20.</w:t>
      </w:r>
      <w:r>
        <w:rPr>
          <w:rFonts w:ascii="Arial" w:cs="Arial" w:eastAsia="Arial" w:hAnsi="Arial"/>
          <w:sz w:val="18"/>
          <w:szCs w:val="18"/>
          <w:u w:val="single" w:color="auto"/>
          <w:color w:val="000000"/>
        </w:rPr>
        <w:t>Expansion Option</w:t>
      </w:r>
      <w:r>
        <w:rPr>
          <w:rFonts w:ascii="Arial" w:cs="Arial" w:eastAsia="Arial" w:hAnsi="Arial"/>
          <w:sz w:val="18"/>
          <w:szCs w:val="18"/>
          <w:color w:val="000000"/>
        </w:rPr>
        <w:t>. The Borrower may from time to time elect to increase the Commitments or enter into one or</w:t>
      </w:r>
      <w:r>
        <w:rPr>
          <w:rFonts w:ascii="Arial" w:cs="Arial" w:eastAsia="Arial" w:hAnsi="Arial"/>
          <w:sz w:val="18"/>
          <w:szCs w:val="18"/>
          <w:color w:val="010000"/>
        </w:rPr>
        <w:t xml:space="preserve"> </w:t>
      </w:r>
      <w:r>
        <w:rPr>
          <w:rFonts w:ascii="Arial" w:cs="Arial" w:eastAsia="Arial" w:hAnsi="Arial"/>
          <w:sz w:val="18"/>
          <w:szCs w:val="18"/>
          <w:color w:val="000000"/>
        </w:rPr>
        <w:t>more tranches of term loans (each, an “</w:t>
      </w:r>
      <w:r>
        <w:rPr>
          <w:rFonts w:ascii="Arial" w:cs="Arial" w:eastAsia="Arial" w:hAnsi="Arial"/>
          <w:sz w:val="18"/>
          <w:szCs w:val="18"/>
          <w:u w:val="single" w:color="auto"/>
          <w:color w:val="000000"/>
        </w:rPr>
        <w:t>Incremental Term Loan</w:t>
      </w:r>
      <w:r>
        <w:rPr>
          <w:rFonts w:ascii="Arial" w:cs="Arial" w:eastAsia="Arial" w:hAnsi="Arial"/>
          <w:sz w:val="18"/>
          <w:szCs w:val="18"/>
          <w:color w:val="000000"/>
        </w:rPr>
        <w:t>”), in each case in minimum increments of $5,000,000 so long as, after giving effect thereto, the aggregate amount of such increases and all such Incremental Term Loans does not exceed $50,000,000. The Borrower may arrange for any such increase or tranche to be provided by one or more Lenders (each Lender so agreeing to an increase in its Commitment, or to participate in such Incremental Term Loans, an “</w:t>
      </w:r>
      <w:r>
        <w:rPr>
          <w:rFonts w:ascii="Arial" w:cs="Arial" w:eastAsia="Arial" w:hAnsi="Arial"/>
          <w:sz w:val="18"/>
          <w:szCs w:val="18"/>
          <w:u w:val="single" w:color="auto"/>
          <w:color w:val="000000"/>
        </w:rPr>
        <w:t>Increasing Lender</w:t>
      </w:r>
      <w:r>
        <w:rPr>
          <w:rFonts w:ascii="Arial" w:cs="Arial" w:eastAsia="Arial" w:hAnsi="Arial"/>
          <w:sz w:val="18"/>
          <w:szCs w:val="18"/>
          <w:color w:val="000000"/>
        </w:rPr>
        <w:t>”), or by one or more new banks, financial institutions or other entities (each such new bank, financial institution or other entity, an “</w:t>
      </w:r>
      <w:r>
        <w:rPr>
          <w:rFonts w:ascii="Arial" w:cs="Arial" w:eastAsia="Arial" w:hAnsi="Arial"/>
          <w:sz w:val="18"/>
          <w:szCs w:val="18"/>
          <w:u w:val="single" w:color="auto"/>
          <w:color w:val="000000"/>
        </w:rPr>
        <w:t>Augmenting Lender</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no Ineligible Institution may be an Augmenting Lender), which agree to increase their existing Commitments, or to participate in such Incremental Term Loans, or provide new Commitments, as the case may be;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 each Augmenting Lender, shall be subject to the approval of the Borrower and the Administrative Agent and (ii) (x) in the case of an Increasing Lender, the Borrower and such Increasing Lender execute an agreement substantially in the form of </w:t>
      </w:r>
      <w:r>
        <w:rPr>
          <w:rFonts w:ascii="Arial" w:cs="Arial" w:eastAsia="Arial" w:hAnsi="Arial"/>
          <w:sz w:val="18"/>
          <w:szCs w:val="18"/>
          <w:u w:val="single" w:color="auto"/>
          <w:color w:val="000000"/>
        </w:rPr>
        <w:t>Exhibit C</w:t>
      </w:r>
      <w:r>
        <w:rPr>
          <w:rFonts w:ascii="Arial" w:cs="Arial" w:eastAsia="Arial" w:hAnsi="Arial"/>
          <w:sz w:val="18"/>
          <w:szCs w:val="18"/>
          <w:color w:val="000000"/>
        </w:rPr>
        <w:t xml:space="preserve"> hereto, and (y) in the case of an Augmenting Lender, the Borrower and such Augmenting Lender execute an agreement substantially in the form of </w:t>
      </w:r>
      <w:r>
        <w:rPr>
          <w:rFonts w:ascii="Arial" w:cs="Arial" w:eastAsia="Arial" w:hAnsi="Arial"/>
          <w:sz w:val="18"/>
          <w:szCs w:val="18"/>
          <w:u w:val="single" w:color="auto"/>
          <w:color w:val="000000"/>
        </w:rPr>
        <w:t>Exhibit D</w:t>
      </w:r>
      <w:r>
        <w:rPr>
          <w:rFonts w:ascii="Arial" w:cs="Arial" w:eastAsia="Arial" w:hAnsi="Arial"/>
          <w:sz w:val="18"/>
          <w:szCs w:val="18"/>
          <w:color w:val="000000"/>
        </w:rPr>
        <w:t xml:space="preserve"> hereto. No consent of any Lender (other than the Lenders participating in the increase or any Incremental Term Loan) shall be required for any increase in Commitments or Incremental Term Loan pursuant to this Section 2.20. Increases and new Commitments and Incremental Term Loans created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240"/>
          </w:cols>
          <w:pgMar w:left="320" w:top="1381" w:right="339" w:bottom="1440" w:gutter="0" w:footer="0" w:header="0"/>
        </w:sectPr>
      </w:pPr>
    </w:p>
    <w:bookmarkStart w:id="90" w:name="page91"/>
    <w:bookmarkEnd w:id="90"/>
    <w:p>
      <w:pPr>
        <w:jc w:val="both"/>
        <w:spacing w:after="0" w:line="234" w:lineRule="auto"/>
        <w:rPr>
          <w:sz w:val="20"/>
          <w:szCs w:val="20"/>
          <w:color w:val="auto"/>
        </w:rPr>
      </w:pPr>
      <w:r>
        <w:rPr>
          <w:rFonts w:ascii="Arial" w:cs="Arial" w:eastAsia="Arial" w:hAnsi="Arial"/>
          <w:sz w:val="17"/>
          <w:szCs w:val="17"/>
          <w:color w:val="auto"/>
        </w:rPr>
        <w:t>Section 2.20 shall become effective on the date agreed by the Borrower, the Administrative Agent and the relevant Increasing Lenders or Augmenting Lenders, and the Administrative Agent shall notify each Lender thereof. Notwithstanding the foregoing, no increase in the Commitments (or in the Commitment of any Lender) or tranche of Incremental Term Loans shall become effective under this paragraph unless,</w:t>
      </w:r>
    </w:p>
    <w:p>
      <w:pPr>
        <w:spacing w:after="0" w:line="1" w:lineRule="exact"/>
        <w:rPr>
          <w:sz w:val="20"/>
          <w:szCs w:val="20"/>
          <w:color w:val="auto"/>
        </w:rPr>
      </w:pPr>
    </w:p>
    <w:p>
      <w:pPr>
        <w:jc w:val="both"/>
        <w:ind w:firstLine="6"/>
        <w:spacing w:after="0" w:line="238" w:lineRule="auto"/>
        <w:tabs>
          <w:tab w:leader="none" w:pos="2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on the proposed date of the effectiveness of such increase or Incremental Term Loans, (A) the conditions set forth in paragraphs (a) and (b) of Section 4.02 shall be satisfied or waived by the Required Lenders and the Administrative Agent shall have received a certificate to that effect dated such date and executed by a Financial Officer of the Borrower and (B) the Borrower shall be in compliance (on a pro forma basis) with the covenants contained in Section 6.12 and (ii) the Administrative Agent shall have received (x) documents and opinions consistent with those delivered on the Effective Date as to the organizational power and authority of the Borrower to borrow hereunder after giving effect to such increase or Incremental Term Loan and (y) reaffirmations from the Loan Parties. On the effective date of any increase in the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the Borrower shall be deemed to have repaid and reborrowed all outstanding Revolving Loans as of the date of any increase in the Commitments (with such reborrowing to consist of the Types of Revolving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 pursuant to the provisions of Section 2.16 if the deemed payment occurs other than on the last day of the related Interest Periods. The Incremental Term Loans (a) shall rank pari passu in right of payment with the Revolving Loans, (b) shall not mature earlier than the Maturity Date (but may have amortization and/or customary prepayments prior to such date) and (c) shall be treated substantially the same as (and in any event no more favorably than) the Revolving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(whether in the form of interest rate margin, upfront fees, original issue discount, call protection or otherwise) than the Revolving Loans. Incremental Term Loans may be made hereunder pursuant to an amendment or restatement (an “</w:t>
      </w:r>
      <w:r>
        <w:rPr>
          <w:rFonts w:ascii="Arial" w:cs="Arial" w:eastAsia="Arial" w:hAnsi="Arial"/>
          <w:sz w:val="17"/>
          <w:szCs w:val="17"/>
          <w:u w:val="single" w:color="auto"/>
          <w:color w:val="auto"/>
        </w:rPr>
        <w:t>Incremental Term Loan Amendment</w:t>
      </w:r>
      <w:r>
        <w:rPr>
          <w:rFonts w:ascii="Arial" w:cs="Arial" w:eastAsia="Arial" w:hAnsi="Arial"/>
          <w:sz w:val="17"/>
          <w:szCs w:val="17"/>
          <w:color w:val="auto"/>
        </w:rPr>
        <w:t>”) of this Agreement and, as appropriate, the other Loan Documents, executed by the Borrower,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2.20. Nothing contained in this Section 2.20 shall constitute, or otherwise be deemed to be, a commitment on the part of any Lender to increase its Commitment hereunder, or provide Incremental Term Loans, at any time.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7"/>
          <w:szCs w:val="17"/>
          <w:color w:val="010000"/>
        </w:rPr>
        <w:t>SECTION 1.21.</w:t>
      </w:r>
      <w:r>
        <w:rPr>
          <w:rFonts w:ascii="Arial" w:cs="Arial" w:eastAsia="Arial" w:hAnsi="Arial"/>
          <w:sz w:val="17"/>
          <w:szCs w:val="17"/>
          <w:u w:val="single" w:color="auto"/>
          <w:color w:val="000000"/>
        </w:rPr>
        <w:t>Defaulting Lenders</w:t>
      </w:r>
      <w:r>
        <w:rPr>
          <w:rFonts w:ascii="Arial" w:cs="Arial" w:eastAsia="Arial" w:hAnsi="Arial"/>
          <w:sz w:val="17"/>
          <w:szCs w:val="17"/>
          <w:color w:val="000000"/>
        </w:rPr>
        <w:t>. Notwithstanding any provision of this Agreement to the contrary, if any Lender becomes a</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Defaulting Lender, then the following provisions shall apply for so long as such Lender is a Defaulting Lender:</w:t>
      </w:r>
    </w:p>
    <w:p>
      <w:pPr>
        <w:spacing w:after="0" w:line="146" w:lineRule="exact"/>
        <w:rPr>
          <w:sz w:val="20"/>
          <w:szCs w:val="20"/>
          <w:color w:val="auto"/>
        </w:rPr>
      </w:pPr>
    </w:p>
    <w:p>
      <w:pPr>
        <w:ind w:left="1280"/>
        <w:spacing w:after="0"/>
        <w:tabs>
          <w:tab w:leader="none" w:pos="1880" w:val="left"/>
        </w:tabs>
        <w:rPr>
          <w:sz w:val="20"/>
          <w:szCs w:val="20"/>
          <w:color w:val="auto"/>
        </w:rPr>
      </w:pPr>
      <w:r>
        <w:rPr>
          <w:rFonts w:ascii="Arial" w:cs="Arial" w:eastAsia="Arial" w:hAnsi="Arial"/>
          <w:sz w:val="19"/>
          <w:szCs w:val="19"/>
          <w:color w:val="010000"/>
        </w:rPr>
        <w:t>(a)</w:t>
      </w:r>
      <w:r>
        <w:rPr>
          <w:sz w:val="20"/>
          <w:szCs w:val="20"/>
          <w:color w:val="auto"/>
        </w:rPr>
        <w:tab/>
      </w:r>
      <w:r>
        <w:rPr>
          <w:rFonts w:ascii="Arial" w:cs="Arial" w:eastAsia="Arial" w:hAnsi="Arial"/>
          <w:sz w:val="19"/>
          <w:szCs w:val="19"/>
          <w:color w:val="auto"/>
        </w:rPr>
        <w:t>fees shall cease to accrue on the unfunded portion of the Commitment of such Defaulting Lender pursuant to</w:t>
      </w:r>
    </w:p>
    <w:p>
      <w:pPr>
        <w:spacing w:after="0"/>
        <w:rPr>
          <w:sz w:val="20"/>
          <w:szCs w:val="20"/>
          <w:color w:val="auto"/>
        </w:rPr>
      </w:pPr>
      <w:r>
        <w:rPr>
          <w:rFonts w:ascii="Arial" w:cs="Arial" w:eastAsia="Arial" w:hAnsi="Arial"/>
          <w:sz w:val="19"/>
          <w:szCs w:val="19"/>
          <w:color w:val="auto"/>
        </w:rPr>
        <w:t>Section 2.12(a);</w:t>
      </w:r>
    </w:p>
    <w:p>
      <w:pPr>
        <w:spacing w:after="0" w:line="163" w:lineRule="exact"/>
        <w:rPr>
          <w:sz w:val="20"/>
          <w:szCs w:val="20"/>
          <w:color w:val="auto"/>
        </w:rPr>
      </w:pPr>
    </w:p>
    <w:p>
      <w:pPr>
        <w:jc w:val="both"/>
        <w:ind w:firstLine="1278"/>
        <w:spacing w:after="0" w:line="243" w:lineRule="auto"/>
        <w:tabs>
          <w:tab w:leader="none" w:pos="1896" w:val="left"/>
        </w:tabs>
        <w:numPr>
          <w:ilvl w:val="0"/>
          <w:numId w:val="100"/>
        </w:numPr>
        <w:rPr>
          <w:rFonts w:ascii="Arial" w:cs="Arial" w:eastAsia="Arial" w:hAnsi="Arial"/>
          <w:sz w:val="17"/>
          <w:szCs w:val="17"/>
          <w:color w:val="010000"/>
        </w:rPr>
      </w:pPr>
      <w:r>
        <w:rPr>
          <w:rFonts w:ascii="Arial" w:cs="Arial" w:eastAsia="Arial" w:hAnsi="Arial"/>
          <w:sz w:val="17"/>
          <w:szCs w:val="17"/>
          <w:color w:val="auto"/>
        </w:rPr>
        <w:t xml:space="preserve">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payment on a pro rata basis of any amounts owing by such Defaulting Lender to the Issuing Bank or the Swingline Lender hereunder; </w:t>
      </w:r>
      <w:r>
        <w:rPr>
          <w:rFonts w:ascii="Arial" w:cs="Arial" w:eastAsia="Arial" w:hAnsi="Arial"/>
          <w:sz w:val="17"/>
          <w:szCs w:val="17"/>
          <w:u w:val="single" w:color="auto"/>
          <w:color w:val="auto"/>
        </w:rPr>
        <w:t>third</w:t>
      </w:r>
      <w:r>
        <w:rPr>
          <w:rFonts w:ascii="Arial" w:cs="Arial" w:eastAsia="Arial" w:hAnsi="Arial"/>
          <w:sz w:val="17"/>
          <w:szCs w:val="17"/>
          <w:color w:val="auto"/>
        </w:rPr>
        <w:t>, to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ectPr>
          <w:pgSz w:w="11900" w:h="16838" w:orient="portrait"/>
          <w:cols w:equalWidth="0" w:num="1">
            <w:col w:w="11240"/>
          </w:cols>
          <w:pgMar w:left="320" w:top="1381" w:right="339" w:bottom="1440" w:gutter="0" w:footer="0" w:header="0"/>
        </w:sectPr>
      </w:pPr>
    </w:p>
    <w:bookmarkStart w:id="91" w:name="page92"/>
    <w:bookmarkEnd w:id="91"/>
    <w:p>
      <w:pPr>
        <w:jc w:val="both"/>
        <w:spacing w:after="0" w:line="218" w:lineRule="auto"/>
        <w:rPr>
          <w:sz w:val="20"/>
          <w:szCs w:val="20"/>
          <w:color w:val="auto"/>
        </w:rPr>
      </w:pPr>
      <w:r>
        <w:rPr>
          <w:rFonts w:ascii="Arial" w:cs="Arial" w:eastAsia="Arial" w:hAnsi="Arial"/>
          <w:sz w:val="18"/>
          <w:szCs w:val="18"/>
          <w:color w:val="auto"/>
        </w:rPr>
        <w:t xml:space="preserve">collateralize LC Exposure with respect to such Defaulting Lender in accordance with this Section;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Lenders, the Issuing Bank or the Swingline Lender as a result of any judgment of a court of competent jurisdiction obtained by any Lender, the Issuing Bank or the Swingline Lender against such Defaulting Lender as a result of such Defaulting Lender’s breach of its obligations under this Agreement or under any other Loan Document;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eighth,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59" w:lineRule="exact"/>
        <w:rPr>
          <w:sz w:val="20"/>
          <w:szCs w:val="20"/>
          <w:color w:val="auto"/>
        </w:rPr>
      </w:pPr>
    </w:p>
    <w:p>
      <w:pPr>
        <w:jc w:val="both"/>
        <w:ind w:firstLine="1278"/>
        <w:spacing w:after="0" w:line="217" w:lineRule="auto"/>
        <w:tabs>
          <w:tab w:leader="none" w:pos="1898" w:val="left"/>
        </w:tabs>
        <w:numPr>
          <w:ilvl w:val="0"/>
          <w:numId w:val="101"/>
        </w:numPr>
        <w:rPr>
          <w:rFonts w:ascii="Arial" w:cs="Arial" w:eastAsia="Arial" w:hAnsi="Arial"/>
          <w:sz w:val="19"/>
          <w:szCs w:val="19"/>
          <w:color w:val="010000"/>
        </w:rPr>
      </w:pPr>
      <w:r>
        <w:rPr>
          <w:rFonts w:ascii="Arial" w:cs="Arial" w:eastAsia="Arial" w:hAnsi="Arial"/>
          <w:sz w:val="19"/>
          <w:szCs w:val="19"/>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Section 9.02);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amendment, waiver or other modification requiring the consent of all Lenders or all Lenders directly affected thereby shall not, except as otherwise provided in Section 9.02, require the consent of such Defaulting Lender in accordance with the terms hereof;</w:t>
      </w:r>
    </w:p>
    <w:p>
      <w:pPr>
        <w:spacing w:after="0" w:line="151" w:lineRule="exact"/>
        <w:rPr>
          <w:rFonts w:ascii="Arial" w:cs="Arial" w:eastAsia="Arial" w:hAnsi="Arial"/>
          <w:sz w:val="19"/>
          <w:szCs w:val="19"/>
          <w:color w:val="010000"/>
        </w:rPr>
      </w:pPr>
    </w:p>
    <w:p>
      <w:pPr>
        <w:ind w:left="1900" w:hanging="622"/>
        <w:spacing w:after="0"/>
        <w:tabs>
          <w:tab w:leader="none" w:pos="1900" w:val="left"/>
        </w:tabs>
        <w:numPr>
          <w:ilvl w:val="0"/>
          <w:numId w:val="101"/>
        </w:numPr>
        <w:rPr>
          <w:rFonts w:ascii="Arial" w:cs="Arial" w:eastAsia="Arial" w:hAnsi="Arial"/>
          <w:sz w:val="19"/>
          <w:szCs w:val="19"/>
          <w:color w:val="010000"/>
        </w:rPr>
      </w:pPr>
      <w:r>
        <w:rPr>
          <w:rFonts w:ascii="Arial" w:cs="Arial" w:eastAsia="Arial" w:hAnsi="Arial"/>
          <w:sz w:val="19"/>
          <w:szCs w:val="19"/>
          <w:color w:val="auto"/>
        </w:rPr>
        <w:t>if any Swingline Exposure or LC Exposure exists at the time such Lender becomes a Defaulting Lender then:</w:t>
      </w:r>
    </w:p>
    <w:p>
      <w:pPr>
        <w:spacing w:after="0" w:line="179" w:lineRule="exact"/>
        <w:rPr>
          <w:sz w:val="20"/>
          <w:szCs w:val="20"/>
          <w:color w:val="auto"/>
        </w:rPr>
      </w:pPr>
    </w:p>
    <w:p>
      <w:pPr>
        <w:jc w:val="both"/>
        <w:ind w:left="640" w:firstLine="638"/>
        <w:spacing w:after="0" w:line="217" w:lineRule="auto"/>
        <w:tabs>
          <w:tab w:leader="none" w:pos="1910" w:val="left"/>
        </w:tabs>
        <w:numPr>
          <w:ilvl w:val="1"/>
          <w:numId w:val="102"/>
        </w:numPr>
        <w:rPr>
          <w:rFonts w:ascii="Arial" w:cs="Arial" w:eastAsia="Arial" w:hAnsi="Arial"/>
          <w:sz w:val="19"/>
          <w:szCs w:val="19"/>
          <w:color w:val="010000"/>
        </w:rPr>
      </w:pPr>
      <w:r>
        <w:rPr>
          <w:rFonts w:ascii="Arial" w:cs="Arial" w:eastAsia="Arial" w:hAnsi="Arial"/>
          <w:sz w:val="19"/>
          <w:szCs w:val="19"/>
          <w:color w:val="auto"/>
        </w:rPr>
        <w:t>all or any part of the Swingline Exposure and LC Exposure of such Defaulting Lender (other than, in the case of a Defaulting Lender that is the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Credit Exposure to exceed its Commitment;</w:t>
      </w:r>
    </w:p>
    <w:p>
      <w:pPr>
        <w:spacing w:after="0" w:line="151" w:lineRule="exact"/>
        <w:rPr>
          <w:rFonts w:ascii="Arial" w:cs="Arial" w:eastAsia="Arial" w:hAnsi="Arial"/>
          <w:sz w:val="19"/>
          <w:szCs w:val="19"/>
          <w:color w:val="010000"/>
        </w:rPr>
      </w:pPr>
    </w:p>
    <w:p>
      <w:pPr>
        <w:ind w:left="1920" w:hanging="642"/>
        <w:spacing w:after="0"/>
        <w:tabs>
          <w:tab w:leader="none" w:pos="1920" w:val="left"/>
        </w:tabs>
        <w:numPr>
          <w:ilvl w:val="1"/>
          <w:numId w:val="102"/>
        </w:numPr>
        <w:rPr>
          <w:rFonts w:ascii="Arial" w:cs="Arial" w:eastAsia="Arial" w:hAnsi="Arial"/>
          <w:sz w:val="17"/>
          <w:szCs w:val="17"/>
          <w:color w:val="010000"/>
        </w:rPr>
      </w:pPr>
      <w:r>
        <w:rPr>
          <w:rFonts w:ascii="Arial" w:cs="Arial" w:eastAsia="Arial" w:hAnsi="Arial"/>
          <w:sz w:val="17"/>
          <w:szCs w:val="17"/>
          <w:color w:val="auto"/>
        </w:rPr>
        <w:t>if the reallocation described in clause (i) above cannot, or can only partially, be effected, the Borrower shall within one</w:t>
      </w:r>
    </w:p>
    <w:p>
      <w:pPr>
        <w:spacing w:after="0" w:line="6" w:lineRule="exact"/>
        <w:rPr>
          <w:rFonts w:ascii="Arial" w:cs="Arial" w:eastAsia="Arial" w:hAnsi="Arial"/>
          <w:sz w:val="17"/>
          <w:szCs w:val="17"/>
          <w:color w:val="010000"/>
        </w:rPr>
      </w:pPr>
    </w:p>
    <w:p>
      <w:pPr>
        <w:jc w:val="both"/>
        <w:ind w:left="640" w:firstLine="2"/>
        <w:spacing w:after="0" w:line="216" w:lineRule="auto"/>
        <w:tabs>
          <w:tab w:leader="none" w:pos="95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Business Day following notice by the Administrative Agent (x)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prepay such Swingline Exposure and (y) </w:t>
      </w:r>
      <w:r>
        <w:rPr>
          <w:rFonts w:ascii="Arial" w:cs="Arial" w:eastAsia="Arial" w:hAnsi="Arial"/>
          <w:sz w:val="19"/>
          <w:szCs w:val="19"/>
          <w:u w:val="single" w:color="auto"/>
          <w:color w:val="auto"/>
        </w:rPr>
        <w:t>second</w:t>
      </w:r>
      <w:r>
        <w:rPr>
          <w:rFonts w:ascii="Arial" w:cs="Arial" w:eastAsia="Arial" w:hAnsi="Arial"/>
          <w:sz w:val="19"/>
          <w:szCs w:val="19"/>
          <w:color w:val="auto"/>
        </w:rPr>
        <w:t>, cash collateralize for the benefit of the Issuing Bank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51" w:lineRule="exact"/>
        <w:rPr>
          <w:rFonts w:ascii="Arial" w:cs="Arial" w:eastAsia="Arial" w:hAnsi="Arial"/>
          <w:sz w:val="19"/>
          <w:szCs w:val="19"/>
          <w:color w:val="auto"/>
        </w:rPr>
      </w:pPr>
    </w:p>
    <w:p>
      <w:pPr>
        <w:ind w:left="640" w:firstLine="638"/>
        <w:spacing w:after="0" w:line="237" w:lineRule="auto"/>
        <w:tabs>
          <w:tab w:leader="none" w:pos="1912" w:val="left"/>
        </w:tabs>
        <w:numPr>
          <w:ilvl w:val="1"/>
          <w:numId w:val="103"/>
        </w:numPr>
        <w:rPr>
          <w:rFonts w:ascii="Arial" w:cs="Arial" w:eastAsia="Arial" w:hAnsi="Arial"/>
          <w:sz w:val="19"/>
          <w:szCs w:val="19"/>
          <w:color w:val="010000"/>
        </w:rPr>
      </w:pPr>
      <w:r>
        <w:rPr>
          <w:rFonts w:ascii="Arial" w:cs="Arial" w:eastAsia="Arial" w:hAnsi="Arial"/>
          <w:sz w:val="19"/>
          <w:szCs w:val="19"/>
          <w:color w:val="auto"/>
        </w:rPr>
        <w:t>if the Borrower cash collateralizes any portion of such Defaulting Lender’s LC Exposure pursuant to clause (ii) above, the Borrower shall not be required to pay any fees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1240"/>
          </w:cols>
          <w:pgMar w:left="320" w:top="1381" w:right="339" w:bottom="1440" w:gutter="0" w:footer="0" w:header="0"/>
        </w:sectPr>
      </w:pPr>
    </w:p>
    <w:bookmarkStart w:id="92" w:name="page93"/>
    <w:bookmarkEnd w:id="92"/>
    <w:p>
      <w:pPr>
        <w:ind w:left="640"/>
        <w:spacing w:after="0" w:line="237" w:lineRule="auto"/>
        <w:rPr>
          <w:sz w:val="20"/>
          <w:szCs w:val="20"/>
          <w:color w:val="auto"/>
        </w:rPr>
      </w:pPr>
      <w:r>
        <w:rPr>
          <w:rFonts w:ascii="Arial" w:cs="Arial" w:eastAsia="Arial" w:hAnsi="Arial"/>
          <w:sz w:val="19"/>
          <w:szCs w:val="19"/>
          <w:color w:val="auto"/>
        </w:rPr>
        <w:t>Defaulting Lender pursuant to Section 2.12(b) with respect to such Defaulting Lender’s LC Exposure during the period such Defaulting Lender’s LC Exposure is cash collateralized;</w:t>
      </w:r>
    </w:p>
    <w:p>
      <w:pPr>
        <w:spacing w:after="0" w:line="151" w:lineRule="exact"/>
        <w:rPr>
          <w:sz w:val="20"/>
          <w:szCs w:val="20"/>
          <w:color w:val="auto"/>
        </w:rPr>
      </w:pPr>
    </w:p>
    <w:p>
      <w:pPr>
        <w:jc w:val="both"/>
        <w:ind w:left="640" w:firstLine="638"/>
        <w:spacing w:after="0" w:line="226" w:lineRule="auto"/>
        <w:tabs>
          <w:tab w:leader="none" w:pos="1901"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if the LC Exposure of the non-Defaulting Lenders is reallocated pursuant to clause (i) above, then the fees payable to the Lenders pursuant to Section 2.12(a) and Section 2.12(b) shall be adjusted in accordance with such non-Defaulting Lenders’ Applicable Percentages; and</w:t>
      </w:r>
    </w:p>
    <w:p>
      <w:pPr>
        <w:spacing w:after="0" w:line="151" w:lineRule="exact"/>
        <w:rPr>
          <w:rFonts w:ascii="Arial" w:cs="Arial" w:eastAsia="Arial" w:hAnsi="Arial"/>
          <w:sz w:val="19"/>
          <w:szCs w:val="19"/>
          <w:color w:val="010000"/>
        </w:rPr>
      </w:pPr>
    </w:p>
    <w:p>
      <w:pPr>
        <w:jc w:val="both"/>
        <w:ind w:left="640" w:firstLine="638"/>
        <w:spacing w:after="0" w:line="220" w:lineRule="auto"/>
        <w:tabs>
          <w:tab w:leader="none" w:pos="1900"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153" w:lineRule="exact"/>
        <w:rPr>
          <w:sz w:val="20"/>
          <w:szCs w:val="20"/>
          <w:color w:val="auto"/>
        </w:rPr>
      </w:pPr>
    </w:p>
    <w:p>
      <w:pPr>
        <w:jc w:val="both"/>
        <w:ind w:firstLine="1278"/>
        <w:spacing w:after="0" w:line="226" w:lineRule="auto"/>
        <w:tabs>
          <w:tab w:leader="none" w:pos="1898"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so long as such Lender is a Defaulting Lender, the Swingline Lender shall not be required to fund any Swingline Loan and the Issuing Bank shall not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2.21(d), and Swingline Exposure related to any such newly made Swingline Loan or LC Exposure related to any newly issued or increased Letter of Credit shall be allocated among non-Defaulting Lenders in a manner consistent with Section 2.21(d)(i) (and such Defaulting Lender shall not participate therein).</w:t>
      </w:r>
    </w:p>
    <w:p>
      <w:pPr>
        <w:spacing w:after="0" w:line="156"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8"/>
          <w:szCs w:val="18"/>
          <w:color w:val="auto"/>
        </w:rPr>
        <w:t>If (i) a Bankruptcy Event or a Bail-In Action with respect to a Lender Parent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 or such Lender, satisfactory to the Swingline Lender or the Issuing Bank, as the case may be, to defease any risk to it in respect of such Lender hereunder.</w:t>
      </w:r>
    </w:p>
    <w:p>
      <w:pPr>
        <w:spacing w:after="0" w:line="156" w:lineRule="exact"/>
        <w:rPr>
          <w:sz w:val="20"/>
          <w:szCs w:val="20"/>
          <w:color w:val="auto"/>
        </w:rPr>
      </w:pPr>
    </w:p>
    <w:p>
      <w:pPr>
        <w:jc w:val="both"/>
        <w:ind w:firstLine="1272"/>
        <w:spacing w:after="0" w:line="211" w:lineRule="auto"/>
        <w:rPr>
          <w:sz w:val="20"/>
          <w:szCs w:val="20"/>
          <w:color w:val="auto"/>
        </w:rPr>
      </w:pPr>
      <w:r>
        <w:rPr>
          <w:rFonts w:ascii="Arial" w:cs="Arial" w:eastAsia="Arial" w:hAnsi="Arial"/>
          <w:sz w:val="19"/>
          <w:szCs w:val="19"/>
          <w:color w:val="auto"/>
        </w:rPr>
        <w:t xml:space="preserve">In the event that the Administrative Agent, the Borrower, the Swingline Lender and the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that Lender was a Defaulting Lender;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85"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010000"/>
        </w:rPr>
        <w:t>Article III</w:t>
      </w:r>
    </w:p>
    <w:p>
      <w:pPr>
        <w:spacing w:after="0" w:line="232" w:lineRule="exact"/>
        <w:rPr>
          <w:sz w:val="20"/>
          <w:szCs w:val="20"/>
          <w:color w:val="auto"/>
        </w:rPr>
      </w:pPr>
    </w:p>
    <w:p>
      <w:pPr>
        <w:ind w:left="4400"/>
        <w:spacing w:after="0"/>
        <w:rPr>
          <w:sz w:val="20"/>
          <w:szCs w:val="20"/>
          <w:color w:val="auto"/>
        </w:rPr>
      </w:pPr>
      <w:r>
        <w:rPr>
          <w:rFonts w:ascii="Arial" w:cs="Arial" w:eastAsia="Arial" w:hAnsi="Arial"/>
          <w:sz w:val="19"/>
          <w:szCs w:val="19"/>
          <w:u w:val="single" w:color="auto"/>
          <w:color w:val="auto"/>
        </w:rPr>
        <w:t>Representations and Warranties</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The Borrower represents and warrants to the Lenders that:</w:t>
      </w:r>
    </w:p>
    <w:p>
      <w:pPr>
        <w:spacing w:after="0" w:line="179"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010000"/>
        </w:rPr>
        <w:t>SECTION 1.01.</w:t>
      </w:r>
      <w:r>
        <w:rPr>
          <w:rFonts w:ascii="Arial" w:cs="Arial" w:eastAsia="Arial" w:hAnsi="Arial"/>
          <w:sz w:val="19"/>
          <w:szCs w:val="19"/>
          <w:u w:val="single" w:color="auto"/>
          <w:color w:val="000000"/>
        </w:rPr>
        <w:t>Organization; Powers; Subsidiaries</w:t>
      </w:r>
      <w:r>
        <w:rPr>
          <w:rFonts w:ascii="Arial" w:cs="Arial" w:eastAsia="Arial" w:hAnsi="Arial"/>
          <w:sz w:val="19"/>
          <w:szCs w:val="19"/>
          <w:color w:val="000000"/>
        </w:rPr>
        <w:t>. Each of the Borrower and its Material Subsidiaries is duly organized or</w:t>
      </w:r>
      <w:r>
        <w:rPr>
          <w:rFonts w:ascii="Arial" w:cs="Arial" w:eastAsia="Arial" w:hAnsi="Arial"/>
          <w:sz w:val="19"/>
          <w:szCs w:val="19"/>
          <w:color w:val="010000"/>
        </w:rPr>
        <w:t xml:space="preserve"> </w:t>
      </w:r>
      <w:r>
        <w:rPr>
          <w:rFonts w:ascii="Arial" w:cs="Arial" w:eastAsia="Arial" w:hAnsi="Arial"/>
          <w:sz w:val="19"/>
          <w:szCs w:val="19"/>
          <w:color w:val="000000"/>
        </w:rPr>
        <w:t>formed, validly existing and in good standing (to the extent the concept is applicable in such jurisdiction) under the laws of the jurisdiction of its organization, has all requisite organizational power and authority to carry on its business as now conducted and, except where the failure to do so, individually or in the aggregate, could not reasonably be expected to result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240"/>
          </w:cols>
          <w:pgMar w:left="320" w:top="1381" w:right="339" w:bottom="1440" w:gutter="0" w:footer="0" w:header="0"/>
        </w:sectPr>
      </w:pPr>
    </w:p>
    <w:bookmarkStart w:id="93" w:name="page94"/>
    <w:bookmarkEnd w:id="93"/>
    <w:p>
      <w:pPr>
        <w:jc w:val="both"/>
        <w:spacing w:after="0" w:line="234" w:lineRule="auto"/>
        <w:rPr>
          <w:sz w:val="20"/>
          <w:szCs w:val="20"/>
          <w:color w:val="auto"/>
        </w:rPr>
      </w:pPr>
      <w:r>
        <w:rPr>
          <w:rFonts w:ascii="Arial" w:cs="Arial" w:eastAsia="Arial" w:hAnsi="Arial"/>
          <w:sz w:val="17"/>
          <w:szCs w:val="17"/>
          <w:color w:val="auto"/>
        </w:rPr>
        <w:t xml:space="preserve">Material Adverse Effect, is qualified to do business in, and, to the extent the concept is applicable in such jurisdiction, is in good standing in, every jurisdiction where its ownership, lease or operation of properties or the conduct of its business requires such qualification. </w:t>
      </w:r>
      <w:r>
        <w:rPr>
          <w:rFonts w:ascii="Arial" w:cs="Arial" w:eastAsia="Arial" w:hAnsi="Arial"/>
          <w:sz w:val="17"/>
          <w:szCs w:val="17"/>
          <w:u w:val="single" w:color="auto"/>
          <w:color w:val="auto"/>
        </w:rPr>
        <w:t>Schedule 3.01</w:t>
      </w:r>
      <w:r>
        <w:rPr>
          <w:rFonts w:ascii="Arial" w:cs="Arial" w:eastAsia="Arial" w:hAnsi="Arial"/>
          <w:sz w:val="17"/>
          <w:szCs w:val="17"/>
          <w:color w:val="auto"/>
        </w:rPr>
        <w:t xml:space="preserve"> hereto identifies each Subsidiary as of the Effective Date, noting whether such Subsidiary is a Material Domestic Subsidiary, the jurisdiction of its incorporation or organization, as the case may be, the percentage of issued and outstanding shares of each class of its Equity Interests owned by the Borrower and the other Subsidiaries and, if such percentage is not 100% (excluding (i) directors’ qualifying shares and (ii) shares issued to foreign nationals to the extent required by applicable law), a description of each class issued and outstanding. All of the outstanding shares of Equity Interests of each Subsidiary are validly issued and outstanding and, to the extent applicable, fully paid and nonassessable and, as of the Effective Date, all such Equity Interests indicated on </w:t>
      </w:r>
      <w:r>
        <w:rPr>
          <w:rFonts w:ascii="Arial" w:cs="Arial" w:eastAsia="Arial" w:hAnsi="Arial"/>
          <w:sz w:val="17"/>
          <w:szCs w:val="17"/>
          <w:u w:val="single" w:color="auto"/>
          <w:color w:val="auto"/>
        </w:rPr>
        <w:t>Schedule 3.01</w:t>
      </w:r>
      <w:r>
        <w:rPr>
          <w:rFonts w:ascii="Arial" w:cs="Arial" w:eastAsia="Arial" w:hAnsi="Arial"/>
          <w:sz w:val="17"/>
          <w:szCs w:val="17"/>
          <w:color w:val="auto"/>
        </w:rPr>
        <w:t xml:space="preserve"> as owned by the Borrower or another Subsidiary are owned, beneficially and of record, by the Borrower or any Subsidiary free and clear of all Liens, other than Liens permitted pursuant to Section 6.02. There are no outstanding commitments or other obligations of the Borrower or any Subsidiary to issue, and no options, warrants or other rights of any Person to acquire, any shares of any class of Equity Interests of the Borrower or any Subsidiary, except for employee stock options.</w:t>
      </w:r>
    </w:p>
    <w:p>
      <w:pPr>
        <w:spacing w:after="0" w:line="156" w:lineRule="exact"/>
        <w:rPr>
          <w:sz w:val="20"/>
          <w:szCs w:val="20"/>
          <w:color w:val="auto"/>
        </w:rPr>
      </w:pPr>
    </w:p>
    <w:p>
      <w:pPr>
        <w:jc w:val="both"/>
        <w:ind w:firstLine="1272"/>
        <w:spacing w:after="0" w:line="215" w:lineRule="auto"/>
        <w:rPr>
          <w:sz w:val="20"/>
          <w:szCs w:val="20"/>
          <w:color w:val="auto"/>
        </w:rPr>
      </w:pPr>
      <w:r>
        <w:rPr>
          <w:rFonts w:ascii="Arial" w:cs="Arial" w:eastAsia="Arial" w:hAnsi="Arial"/>
          <w:sz w:val="19"/>
          <w:szCs w:val="19"/>
          <w:color w:val="010000"/>
        </w:rPr>
        <w:t>SECTION 1.02.</w:t>
      </w:r>
      <w:r>
        <w:rPr>
          <w:rFonts w:ascii="Arial" w:cs="Arial" w:eastAsia="Arial" w:hAnsi="Arial"/>
          <w:sz w:val="19"/>
          <w:szCs w:val="19"/>
          <w:u w:val="single" w:color="auto"/>
          <w:color w:val="000000"/>
        </w:rPr>
        <w:t>Authorization; Enforceability</w:t>
      </w:r>
      <w:r>
        <w:rPr>
          <w:rFonts w:ascii="Arial" w:cs="Arial" w:eastAsia="Arial" w:hAnsi="Arial"/>
          <w:sz w:val="19"/>
          <w:szCs w:val="19"/>
          <w:color w:val="000000"/>
        </w:rPr>
        <w:t>. The Transactions are within each Loan Party’s organizational powers and have</w:t>
      </w:r>
      <w:r>
        <w:rPr>
          <w:rFonts w:ascii="Arial" w:cs="Arial" w:eastAsia="Arial" w:hAnsi="Arial"/>
          <w:sz w:val="19"/>
          <w:szCs w:val="19"/>
          <w:color w:val="010000"/>
        </w:rPr>
        <w:t xml:space="preserve"> </w:t>
      </w:r>
      <w:r>
        <w:rPr>
          <w:rFonts w:ascii="Arial" w:cs="Arial" w:eastAsia="Arial" w:hAnsi="Arial"/>
          <w:sz w:val="19"/>
          <w:szCs w:val="19"/>
          <w:color w:val="000000"/>
        </w:rPr>
        <w:t>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(i) applicable bankruptcy, insolvency, reorganization, moratorium or other laws affecting creditors’ rights generally, (ii) general principles of equity, regardless of whether considered in a proceeding in equity or at law and (iii) requirements of reasonableness, good faith and fair dealing.</w:t>
      </w:r>
    </w:p>
    <w:p>
      <w:pPr>
        <w:spacing w:after="0" w:line="151" w:lineRule="exact"/>
        <w:rPr>
          <w:sz w:val="20"/>
          <w:szCs w:val="20"/>
          <w:color w:val="auto"/>
        </w:rPr>
      </w:pPr>
    </w:p>
    <w:p>
      <w:pPr>
        <w:jc w:val="both"/>
        <w:ind w:firstLine="1272"/>
        <w:spacing w:after="0" w:line="222" w:lineRule="auto"/>
        <w:rPr>
          <w:sz w:val="20"/>
          <w:szCs w:val="20"/>
          <w:color w:val="auto"/>
        </w:rPr>
      </w:pPr>
      <w:r>
        <w:rPr>
          <w:rFonts w:ascii="Arial" w:cs="Arial" w:eastAsia="Arial" w:hAnsi="Arial"/>
          <w:sz w:val="18"/>
          <w:szCs w:val="18"/>
          <w:color w:val="010000"/>
        </w:rPr>
        <w:t xml:space="preserve">SECTION 1.03. </w:t>
      </w:r>
      <w:r>
        <w:rPr>
          <w:rFonts w:ascii="Arial" w:cs="Arial" w:eastAsia="Arial" w:hAnsi="Arial"/>
          <w:sz w:val="18"/>
          <w:szCs w:val="18"/>
          <w:u w:val="single" w:color="auto"/>
          <w:color w:val="000000"/>
        </w:rPr>
        <w:t>Governmental Approvals; No Conflicts</w:t>
      </w:r>
      <w:r>
        <w:rPr>
          <w:rFonts w:ascii="Arial" w:cs="Arial" w:eastAsia="Arial" w:hAnsi="Arial"/>
          <w:sz w:val="18"/>
          <w:szCs w:val="18"/>
          <w:color w:val="000000"/>
        </w:rPr>
        <w:t>. The Transactions (a) do not require any consent or approval of,</w:t>
      </w:r>
      <w:r>
        <w:rPr>
          <w:rFonts w:ascii="Arial" w:cs="Arial" w:eastAsia="Arial" w:hAnsi="Arial"/>
          <w:sz w:val="18"/>
          <w:szCs w:val="18"/>
          <w:color w:val="010000"/>
        </w:rPr>
        <w:t xml:space="preserve"> </w:t>
      </w:r>
      <w:r>
        <w:rPr>
          <w:rFonts w:ascii="Arial" w:cs="Arial" w:eastAsia="Arial" w:hAnsi="Arial"/>
          <w:sz w:val="18"/>
          <w:szCs w:val="18"/>
          <w:color w:val="000000"/>
        </w:rPr>
        <w:t>registration or filing with, or any other action by, any Governmental Authority, except such as have been obtained or made and are in full force and effect and except for filings necessary to perfect Liens created pursuant to the Loan Documents, (b) will not violate in any material respect any applicable material law or regulation or the charter, by-laws, articles of association or other organizational documents of the Borrower or any of its Material Subsidiaries or any material order of any Governmental Authority binding upon the Borrower or any of the Material Subsidiaries or its assets, (c) will not violate or result in a default under any indenture, agreement or other instrument binding upon the Borrower or any of its Subsidiaries or its assets, or give rise to a right thereunder to require any payment to be made by the Borrower or any of its Subsidiaries, except, in the case of this clause (c), for any such violations, defaults or rights that could not reasonably be expected to result in a Material Adverse Effect, and (d) will not result in the creation or imposition of any Lien on any asset of the Borrower or any of its Material Subsidiaries, other than Liens created under the Loan Documents.</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1.04.</w:t>
      </w:r>
      <w:r>
        <w:rPr>
          <w:rFonts w:ascii="Arial" w:cs="Arial" w:eastAsia="Arial" w:hAnsi="Arial"/>
          <w:sz w:val="19"/>
          <w:szCs w:val="19"/>
          <w:u w:val="single" w:color="auto"/>
          <w:color w:val="000000"/>
        </w:rPr>
        <w:t>Financial Condition; No Material Adverse Change</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26" w:lineRule="auto"/>
        <w:tabs>
          <w:tab w:leader="none" w:pos="1898"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The Borrower has heretofore furnished to the Lenders its consolidated balance sheet and statements of income, stockholders equity and cash flows (i) as of and for the fiscal year ended March 31, 2021 reported on by Ernst &amp; Young LLP, independent public accountants, and (ii) as of and for the fiscal quarters and the portion of the fiscal year ended June 30, 2021 and September 30, 2021, certified by its chief financial officer. Such financial statements present fairly, in all material respects, the financial position and results of operations and cash flows of the Borrower and its consolidated Subsidiaries as of such dates and for such periods in accordance with GAAP, subject to year-end audit adjustments and the absence of footnotes in the case of the statements referred to in clause (ii) above.</w:t>
      </w:r>
    </w:p>
    <w:p>
      <w:pPr>
        <w:spacing w:after="0" w:line="155" w:lineRule="exact"/>
        <w:rPr>
          <w:rFonts w:ascii="Arial" w:cs="Arial" w:eastAsia="Arial" w:hAnsi="Arial"/>
          <w:sz w:val="18"/>
          <w:szCs w:val="18"/>
          <w:color w:val="010000"/>
        </w:rPr>
      </w:pPr>
    </w:p>
    <w:p>
      <w:pPr>
        <w:ind w:firstLine="1278"/>
        <w:spacing w:after="0" w:line="237" w:lineRule="auto"/>
        <w:tabs>
          <w:tab w:leader="none" w:pos="1896" w:val="left"/>
        </w:tabs>
        <w:numPr>
          <w:ilvl w:val="0"/>
          <w:numId w:val="106"/>
        </w:numPr>
        <w:rPr>
          <w:rFonts w:ascii="Arial" w:cs="Arial" w:eastAsia="Arial" w:hAnsi="Arial"/>
          <w:sz w:val="19"/>
          <w:szCs w:val="19"/>
          <w:color w:val="010000"/>
        </w:rPr>
      </w:pPr>
      <w:r>
        <w:rPr>
          <w:rFonts w:ascii="Arial" w:cs="Arial" w:eastAsia="Arial" w:hAnsi="Arial"/>
          <w:sz w:val="19"/>
          <w:szCs w:val="19"/>
          <w:color w:val="auto"/>
        </w:rPr>
        <w:t>Since March 31, 2021, there has been no material adverse change in the business, assets, operations or financial condition of the Borrower and its Subsidiaries, taken as a whole.</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1.05.</w:t>
      </w:r>
      <w:r>
        <w:rPr>
          <w:rFonts w:ascii="Arial" w:cs="Arial" w:eastAsia="Arial" w:hAnsi="Arial"/>
          <w:sz w:val="19"/>
          <w:szCs w:val="19"/>
          <w:u w:val="single" w:color="auto"/>
          <w:color w:val="000000"/>
        </w:rPr>
        <w:t>Properties</w:t>
      </w:r>
      <w:r>
        <w:rPr>
          <w:rFonts w:ascii="Arial" w:cs="Arial" w:eastAsia="Arial" w:hAnsi="Arial"/>
          <w:sz w:val="19"/>
          <w:szCs w:val="19"/>
          <w:color w:val="000000"/>
        </w:rPr>
        <w:t>.</w:t>
      </w:r>
    </w:p>
    <w:p>
      <w:pPr>
        <w:spacing w:after="0" w:line="179" w:lineRule="exact"/>
        <w:rPr>
          <w:sz w:val="20"/>
          <w:szCs w:val="20"/>
          <w:color w:val="auto"/>
        </w:rPr>
      </w:pPr>
    </w:p>
    <w:p>
      <w:pPr>
        <w:ind w:firstLine="1278"/>
        <w:spacing w:after="0" w:line="237" w:lineRule="auto"/>
        <w:tabs>
          <w:tab w:leader="none" w:pos="1898" w:val="left"/>
        </w:tabs>
        <w:numPr>
          <w:ilvl w:val="0"/>
          <w:numId w:val="107"/>
        </w:numPr>
        <w:rPr>
          <w:rFonts w:ascii="Arial" w:cs="Arial" w:eastAsia="Arial" w:hAnsi="Arial"/>
          <w:sz w:val="19"/>
          <w:szCs w:val="19"/>
          <w:color w:val="010000"/>
        </w:rPr>
      </w:pPr>
      <w:r>
        <w:rPr>
          <w:rFonts w:ascii="Arial" w:cs="Arial" w:eastAsia="Arial" w:hAnsi="Arial"/>
          <w:sz w:val="19"/>
          <w:szCs w:val="19"/>
          <w:color w:val="auto"/>
        </w:rPr>
        <w:t>Except for Liens permitted pursuant to Section 6.02, each of the Borrower and its Subsidiaries has good title to, or (to the knowledge of the Borrower or any Subsidiary) valid leasehold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ectPr>
          <w:pgSz w:w="11900" w:h="16838" w:orient="portrait"/>
          <w:cols w:equalWidth="0" w:num="1">
            <w:col w:w="11240"/>
          </w:cols>
          <w:pgMar w:left="320" w:top="1381" w:right="339" w:bottom="1440" w:gutter="0" w:footer="0" w:header="0"/>
        </w:sectPr>
      </w:pPr>
    </w:p>
    <w:bookmarkStart w:id="94" w:name="page95"/>
    <w:bookmarkEnd w:id="94"/>
    <w:p>
      <w:pPr>
        <w:spacing w:after="0" w:line="237" w:lineRule="auto"/>
        <w:rPr>
          <w:sz w:val="20"/>
          <w:szCs w:val="20"/>
          <w:color w:val="auto"/>
        </w:rPr>
      </w:pPr>
      <w:r>
        <w:rPr>
          <w:rFonts w:ascii="Arial" w:cs="Arial" w:eastAsia="Arial" w:hAnsi="Arial"/>
          <w:sz w:val="19"/>
          <w:szCs w:val="19"/>
          <w:color w:val="auto"/>
        </w:rPr>
        <w:t>interests in, all its real and personal property (other than intellectual property, which is subject to Section 3.05(b)) material to its business, except as could not reasonably be expected to result in a Material Adverse Effect.</w:t>
      </w:r>
    </w:p>
    <w:p>
      <w:pPr>
        <w:spacing w:after="0" w:line="151" w:lineRule="exact"/>
        <w:rPr>
          <w:sz w:val="20"/>
          <w:szCs w:val="20"/>
          <w:color w:val="auto"/>
        </w:rPr>
      </w:pPr>
    </w:p>
    <w:p>
      <w:pPr>
        <w:jc w:val="both"/>
        <w:ind w:firstLine="1278"/>
        <w:spacing w:after="0" w:line="217" w:lineRule="auto"/>
        <w:tabs>
          <w:tab w:leader="none" w:pos="1896" w:val="left"/>
        </w:tabs>
        <w:numPr>
          <w:ilvl w:val="0"/>
          <w:numId w:val="108"/>
        </w:numPr>
        <w:rPr>
          <w:rFonts w:ascii="Arial" w:cs="Arial" w:eastAsia="Arial" w:hAnsi="Arial"/>
          <w:sz w:val="19"/>
          <w:szCs w:val="19"/>
          <w:color w:val="010000"/>
        </w:rPr>
      </w:pPr>
      <w:r>
        <w:rPr>
          <w:rFonts w:ascii="Arial" w:cs="Arial" w:eastAsia="Arial" w:hAnsi="Arial"/>
          <w:sz w:val="19"/>
          <w:szCs w:val="19"/>
          <w:color w:val="auto"/>
        </w:rPr>
        <w:t>Each of the Borrower and its Subsidiaries owns, or is licensed to use (subject to the knowledge-qualified infringement representation in this Section 3.05(b)), all trademarks, trade names, copyrights, patents and other intellectual property material to its business, and the use thereof by the Borrower and its Subsidiaries, to any Loan Party’s knowledge, does not infringe upon the rights of any other Person, except for any such infringements, or ownership or license issues, that, individually or in the aggregate, could not reasonably be expected to result in a Material Adverse Effect.</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1.06.</w:t>
      </w:r>
      <w:r>
        <w:rPr>
          <w:rFonts w:ascii="Arial" w:cs="Arial" w:eastAsia="Arial" w:hAnsi="Arial"/>
          <w:sz w:val="19"/>
          <w:szCs w:val="19"/>
          <w:u w:val="single" w:color="auto"/>
          <w:color w:val="000000"/>
        </w:rPr>
        <w:t>Litigation and Environmental Matters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20" w:lineRule="auto"/>
        <w:tabs>
          <w:tab w:leader="none" w:pos="1898" w:val="left"/>
        </w:tabs>
        <w:numPr>
          <w:ilvl w:val="0"/>
          <w:numId w:val="109"/>
        </w:numPr>
        <w:rPr>
          <w:rFonts w:ascii="Arial" w:cs="Arial" w:eastAsia="Arial" w:hAnsi="Arial"/>
          <w:sz w:val="19"/>
          <w:szCs w:val="19"/>
          <w:color w:val="010000"/>
        </w:rPr>
      </w:pPr>
      <w:r>
        <w:rPr>
          <w:rFonts w:ascii="Arial" w:cs="Arial" w:eastAsia="Arial" w:hAnsi="Arial"/>
          <w:sz w:val="19"/>
          <w:szCs w:val="19"/>
          <w:color w:val="auto"/>
        </w:rPr>
        <w:t>There are no actions, suits, proceedings or investigations by or before any arbitrator or Governmental Authority pending against or, to the knowledge of the Borrower, threatened in writing against or affecting the Borrower or any of its Subsidiaries (i) that could reasonably be expected, individually or in the aggregate, to result in a Material Adverse Effect or (ii) that involve this Agreement or the Transactions.</w:t>
      </w:r>
    </w:p>
    <w:p>
      <w:pPr>
        <w:spacing w:after="0" w:line="152" w:lineRule="exact"/>
        <w:rPr>
          <w:rFonts w:ascii="Arial" w:cs="Arial" w:eastAsia="Arial" w:hAnsi="Arial"/>
          <w:sz w:val="19"/>
          <w:szCs w:val="19"/>
          <w:color w:val="010000"/>
        </w:rPr>
      </w:pPr>
    </w:p>
    <w:p>
      <w:pPr>
        <w:jc w:val="both"/>
        <w:ind w:firstLine="1278"/>
        <w:spacing w:after="0" w:line="220" w:lineRule="auto"/>
        <w:tabs>
          <w:tab w:leader="none" w:pos="1896" w:val="left"/>
        </w:tabs>
        <w:numPr>
          <w:ilvl w:val="0"/>
          <w:numId w:val="109"/>
        </w:numPr>
        <w:rPr>
          <w:rFonts w:ascii="Arial" w:cs="Arial" w:eastAsia="Arial" w:hAnsi="Arial"/>
          <w:sz w:val="19"/>
          <w:szCs w:val="19"/>
          <w:color w:val="010000"/>
        </w:rPr>
      </w:pPr>
      <w:r>
        <w:rPr>
          <w:rFonts w:ascii="Arial" w:cs="Arial" w:eastAsia="Arial" w:hAnsi="Arial"/>
          <w:sz w:val="19"/>
          <w:szCs w:val="19"/>
          <w:color w:val="auto"/>
        </w:rPr>
        <w:t>Except with respect to matters that, individually or in the aggregate, could not reasonably be expected to result in a Material Adverse Effect, neither the Borrower nor any of its Subsidiaries (i) has failed to comply with any Environmental Law or to obtain, maintain or comply with any permit, license or other approval required under any Environmental Law, (ii) is subject to any Environmental Liability or (iii) has received written notice of any claim with respect to any Environmental Liability.</w:t>
      </w:r>
    </w:p>
    <w:p>
      <w:pPr>
        <w:spacing w:after="0" w:line="153"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010000"/>
        </w:rPr>
        <w:t>SECTION 1.07.</w:t>
      </w:r>
      <w:r>
        <w:rPr>
          <w:rFonts w:ascii="Arial" w:cs="Arial" w:eastAsia="Arial" w:hAnsi="Arial"/>
          <w:sz w:val="19"/>
          <w:szCs w:val="19"/>
          <w:u w:val="single" w:color="auto"/>
          <w:color w:val="000000"/>
        </w:rPr>
        <w:t>Compliance with Laws and Agreements</w:t>
      </w:r>
      <w:r>
        <w:rPr>
          <w:rFonts w:ascii="Arial" w:cs="Arial" w:eastAsia="Arial" w:hAnsi="Arial"/>
          <w:sz w:val="19"/>
          <w:szCs w:val="19"/>
          <w:color w:val="000000"/>
        </w:rPr>
        <w:t>. Each of the Borrower and its Subsidiaries is in compliance with all</w:t>
      </w:r>
      <w:r>
        <w:rPr>
          <w:rFonts w:ascii="Arial" w:cs="Arial" w:eastAsia="Arial" w:hAnsi="Arial"/>
          <w:sz w:val="19"/>
          <w:szCs w:val="19"/>
          <w:color w:val="010000"/>
        </w:rPr>
        <w:t xml:space="preserve"> </w:t>
      </w:r>
      <w:r>
        <w:rPr>
          <w:rFonts w:ascii="Arial" w:cs="Arial" w:eastAsia="Arial" w:hAnsi="Arial"/>
          <w:sz w:val="19"/>
          <w:szCs w:val="19"/>
          <w:color w:val="000000"/>
        </w:rPr>
        <w:t>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53"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010000"/>
        </w:rPr>
        <w:t>SECTION 1.08.</w:t>
      </w:r>
      <w:r>
        <w:rPr>
          <w:rFonts w:ascii="Arial" w:cs="Arial" w:eastAsia="Arial" w:hAnsi="Arial"/>
          <w:sz w:val="19"/>
          <w:szCs w:val="19"/>
          <w:u w:val="single" w:color="auto"/>
          <w:color w:val="000000"/>
        </w:rPr>
        <w:t>Investment Company Status</w:t>
      </w:r>
      <w:r>
        <w:rPr>
          <w:rFonts w:ascii="Arial" w:cs="Arial" w:eastAsia="Arial" w:hAnsi="Arial"/>
          <w:sz w:val="19"/>
          <w:szCs w:val="19"/>
          <w:color w:val="000000"/>
        </w:rPr>
        <w:t>. Neither the Borrower nor any of its Subsidiaries is an “investment company” as</w:t>
      </w:r>
      <w:r>
        <w:rPr>
          <w:rFonts w:ascii="Arial" w:cs="Arial" w:eastAsia="Arial" w:hAnsi="Arial"/>
          <w:sz w:val="19"/>
          <w:szCs w:val="19"/>
          <w:color w:val="010000"/>
        </w:rPr>
        <w:t xml:space="preserve"> </w:t>
      </w:r>
      <w:r>
        <w:rPr>
          <w:rFonts w:ascii="Arial" w:cs="Arial" w:eastAsia="Arial" w:hAnsi="Arial"/>
          <w:sz w:val="19"/>
          <w:szCs w:val="19"/>
          <w:color w:val="000000"/>
        </w:rPr>
        <w:t>defined in, or subject to regulation as an “investment company” under, the Investment Company Act of 1940.</w:t>
      </w:r>
    </w:p>
    <w:p>
      <w:pPr>
        <w:spacing w:after="0" w:line="151" w:lineRule="exact"/>
        <w:rPr>
          <w:sz w:val="20"/>
          <w:szCs w:val="20"/>
          <w:color w:val="auto"/>
        </w:rPr>
      </w:pPr>
    </w:p>
    <w:p>
      <w:pPr>
        <w:jc w:val="both"/>
        <w:ind w:firstLine="1272"/>
        <w:spacing w:after="0" w:line="243" w:lineRule="auto"/>
        <w:rPr>
          <w:sz w:val="20"/>
          <w:szCs w:val="20"/>
          <w:color w:val="auto"/>
        </w:rPr>
      </w:pPr>
      <w:r>
        <w:rPr>
          <w:rFonts w:ascii="Arial" w:cs="Arial" w:eastAsia="Arial" w:hAnsi="Arial"/>
          <w:sz w:val="17"/>
          <w:szCs w:val="17"/>
          <w:color w:val="010000"/>
        </w:rPr>
        <w:t>SECTION 1.09.</w:t>
      </w:r>
      <w:r>
        <w:rPr>
          <w:rFonts w:ascii="Arial" w:cs="Arial" w:eastAsia="Arial" w:hAnsi="Arial"/>
          <w:sz w:val="17"/>
          <w:szCs w:val="17"/>
          <w:u w:val="single" w:color="auto"/>
          <w:color w:val="000000"/>
        </w:rPr>
        <w:t>Taxes</w:t>
      </w:r>
      <w:r>
        <w:rPr>
          <w:rFonts w:ascii="Arial" w:cs="Arial" w:eastAsia="Arial" w:hAnsi="Arial"/>
          <w:sz w:val="17"/>
          <w:szCs w:val="17"/>
          <w:color w:val="000000"/>
        </w:rPr>
        <w:t>. Each of the Borrower and its Subsidiaries has timely filed or caused to be filed all federal income Tax</w:t>
      </w:r>
      <w:r>
        <w:rPr>
          <w:rFonts w:ascii="Arial" w:cs="Arial" w:eastAsia="Arial" w:hAnsi="Arial"/>
          <w:sz w:val="17"/>
          <w:szCs w:val="17"/>
          <w:color w:val="010000"/>
        </w:rPr>
        <w:t xml:space="preserve"> </w:t>
      </w:r>
      <w:r>
        <w:rPr>
          <w:rFonts w:ascii="Arial" w:cs="Arial" w:eastAsia="Arial" w:hAnsi="Arial"/>
          <w:sz w:val="17"/>
          <w:szCs w:val="17"/>
          <w:color w:val="000000"/>
        </w:rPr>
        <w:t>returns and all other material Tax returns and reports required to have been filed by it and has paid, caused to be paid or made a provision for the payment of all federal income Taxes and all other material Taxes required to have been paid by it, except (a) Taxes that are being contested in good faith by appropriate proceedings and for which the Borrower or such Subsidiary, as applicable, has set aside on its books adequate reserves in accordance with GAAP or (b) to the extent that the failure to do so could not reasonably be expected to result in a Material Adverse Effect.</w:t>
      </w:r>
    </w:p>
    <w:p>
      <w:pPr>
        <w:spacing w:after="0" w:line="150"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010000"/>
        </w:rPr>
        <w:t>SECTION 1.10.</w:t>
      </w:r>
      <w:r>
        <w:rPr>
          <w:rFonts w:ascii="Arial" w:cs="Arial" w:eastAsia="Arial" w:hAnsi="Arial"/>
          <w:sz w:val="19"/>
          <w:szCs w:val="19"/>
          <w:u w:val="single" w:color="auto"/>
          <w:color w:val="000000"/>
        </w:rPr>
        <w:t>ERISA</w:t>
      </w:r>
      <w:r>
        <w:rPr>
          <w:rFonts w:ascii="Arial" w:cs="Arial" w:eastAsia="Arial" w:hAnsi="Arial"/>
          <w:sz w:val="19"/>
          <w:szCs w:val="19"/>
          <w:color w:val="000000"/>
        </w:rPr>
        <w:t>. No ERISA Event has occurred or is reasonably expected to occur that, when taken together with all</w:t>
      </w:r>
      <w:r>
        <w:rPr>
          <w:rFonts w:ascii="Arial" w:cs="Arial" w:eastAsia="Arial" w:hAnsi="Arial"/>
          <w:sz w:val="19"/>
          <w:szCs w:val="19"/>
          <w:color w:val="010000"/>
        </w:rPr>
        <w:t xml:space="preserve"> </w:t>
      </w:r>
      <w:r>
        <w:rPr>
          <w:rFonts w:ascii="Arial" w:cs="Arial" w:eastAsia="Arial" w:hAnsi="Arial"/>
          <w:sz w:val="19"/>
          <w:szCs w:val="19"/>
          <w:color w:val="000000"/>
        </w:rPr>
        <w:t>other such ERISA Events for which liability is reasonably expected to occur, could reasonably be expected to result in a Material Adverse Effect.</w:t>
      </w:r>
    </w:p>
    <w:p>
      <w:pPr>
        <w:spacing w:after="0" w:line="151" w:lineRule="exact"/>
        <w:rPr>
          <w:sz w:val="20"/>
          <w:szCs w:val="20"/>
          <w:color w:val="auto"/>
        </w:rPr>
      </w:pPr>
    </w:p>
    <w:p>
      <w:pPr>
        <w:jc w:val="both"/>
        <w:ind w:firstLine="1272"/>
        <w:spacing w:after="0" w:line="212" w:lineRule="auto"/>
        <w:rPr>
          <w:sz w:val="20"/>
          <w:szCs w:val="20"/>
          <w:color w:val="auto"/>
        </w:rPr>
      </w:pPr>
      <w:r>
        <w:rPr>
          <w:rFonts w:ascii="Arial" w:cs="Arial" w:eastAsia="Arial" w:hAnsi="Arial"/>
          <w:sz w:val="19"/>
          <w:szCs w:val="19"/>
          <w:color w:val="010000"/>
        </w:rPr>
        <w:t>SECTION 1.11.</w:t>
      </w:r>
      <w:r>
        <w:rPr>
          <w:rFonts w:ascii="Arial" w:cs="Arial" w:eastAsia="Arial" w:hAnsi="Arial"/>
          <w:sz w:val="19"/>
          <w:szCs w:val="19"/>
          <w:u w:val="single" w:color="auto"/>
          <w:color w:val="000000"/>
        </w:rPr>
        <w:t>Disclosure</w:t>
      </w:r>
      <w:r>
        <w:rPr>
          <w:rFonts w:ascii="Arial" w:cs="Arial" w:eastAsia="Arial" w:hAnsi="Arial"/>
          <w:sz w:val="19"/>
          <w:szCs w:val="19"/>
          <w:color w:val="000000"/>
        </w:rPr>
        <w:t>. As of the Effective Date, the Borrower has disclosed to the Lenders all matters known to it that,</w:t>
      </w:r>
      <w:r>
        <w:rPr>
          <w:rFonts w:ascii="Arial" w:cs="Arial" w:eastAsia="Arial" w:hAnsi="Arial"/>
          <w:sz w:val="19"/>
          <w:szCs w:val="19"/>
          <w:color w:val="010000"/>
        </w:rPr>
        <w:t xml:space="preserve"> </w:t>
      </w:r>
      <w:r>
        <w:rPr>
          <w:rFonts w:ascii="Arial" w:cs="Arial" w:eastAsia="Arial" w:hAnsi="Arial"/>
          <w:sz w:val="19"/>
          <w:szCs w:val="19"/>
          <w:color w:val="000000"/>
        </w:rPr>
        <w:t>individually or in the aggregate, could reasonably be expected to result in a Material Adverse Effect. All written information, other than any projections, estimates, forecasts and other forward-looking information and information of a general economic or industry-specific nature furnished by or on behalf of the Borrower or any Subsidiary to the Administrative Agent or any Lender pursuant to or in connection with this Agreement or any other Loan Document, when taken as a whole and after giving effect to all supplements and updates thereto, does not (when furnished) contain any untrue statement of material fact or omit to state a material fact necessary in order to make the statements contained therein not materially misleading (when taken as a whole) in light of the circumstances under which such statements are made; provided that, with respect to forecasts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1240"/>
          </w:cols>
          <w:pgMar w:left="320" w:top="1381" w:right="339" w:bottom="1440" w:gutter="0" w:footer="0" w:header="0"/>
        </w:sectPr>
      </w:pPr>
    </w:p>
    <w:bookmarkStart w:id="95" w:name="page96"/>
    <w:bookmarkEnd w:id="95"/>
    <w:p>
      <w:pPr>
        <w:jc w:val="both"/>
        <w:spacing w:after="0"/>
        <w:rPr>
          <w:sz w:val="20"/>
          <w:szCs w:val="20"/>
          <w:color w:val="auto"/>
        </w:rPr>
      </w:pPr>
      <w:r>
        <w:rPr>
          <w:rFonts w:ascii="Arial" w:cs="Arial" w:eastAsia="Arial" w:hAnsi="Arial"/>
          <w:sz w:val="17"/>
          <w:szCs w:val="17"/>
          <w:color w:val="auto"/>
        </w:rPr>
        <w:t>projections, the Borrower represents only that such information was prepared in good faith based upon assumptions believed by the Borrower to be reasonable at the time prepared (it being understood by the Administrative Agent and the Lenders that any such projections are not to be viewed as facts that are subject to significant uncertainties and contingencies, many of which are beyond the control of the Borrower and its Subsidiaries, that no assurances can be given that such projections will be realized and that actual results may differ materially from such projections). 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52"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010000"/>
        </w:rPr>
        <w:t>SECTION 1.12.</w:t>
      </w:r>
      <w:r>
        <w:rPr>
          <w:rFonts w:ascii="Arial" w:cs="Arial" w:eastAsia="Arial" w:hAnsi="Arial"/>
          <w:sz w:val="19"/>
          <w:szCs w:val="19"/>
          <w:u w:val="single" w:color="auto"/>
          <w:color w:val="000000"/>
        </w:rPr>
        <w:t>Liens</w:t>
      </w:r>
      <w:r>
        <w:rPr>
          <w:rFonts w:ascii="Arial" w:cs="Arial" w:eastAsia="Arial" w:hAnsi="Arial"/>
          <w:sz w:val="19"/>
          <w:szCs w:val="19"/>
          <w:color w:val="000000"/>
        </w:rPr>
        <w:t>. There are no Liens on any of the real or personal properties of the Borrower or any Subsidiary except for</w:t>
      </w:r>
      <w:r>
        <w:rPr>
          <w:rFonts w:ascii="Arial" w:cs="Arial" w:eastAsia="Arial" w:hAnsi="Arial"/>
          <w:sz w:val="19"/>
          <w:szCs w:val="19"/>
          <w:color w:val="010000"/>
        </w:rPr>
        <w:t xml:space="preserve"> </w:t>
      </w:r>
      <w:r>
        <w:rPr>
          <w:rFonts w:ascii="Arial" w:cs="Arial" w:eastAsia="Arial" w:hAnsi="Arial"/>
          <w:sz w:val="19"/>
          <w:szCs w:val="19"/>
          <w:color w:val="000000"/>
        </w:rPr>
        <w:t xml:space="preserve">Liens permitted pursuant to Section 6.02 (including </w:t>
      </w:r>
      <w:r>
        <w:rPr>
          <w:rFonts w:ascii="Arial" w:cs="Arial" w:eastAsia="Arial" w:hAnsi="Arial"/>
          <w:sz w:val="19"/>
          <w:szCs w:val="19"/>
          <w:u w:val="single" w:color="auto"/>
          <w:color w:val="000000"/>
        </w:rPr>
        <w:t>Schedule 6.02</w:t>
      </w:r>
      <w:r>
        <w:rPr>
          <w:rFonts w:ascii="Arial" w:cs="Arial" w:eastAsia="Arial" w:hAnsi="Arial"/>
          <w:sz w:val="19"/>
          <w:szCs w:val="19"/>
          <w:color w:val="000000"/>
        </w:rPr>
        <w:t>).</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1.13.</w:t>
      </w:r>
      <w:r>
        <w:rPr>
          <w:rFonts w:ascii="Arial" w:cs="Arial" w:eastAsia="Arial" w:hAnsi="Arial"/>
          <w:sz w:val="19"/>
          <w:szCs w:val="19"/>
          <w:u w:val="single" w:color="auto"/>
          <w:color w:val="000000"/>
        </w:rPr>
        <w:t>No Default</w:t>
      </w:r>
      <w:r>
        <w:rPr>
          <w:rFonts w:ascii="Arial" w:cs="Arial" w:eastAsia="Arial" w:hAnsi="Arial"/>
          <w:sz w:val="19"/>
          <w:szCs w:val="19"/>
          <w:color w:val="000000"/>
        </w:rPr>
        <w:t>. No Default or Event of Default has occurred and is continuing.</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1.14.</w:t>
      </w:r>
      <w:r>
        <w:rPr>
          <w:rFonts w:ascii="Arial" w:cs="Arial" w:eastAsia="Arial" w:hAnsi="Arial"/>
          <w:sz w:val="19"/>
          <w:szCs w:val="19"/>
          <w:u w:val="single" w:color="auto"/>
          <w:color w:val="000000"/>
        </w:rPr>
        <w:t>Solvency</w:t>
      </w:r>
      <w:r>
        <w:rPr>
          <w:rFonts w:ascii="Arial" w:cs="Arial" w:eastAsia="Arial" w:hAnsi="Arial"/>
          <w:sz w:val="19"/>
          <w:szCs w:val="19"/>
          <w:color w:val="000000"/>
        </w:rPr>
        <w:t>. The Borrower and its Subsidiaries taken as a whole are Solvent as of the Effective Date.</w:t>
      </w:r>
    </w:p>
    <w:p>
      <w:pPr>
        <w:spacing w:after="0" w:line="179"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010000"/>
        </w:rPr>
        <w:t>SECTION 1.15.</w:t>
      </w:r>
      <w:r>
        <w:rPr>
          <w:rFonts w:ascii="Arial" w:cs="Arial" w:eastAsia="Arial" w:hAnsi="Arial"/>
          <w:sz w:val="19"/>
          <w:szCs w:val="19"/>
          <w:u w:val="single" w:color="auto"/>
          <w:color w:val="000000"/>
        </w:rPr>
        <w:t>Insurance</w:t>
      </w:r>
      <w:r>
        <w:rPr>
          <w:rFonts w:ascii="Arial" w:cs="Arial" w:eastAsia="Arial" w:hAnsi="Arial"/>
          <w:sz w:val="19"/>
          <w:szCs w:val="19"/>
          <w:color w:val="000000"/>
        </w:rPr>
        <w:t>. The Borrower maintains, and has caused each Subsidiary to maintain, with financially sound and</w:t>
      </w:r>
      <w:r>
        <w:rPr>
          <w:rFonts w:ascii="Arial" w:cs="Arial" w:eastAsia="Arial" w:hAnsi="Arial"/>
          <w:sz w:val="19"/>
          <w:szCs w:val="19"/>
          <w:color w:val="010000"/>
        </w:rPr>
        <w:t xml:space="preserve"> </w:t>
      </w:r>
      <w:r>
        <w:rPr>
          <w:rFonts w:ascii="Arial" w:cs="Arial" w:eastAsia="Arial" w:hAnsi="Arial"/>
          <w:sz w:val="19"/>
          <w:szCs w:val="19"/>
          <w:color w:val="000000"/>
        </w:rPr>
        <w:t>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53" w:lineRule="exact"/>
        <w:rPr>
          <w:sz w:val="20"/>
          <w:szCs w:val="20"/>
          <w:color w:val="auto"/>
        </w:rPr>
      </w:pPr>
    </w:p>
    <w:p>
      <w:pPr>
        <w:jc w:val="both"/>
        <w:ind w:firstLine="1272"/>
        <w:spacing w:after="0" w:line="238" w:lineRule="auto"/>
        <w:rPr>
          <w:sz w:val="20"/>
          <w:szCs w:val="20"/>
          <w:color w:val="auto"/>
        </w:rPr>
      </w:pPr>
      <w:r>
        <w:rPr>
          <w:rFonts w:ascii="Arial" w:cs="Arial" w:eastAsia="Arial" w:hAnsi="Arial"/>
          <w:sz w:val="17"/>
          <w:szCs w:val="17"/>
          <w:color w:val="010000"/>
        </w:rPr>
        <w:t>SECTION 1.16.</w:t>
      </w:r>
      <w:r>
        <w:rPr>
          <w:rFonts w:ascii="Arial" w:cs="Arial" w:eastAsia="Arial" w:hAnsi="Arial"/>
          <w:sz w:val="17"/>
          <w:szCs w:val="17"/>
          <w:u w:val="single" w:color="auto"/>
          <w:color w:val="000000"/>
        </w:rPr>
        <w:t>Security Interest in Collateral</w:t>
      </w:r>
      <w:r>
        <w:rPr>
          <w:rFonts w:ascii="Arial" w:cs="Arial" w:eastAsia="Arial" w:hAnsi="Arial"/>
          <w:sz w:val="17"/>
          <w:szCs w:val="17"/>
          <w:color w:val="000000"/>
        </w:rPr>
        <w:t>. The provisions of this Agreement and the other Loan Documents create legal</w:t>
      </w:r>
      <w:r>
        <w:rPr>
          <w:rFonts w:ascii="Arial" w:cs="Arial" w:eastAsia="Arial" w:hAnsi="Arial"/>
          <w:sz w:val="17"/>
          <w:szCs w:val="17"/>
          <w:color w:val="010000"/>
        </w:rPr>
        <w:t xml:space="preserve"> </w:t>
      </w:r>
      <w:r>
        <w:rPr>
          <w:rFonts w:ascii="Arial" w:cs="Arial" w:eastAsia="Arial" w:hAnsi="Arial"/>
          <w:sz w:val="17"/>
          <w:szCs w:val="17"/>
          <w:color w:val="000000"/>
        </w:rPr>
        <w:t>and valid perfected Liens on all the Collateral in favor of the Administrative Agent, for the benefit of the Secured Parties, and such Liens constitute perfected and continuing Liens on the Collateral, securing the Secured Obligations, according to the terms and conditions agreed in each Collateral Document,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and (b) Liens perfected only by possession (including possession of any certificate of title) or control to the extent the Administrative Agent has not obtained or does not maintain possession of such Collateral.</w:t>
      </w:r>
    </w:p>
    <w:p>
      <w:pPr>
        <w:spacing w:after="0" w:line="154" w:lineRule="exact"/>
        <w:rPr>
          <w:sz w:val="20"/>
          <w:szCs w:val="20"/>
          <w:color w:val="auto"/>
        </w:rPr>
      </w:pPr>
    </w:p>
    <w:p>
      <w:pPr>
        <w:jc w:val="both"/>
        <w:ind w:firstLine="1272"/>
        <w:spacing w:after="0" w:line="224" w:lineRule="auto"/>
        <w:rPr>
          <w:sz w:val="20"/>
          <w:szCs w:val="20"/>
          <w:color w:val="auto"/>
        </w:rPr>
      </w:pPr>
      <w:r>
        <w:rPr>
          <w:rFonts w:ascii="Arial" w:cs="Arial" w:eastAsia="Arial" w:hAnsi="Arial"/>
          <w:sz w:val="18"/>
          <w:szCs w:val="18"/>
          <w:color w:val="010000"/>
        </w:rPr>
        <w:t>SECTION 1.17.</w:t>
      </w:r>
      <w:r>
        <w:rPr>
          <w:rFonts w:ascii="Arial" w:cs="Arial" w:eastAsia="Arial" w:hAnsi="Arial"/>
          <w:sz w:val="18"/>
          <w:szCs w:val="18"/>
          <w:u w:val="single" w:color="auto"/>
          <w:color w:val="000000"/>
        </w:rPr>
        <w:t>Anti-Corruption Laws and Sanctions</w:t>
      </w:r>
      <w:r>
        <w:rPr>
          <w:rFonts w:ascii="Arial" w:cs="Arial" w:eastAsia="Arial" w:hAnsi="Arial"/>
          <w:sz w:val="18"/>
          <w:szCs w:val="18"/>
          <w:color w:val="000000"/>
        </w:rPr>
        <w:t>. The Borrower has implemented and maintains in effect policies and</w:t>
      </w:r>
      <w:r>
        <w:rPr>
          <w:rFonts w:ascii="Arial" w:cs="Arial" w:eastAsia="Arial" w:hAnsi="Arial"/>
          <w:sz w:val="18"/>
          <w:szCs w:val="18"/>
          <w:color w:val="010000"/>
        </w:rPr>
        <w:t xml:space="preserve"> </w:t>
      </w:r>
      <w:r>
        <w:rPr>
          <w:rFonts w:ascii="Arial" w:cs="Arial" w:eastAsia="Arial" w:hAnsi="Arial"/>
          <w:sz w:val="18"/>
          <w:szCs w:val="18"/>
          <w:color w:val="000000"/>
        </w:rPr>
        <w:t>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None of (a) the Borrower, any Subsidiary, any of their respective directors or officers or to the knowledge of the Borrower or such Subsidiary employees, or (b) to the knowledge of the Borrower, any agent of the Borrower or any Subsidiary that will act in any capacity in connection with or benefit from the credit facility established hereby, is a Sanctioned Person. No Borrowing or Letter of Credit, use of proceeds or other transaction contemplated by this Agreement will violate any Anti-Corruption Law or applicable Sanctions.</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1.18.</w:t>
      </w:r>
      <w:r>
        <w:rPr>
          <w:rFonts w:ascii="Arial" w:cs="Arial" w:eastAsia="Arial" w:hAnsi="Arial"/>
          <w:sz w:val="19"/>
          <w:szCs w:val="19"/>
          <w:u w:val="single" w:color="auto"/>
          <w:color w:val="000000"/>
        </w:rPr>
        <w:t>Affected Financial Institutions</w:t>
      </w:r>
      <w:r>
        <w:rPr>
          <w:rFonts w:ascii="Arial" w:cs="Arial" w:eastAsia="Arial" w:hAnsi="Arial"/>
          <w:sz w:val="19"/>
          <w:szCs w:val="19"/>
          <w:color w:val="000000"/>
        </w:rPr>
        <w:t>. No Loan Party is an Affected Financial Institution.</w:t>
      </w:r>
    </w:p>
    <w:p>
      <w:pPr>
        <w:spacing w:after="0" w:line="179"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010000"/>
        </w:rPr>
        <w:t>SECTION 1.19.</w:t>
      </w:r>
      <w:r>
        <w:rPr>
          <w:rFonts w:ascii="Arial" w:cs="Arial" w:eastAsia="Arial" w:hAnsi="Arial"/>
          <w:sz w:val="19"/>
          <w:szCs w:val="19"/>
          <w:u w:val="single" w:color="auto"/>
          <w:color w:val="000000"/>
        </w:rPr>
        <w:t>Plan Assets; Prohibited Transactions</w:t>
      </w:r>
      <w:r>
        <w:rPr>
          <w:rFonts w:ascii="Arial" w:cs="Arial" w:eastAsia="Arial" w:hAnsi="Arial"/>
          <w:sz w:val="19"/>
          <w:szCs w:val="19"/>
          <w:color w:val="000000"/>
        </w:rPr>
        <w:t>. None of the Borrower or any of its Subsidiaries is an entity deemed to</w:t>
      </w:r>
      <w:r>
        <w:rPr>
          <w:rFonts w:ascii="Arial" w:cs="Arial" w:eastAsia="Arial" w:hAnsi="Arial"/>
          <w:sz w:val="19"/>
          <w:szCs w:val="19"/>
          <w:color w:val="010000"/>
        </w:rPr>
        <w:t xml:space="preserve"> </w:t>
      </w:r>
      <w:r>
        <w:rPr>
          <w:rFonts w:ascii="Arial" w:cs="Arial" w:eastAsia="Arial" w:hAnsi="Arial"/>
          <w:sz w:val="19"/>
          <w:szCs w:val="19"/>
          <w:color w:val="000000"/>
        </w:rPr>
        <w:t>hold “plan assets” (within the meaning of the Plan Asset Regulations), and, assuming the accuracy of the representations in Section 8.09 hereof,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1240"/>
          </w:cols>
          <w:pgMar w:left="320" w:top="1381" w:right="339" w:bottom="1440" w:gutter="0" w:footer="0" w:header="0"/>
        </w:sectPr>
      </w:pPr>
    </w:p>
    <w:bookmarkStart w:id="96" w:name="page97"/>
    <w:bookmarkEnd w:id="96"/>
    <w:p>
      <w:pPr>
        <w:jc w:val="both"/>
        <w:ind w:firstLine="1272"/>
        <w:spacing w:after="0" w:line="229" w:lineRule="auto"/>
        <w:rPr>
          <w:sz w:val="20"/>
          <w:szCs w:val="20"/>
          <w:color w:val="auto"/>
        </w:rPr>
      </w:pPr>
      <w:r>
        <w:rPr>
          <w:rFonts w:ascii="Arial" w:cs="Arial" w:eastAsia="Arial" w:hAnsi="Arial"/>
          <w:sz w:val="18"/>
          <w:szCs w:val="18"/>
          <w:color w:val="010000"/>
        </w:rPr>
        <w:t>SECTION 1.20.</w:t>
      </w:r>
      <w:r>
        <w:rPr>
          <w:rFonts w:ascii="Arial" w:cs="Arial" w:eastAsia="Arial" w:hAnsi="Arial"/>
          <w:sz w:val="18"/>
          <w:szCs w:val="18"/>
          <w:u w:val="single" w:color="auto"/>
          <w:color w:val="000000"/>
        </w:rPr>
        <w:t>Margin Regulations</w:t>
      </w:r>
      <w:r>
        <w:rPr>
          <w:rFonts w:ascii="Arial" w:cs="Arial" w:eastAsia="Arial" w:hAnsi="Arial"/>
          <w:sz w:val="18"/>
          <w:szCs w:val="18"/>
          <w:color w:val="000000"/>
        </w:rPr>
        <w:t>. The Borrower is not engaged and will not engage, principally or as one of its important</w:t>
      </w:r>
      <w:r>
        <w:rPr>
          <w:rFonts w:ascii="Arial" w:cs="Arial" w:eastAsia="Arial" w:hAnsi="Arial"/>
          <w:sz w:val="18"/>
          <w:szCs w:val="18"/>
          <w:color w:val="010000"/>
        </w:rPr>
        <w:t xml:space="preserve"> </w:t>
      </w:r>
      <w:r>
        <w:rPr>
          <w:rFonts w:ascii="Arial" w:cs="Arial" w:eastAsia="Arial" w:hAnsi="Arial"/>
          <w:sz w:val="18"/>
          <w:szCs w:val="18"/>
          <w:color w:val="000000"/>
        </w:rPr>
        <w:t>activities, in the business of purchasing or carrying Margin Stock, or extending credit for the purpose of purchasing or carrying Margin Stock, and no part of the proceeds of any Borrowing or Letter of Credit extension hereunder will be used to buy or carry any Margin Stock. Following the application of the proceeds of each Borrowing or drawing under each Letter of Credit, not more than 25% of the value of the assets (either of the Borrower only or of the Borrower and its Subsidiaries on a consolidated basis) will be Margin Stock.</w:t>
      </w:r>
    </w:p>
    <w:p>
      <w:pPr>
        <w:spacing w:after="0" w:line="285"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010000"/>
        </w:rPr>
        <w:t>Article IV</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Conditions</w:t>
      </w:r>
    </w:p>
    <w:p>
      <w:pPr>
        <w:spacing w:after="0" w:line="100"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010000"/>
        </w:rPr>
        <w:t>SECTION 1.01.</w:t>
      </w:r>
      <w:r>
        <w:rPr>
          <w:rFonts w:ascii="Arial" w:cs="Arial" w:eastAsia="Arial" w:hAnsi="Arial"/>
          <w:sz w:val="19"/>
          <w:szCs w:val="19"/>
          <w:u w:val="single" w:color="auto"/>
          <w:color w:val="000000"/>
        </w:rPr>
        <w:t>Effective Date</w:t>
      </w:r>
      <w:r>
        <w:rPr>
          <w:rFonts w:ascii="Arial" w:cs="Arial" w:eastAsia="Arial" w:hAnsi="Arial"/>
          <w:sz w:val="19"/>
          <w:szCs w:val="19"/>
          <w:color w:val="000000"/>
        </w:rPr>
        <w:t>. The obligations of the Lenders to make Loans and of the Issuing Bank to issue Letters of Credit</w:t>
      </w:r>
      <w:r>
        <w:rPr>
          <w:rFonts w:ascii="Arial" w:cs="Arial" w:eastAsia="Arial" w:hAnsi="Arial"/>
          <w:sz w:val="19"/>
          <w:szCs w:val="19"/>
          <w:color w:val="010000"/>
        </w:rPr>
        <w:t xml:space="preserve"> </w:t>
      </w:r>
      <w:r>
        <w:rPr>
          <w:rFonts w:ascii="Arial" w:cs="Arial" w:eastAsia="Arial" w:hAnsi="Arial"/>
          <w:sz w:val="19"/>
          <w:szCs w:val="19"/>
          <w:color w:val="000000"/>
        </w:rPr>
        <w:t>hereunder shall not become effective until the date on which each of the following conditions is satisfied (or waived in accordance with Section 9.02):</w:t>
      </w:r>
    </w:p>
    <w:p>
      <w:pPr>
        <w:spacing w:after="0" w:line="151" w:lineRule="exact"/>
        <w:rPr>
          <w:sz w:val="20"/>
          <w:szCs w:val="20"/>
          <w:color w:val="auto"/>
        </w:rPr>
      </w:pPr>
    </w:p>
    <w:p>
      <w:pPr>
        <w:jc w:val="both"/>
        <w:ind w:left="640" w:firstLine="638"/>
        <w:spacing w:after="0" w:line="226" w:lineRule="auto"/>
        <w:tabs>
          <w:tab w:leader="none" w:pos="1902" w:val="left"/>
        </w:tabs>
        <w:numPr>
          <w:ilvl w:val="0"/>
          <w:numId w:val="110"/>
        </w:numPr>
        <w:rPr>
          <w:rFonts w:ascii="Arial" w:cs="Arial" w:eastAsia="Arial" w:hAnsi="Arial"/>
          <w:sz w:val="18"/>
          <w:szCs w:val="18"/>
          <w:color w:val="010000"/>
        </w:rPr>
      </w:pPr>
      <w:r>
        <w:rPr>
          <w:rFonts w:ascii="Arial" w:cs="Arial" w:eastAsia="Arial" w:hAnsi="Arial"/>
          <w:sz w:val="18"/>
          <w:szCs w:val="18"/>
          <w:color w:val="auto"/>
        </w:rPr>
        <w:t xml:space="preserve">The Administrative Agent (or its counsel) shall have received (i) from each party hereto a counterpart of this Agreement signed on behalf of such party (which, subject to Section 9.06, may include any Electronic Signatures transmitted by telecopy, emailed pdf, or any other electronic means that reproduces an image of an actual executed signature page) and (ii) duly executed copies of the other Loan Documents and such other legal opinions, certificates, documents, instruments and agreements as the Administrative Agent shall reasonably request in connection with the Transactions, all in form and substance satisfactory to the Administrative Agent and its counsel and as further described in the list of closing documents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55" w:lineRule="exact"/>
        <w:rPr>
          <w:rFonts w:ascii="Arial" w:cs="Arial" w:eastAsia="Arial" w:hAnsi="Arial"/>
          <w:sz w:val="18"/>
          <w:szCs w:val="18"/>
          <w:color w:val="010000"/>
        </w:rPr>
      </w:pPr>
    </w:p>
    <w:p>
      <w:pPr>
        <w:jc w:val="both"/>
        <w:ind w:left="640" w:firstLine="638"/>
        <w:spacing w:after="0" w:line="238" w:lineRule="auto"/>
        <w:tabs>
          <w:tab w:leader="none" w:pos="1900" w:val="left"/>
        </w:tabs>
        <w:numPr>
          <w:ilvl w:val="0"/>
          <w:numId w:val="110"/>
        </w:numPr>
        <w:rPr>
          <w:rFonts w:ascii="Arial" w:cs="Arial" w:eastAsia="Arial" w:hAnsi="Arial"/>
          <w:sz w:val="18"/>
          <w:szCs w:val="18"/>
          <w:color w:val="010000"/>
        </w:rPr>
      </w:pPr>
      <w:r>
        <w:rPr>
          <w:rFonts w:ascii="Arial" w:cs="Arial" w:eastAsia="Arial" w:hAnsi="Arial"/>
          <w:sz w:val="18"/>
          <w:szCs w:val="18"/>
          <w:color w:val="auto"/>
        </w:rPr>
        <w:t>The Administrative Agent shall have received favorable written opinions (addressed to the Administrative Agent and the Lenders and dated the Effective Date) of Mayer Brown LLP, counsel for the Loan Parties, and covering such other matters relating to the Loan Parties, the Loan Documents or the Transactions as the Administrative Agent shall reasonably request.</w:t>
      </w:r>
    </w:p>
    <w:p>
      <w:pPr>
        <w:spacing w:after="0" w:line="152" w:lineRule="exact"/>
        <w:rPr>
          <w:rFonts w:ascii="Arial" w:cs="Arial" w:eastAsia="Arial" w:hAnsi="Arial"/>
          <w:sz w:val="18"/>
          <w:szCs w:val="18"/>
          <w:color w:val="010000"/>
        </w:rPr>
      </w:pPr>
    </w:p>
    <w:p>
      <w:pPr>
        <w:jc w:val="both"/>
        <w:ind w:left="640" w:firstLine="638"/>
        <w:spacing w:after="0" w:line="217" w:lineRule="auto"/>
        <w:tabs>
          <w:tab w:leader="none" w:pos="1902" w:val="left"/>
        </w:tabs>
        <w:numPr>
          <w:ilvl w:val="0"/>
          <w:numId w:val="110"/>
        </w:numPr>
        <w:rPr>
          <w:rFonts w:ascii="Arial" w:cs="Arial" w:eastAsia="Arial" w:hAnsi="Arial"/>
          <w:sz w:val="19"/>
          <w:szCs w:val="19"/>
          <w:color w:val="010000"/>
        </w:rPr>
      </w:pPr>
      <w:r>
        <w:rPr>
          <w:rFonts w:ascii="Arial" w:cs="Arial" w:eastAsia="Arial" w:hAnsi="Arial"/>
          <w:sz w:val="19"/>
          <w:szCs w:val="19"/>
          <w:color w:val="auto"/>
        </w:rPr>
        <w:t xml:space="preserve">The Administrative Agent shall have received such documents and certificates as the Administrative Agent or its counsel may reasonably request relating to the organization, existence and good standing of the initial Loan Parties, the authorization of the Transactions and any other legal matters relating to such Loan Parties, the Loan Documents or the Transactions, all in form and substance reasonably satisfactory to the Administrative Agent and its counsel and as further described in the list of closing documents attached as </w:t>
      </w:r>
      <w:r>
        <w:rPr>
          <w:rFonts w:ascii="Arial" w:cs="Arial" w:eastAsia="Arial" w:hAnsi="Arial"/>
          <w:sz w:val="19"/>
          <w:szCs w:val="19"/>
          <w:u w:val="single" w:color="auto"/>
          <w:color w:val="auto"/>
        </w:rPr>
        <w:t>Exhibit E</w:t>
      </w:r>
      <w:r>
        <w:rPr>
          <w:rFonts w:ascii="Arial" w:cs="Arial" w:eastAsia="Arial" w:hAnsi="Arial"/>
          <w:sz w:val="19"/>
          <w:szCs w:val="19"/>
          <w:color w:val="auto"/>
        </w:rPr>
        <w:t>.</w:t>
      </w:r>
    </w:p>
    <w:p>
      <w:pPr>
        <w:spacing w:after="0" w:line="151" w:lineRule="exact"/>
        <w:rPr>
          <w:rFonts w:ascii="Arial" w:cs="Arial" w:eastAsia="Arial" w:hAnsi="Arial"/>
          <w:sz w:val="19"/>
          <w:szCs w:val="19"/>
          <w:color w:val="010000"/>
        </w:rPr>
      </w:pPr>
    </w:p>
    <w:p>
      <w:pPr>
        <w:jc w:val="both"/>
        <w:ind w:left="640" w:firstLine="638"/>
        <w:spacing w:after="0" w:line="238" w:lineRule="auto"/>
        <w:tabs>
          <w:tab w:leader="none" w:pos="1900" w:val="left"/>
        </w:tabs>
        <w:numPr>
          <w:ilvl w:val="0"/>
          <w:numId w:val="110"/>
        </w:numPr>
        <w:rPr>
          <w:rFonts w:ascii="Arial" w:cs="Arial" w:eastAsia="Arial" w:hAnsi="Arial"/>
          <w:sz w:val="18"/>
          <w:szCs w:val="18"/>
          <w:color w:val="010000"/>
        </w:rPr>
      </w:pPr>
      <w:r>
        <w:rPr>
          <w:rFonts w:ascii="Arial" w:cs="Arial" w:eastAsia="Arial" w:hAnsi="Arial"/>
          <w:sz w:val="18"/>
          <w:szCs w:val="18"/>
          <w:color w:val="auto"/>
        </w:rPr>
        <w:t xml:space="preserve">The Administrative Agent shall have received a certificate, dated the Effective Date and signed by the President, a Vice President or a Financial Officer of the Borrower, certifying (i) that the representations and warranties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and correct as of such date and (ii) that no Default or Event of Default has occurred and is continuing as of such date.</w:t>
      </w:r>
    </w:p>
    <w:p>
      <w:pPr>
        <w:spacing w:after="0" w:line="152" w:lineRule="exact"/>
        <w:rPr>
          <w:rFonts w:ascii="Arial" w:cs="Arial" w:eastAsia="Arial" w:hAnsi="Arial"/>
          <w:sz w:val="18"/>
          <w:szCs w:val="18"/>
          <w:color w:val="010000"/>
        </w:rPr>
      </w:pPr>
    </w:p>
    <w:p>
      <w:pPr>
        <w:jc w:val="both"/>
        <w:ind w:left="640" w:firstLine="638"/>
        <w:spacing w:after="0" w:line="212" w:lineRule="auto"/>
        <w:tabs>
          <w:tab w:leader="none" w:pos="1902" w:val="left"/>
        </w:tabs>
        <w:numPr>
          <w:ilvl w:val="0"/>
          <w:numId w:val="110"/>
        </w:numPr>
        <w:rPr>
          <w:rFonts w:ascii="Arial" w:cs="Arial" w:eastAsia="Arial" w:hAnsi="Arial"/>
          <w:sz w:val="19"/>
          <w:szCs w:val="19"/>
          <w:color w:val="010000"/>
        </w:rPr>
      </w:pPr>
      <w:r>
        <w:rPr>
          <w:rFonts w:ascii="Arial" w:cs="Arial" w:eastAsia="Arial" w:hAnsi="Arial"/>
          <w:sz w:val="19"/>
          <w:szCs w:val="19"/>
          <w:color w:val="auto"/>
        </w:rPr>
        <w:t>(i) The Administrative Agent shall have received, at least three (3) Business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ten (10) days prior to the Effective Date and (ii) to the extent the Borrower qualifies as a “legal entity customer” under the Beneficial Ownership Regulation, at least five (5) days prior to the Effective Date, any Lender that has requested, in a written notice to the Borrower at least ten (10) days prior to the Effective Date, a Beneficial Ownership Certification in relation to the Borrower shall have received such Beneficial Ownership Certification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execution and delivery by such Lender of its signature page to this Agreement, the condition set forth in this clause (e) shall be deemed to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1240"/>
          </w:cols>
          <w:pgMar w:left="320" w:top="1381" w:right="339" w:bottom="1440" w:gutter="0" w:footer="0" w:header="0"/>
        </w:sectPr>
      </w:pPr>
    </w:p>
    <w:bookmarkStart w:id="97" w:name="page98"/>
    <w:bookmarkEnd w:id="97"/>
    <w:p>
      <w:pPr>
        <w:jc w:val="both"/>
        <w:ind w:left="640" w:firstLine="638"/>
        <w:spacing w:after="0" w:line="238" w:lineRule="auto"/>
        <w:tabs>
          <w:tab w:leader="none" w:pos="1907" w:val="left"/>
        </w:tabs>
        <w:numPr>
          <w:ilvl w:val="0"/>
          <w:numId w:val="111"/>
        </w:numPr>
        <w:rPr>
          <w:rFonts w:ascii="Arial" w:cs="Arial" w:eastAsia="Arial" w:hAnsi="Arial"/>
          <w:sz w:val="18"/>
          <w:szCs w:val="18"/>
          <w:color w:val="010000"/>
        </w:rPr>
      </w:pPr>
      <w:r>
        <w:rPr>
          <w:rFonts w:ascii="Arial" w:cs="Arial" w:eastAsia="Arial" w:hAnsi="Arial"/>
          <w:sz w:val="18"/>
          <w:szCs w:val="18"/>
          <w:color w:val="auto"/>
        </w:rPr>
        <w:t>The Administrative Agent shall have received all fees and other amounts due and payable on or prior to the Effective Date, including, to the extent invoiced at least one (1) Business Day prior to the Effective Date, reimbursement or payment of all reasonable and documented out-of-pocket expenses required to be reimbursed or paid by the Borrower hereunder.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notify the Borrower and the Lenders of the Effective Date, and such notice shall be conclusive and binding.</w:t>
      </w:r>
    </w:p>
    <w:p>
      <w:pPr>
        <w:spacing w:after="0" w:line="191"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010000"/>
        </w:rPr>
        <w:t>SECTION 1.02.</w:t>
      </w:r>
      <w:r>
        <w:rPr>
          <w:rFonts w:ascii="Arial" w:cs="Arial" w:eastAsia="Arial" w:hAnsi="Arial"/>
          <w:sz w:val="19"/>
          <w:szCs w:val="19"/>
          <w:u w:val="single" w:color="auto"/>
          <w:color w:val="000000"/>
        </w:rPr>
        <w:t>Each Credit Event</w:t>
      </w:r>
      <w:r>
        <w:rPr>
          <w:rFonts w:ascii="Arial" w:cs="Arial" w:eastAsia="Arial" w:hAnsi="Arial"/>
          <w:sz w:val="19"/>
          <w:szCs w:val="19"/>
          <w:color w:val="000000"/>
        </w:rPr>
        <w:t>. The obligation of each Lender to make a Loan on the occasion of any Borrowing (other</w:t>
      </w:r>
      <w:r>
        <w:rPr>
          <w:rFonts w:ascii="Arial" w:cs="Arial" w:eastAsia="Arial" w:hAnsi="Arial"/>
          <w:sz w:val="19"/>
          <w:szCs w:val="19"/>
          <w:color w:val="010000"/>
        </w:rPr>
        <w:t xml:space="preserve"> </w:t>
      </w:r>
      <w:r>
        <w:rPr>
          <w:rFonts w:ascii="Arial" w:cs="Arial" w:eastAsia="Arial" w:hAnsi="Arial"/>
          <w:sz w:val="19"/>
          <w:szCs w:val="19"/>
          <w:color w:val="000000"/>
        </w:rPr>
        <w:t>than a conversion or continuation of any Loan), and of the Issuing Bank to issue, amend or extend any Letter of Credit, is subject to the satisfaction (or waiver of in accordance with Section 9.02) of the following conditions:</w:t>
      </w:r>
    </w:p>
    <w:p>
      <w:pPr>
        <w:spacing w:after="0" w:line="151" w:lineRule="exact"/>
        <w:rPr>
          <w:sz w:val="20"/>
          <w:szCs w:val="20"/>
          <w:color w:val="auto"/>
        </w:rPr>
      </w:pPr>
    </w:p>
    <w:p>
      <w:pPr>
        <w:jc w:val="both"/>
        <w:ind w:left="640" w:firstLine="638"/>
        <w:spacing w:after="0" w:line="226" w:lineRule="auto"/>
        <w:tabs>
          <w:tab w:leader="none" w:pos="1902" w:val="left"/>
        </w:tabs>
        <w:numPr>
          <w:ilvl w:val="0"/>
          <w:numId w:val="112"/>
        </w:numPr>
        <w:rPr>
          <w:rFonts w:ascii="Arial" w:cs="Arial" w:eastAsia="Arial" w:hAnsi="Arial"/>
          <w:sz w:val="18"/>
          <w:szCs w:val="18"/>
          <w:color w:val="010000"/>
        </w:rPr>
      </w:pPr>
      <w:r>
        <w:rPr>
          <w:rFonts w:ascii="Arial" w:cs="Arial" w:eastAsia="Arial" w:hAnsi="Arial"/>
          <w:sz w:val="18"/>
          <w:szCs w:val="18"/>
          <w:color w:val="auto"/>
        </w:rPr>
        <w:t>The representations and warranties of the Borrower set forth in this Agreement shall be true and correct in all material respects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or warranty that is qualified by materiality or Material Adverse Effect shall be true and correct in all respects) on and as of the date of such Borrowing or the date of issuance, amendment, renewal or extension of such Letter of Credit, as applicable, except to the extent that such representations and warranties specifically refer to an earlier date, in which case they shall be true and correct in all material respects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or warranty that is qualified by materiality or Material Adverse Effect shall be true and correct in all respects) as of such earlier date.</w:t>
      </w:r>
    </w:p>
    <w:p>
      <w:pPr>
        <w:spacing w:after="0" w:line="155" w:lineRule="exact"/>
        <w:rPr>
          <w:rFonts w:ascii="Arial" w:cs="Arial" w:eastAsia="Arial" w:hAnsi="Arial"/>
          <w:sz w:val="18"/>
          <w:szCs w:val="18"/>
          <w:color w:val="010000"/>
        </w:rPr>
      </w:pPr>
    </w:p>
    <w:p>
      <w:pPr>
        <w:ind w:left="640" w:firstLine="638"/>
        <w:spacing w:after="0" w:line="237" w:lineRule="auto"/>
        <w:tabs>
          <w:tab w:leader="none" w:pos="1900" w:val="left"/>
        </w:tabs>
        <w:numPr>
          <w:ilvl w:val="0"/>
          <w:numId w:val="112"/>
        </w:numPr>
        <w:rPr>
          <w:rFonts w:ascii="Arial" w:cs="Arial" w:eastAsia="Arial" w:hAnsi="Arial"/>
          <w:sz w:val="19"/>
          <w:szCs w:val="19"/>
          <w:color w:val="010000"/>
        </w:rPr>
      </w:pPr>
      <w:r>
        <w:rPr>
          <w:rFonts w:ascii="Arial" w:cs="Arial" w:eastAsia="Arial" w:hAnsi="Arial"/>
          <w:sz w:val="19"/>
          <w:szCs w:val="19"/>
          <w:color w:val="auto"/>
        </w:rPr>
        <w:t>At the time of and immediately after giving effect to such Borrowing or the issuance, amendment or extension of such Letter of Credit, as applicable, no Default or Event of Default shall have occurred and be continuing.</w:t>
      </w:r>
    </w:p>
    <w:p>
      <w:pPr>
        <w:spacing w:after="0" w:line="151"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Each Borrowing (other than a conversion or continuation of any Loans) and each issuance, amendment or extension of a Letter of Credit shall be deemed to constitute a representation and warranty by the Borrower on the date thereof as to the matters specified in paragraphs (a) and (b) of this Section.</w:t>
      </w:r>
    </w:p>
    <w:p>
      <w:pPr>
        <w:spacing w:after="0" w:line="284"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010000"/>
        </w:rPr>
        <w:t>Article V</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Affirmative Covenants</w:t>
      </w:r>
    </w:p>
    <w:p>
      <w:pPr>
        <w:spacing w:after="0" w:line="100" w:lineRule="exact"/>
        <w:rPr>
          <w:sz w:val="20"/>
          <w:szCs w:val="20"/>
          <w:color w:val="auto"/>
        </w:rPr>
      </w:pPr>
    </w:p>
    <w:p>
      <w:pPr>
        <w:jc w:val="both"/>
        <w:ind w:firstLine="1272"/>
        <w:spacing w:after="0" w:line="248" w:lineRule="auto"/>
        <w:rPr>
          <w:sz w:val="20"/>
          <w:szCs w:val="20"/>
          <w:color w:val="auto"/>
        </w:rPr>
      </w:pPr>
      <w:r>
        <w:rPr>
          <w:rFonts w:ascii="Arial" w:cs="Arial" w:eastAsia="Arial" w:hAnsi="Arial"/>
          <w:sz w:val="17"/>
          <w:szCs w:val="17"/>
          <w:color w:val="auto"/>
        </w:rPr>
        <w:t>Until the Commitments have expired or been terminated and the principal of and interest on each Loan and all fees payable hereunder shall have been paid in full (other than Obligations expressly stated to survive such payment and termination) and all Letters of Credit shall have expired or terminated (or shall have been cash collateralized or backstopped pursuant to arrangements reasonably satisfactory to the Administrative Agent) and all LC Disbursements shall have been reimbursed, the Borrower covenants and agrees with the Lenders that:</w:t>
      </w:r>
    </w:p>
    <w:p>
      <w:pPr>
        <w:spacing w:after="0" w:line="146"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010000"/>
        </w:rPr>
        <w:t>SECTION 1.01.</w:t>
      </w:r>
      <w:r>
        <w:rPr>
          <w:rFonts w:ascii="Arial" w:cs="Arial" w:eastAsia="Arial" w:hAnsi="Arial"/>
          <w:sz w:val="19"/>
          <w:szCs w:val="19"/>
          <w:u w:val="single" w:color="auto"/>
          <w:color w:val="000000"/>
        </w:rPr>
        <w:t>Financial Statements and Other Information</w:t>
      </w:r>
      <w:r>
        <w:rPr>
          <w:rFonts w:ascii="Arial" w:cs="Arial" w:eastAsia="Arial" w:hAnsi="Arial"/>
          <w:sz w:val="19"/>
          <w:szCs w:val="19"/>
          <w:color w:val="000000"/>
        </w:rPr>
        <w:t>. The Borrower will furnish to the Administrative Agent, for</w:t>
      </w:r>
      <w:r>
        <w:rPr>
          <w:rFonts w:ascii="Arial" w:cs="Arial" w:eastAsia="Arial" w:hAnsi="Arial"/>
          <w:sz w:val="19"/>
          <w:szCs w:val="19"/>
          <w:color w:val="010000"/>
        </w:rPr>
        <w:t xml:space="preserve"> </w:t>
      </w:r>
      <w:r>
        <w:rPr>
          <w:rFonts w:ascii="Arial" w:cs="Arial" w:eastAsia="Arial" w:hAnsi="Arial"/>
          <w:sz w:val="19"/>
          <w:szCs w:val="19"/>
          <w:color w:val="000000"/>
        </w:rPr>
        <w:t>distribution to each Lender:</w:t>
      </w:r>
    </w:p>
    <w:p>
      <w:pPr>
        <w:spacing w:after="0" w:line="151" w:lineRule="exact"/>
        <w:rPr>
          <w:sz w:val="20"/>
          <w:szCs w:val="20"/>
          <w:color w:val="auto"/>
        </w:rPr>
      </w:pPr>
    </w:p>
    <w:p>
      <w:pPr>
        <w:jc w:val="both"/>
        <w:ind w:left="640" w:firstLine="638"/>
        <w:spacing w:after="0" w:line="224" w:lineRule="auto"/>
        <w:tabs>
          <w:tab w:leader="none" w:pos="1902" w:val="left"/>
        </w:tabs>
        <w:numPr>
          <w:ilvl w:val="0"/>
          <w:numId w:val="113"/>
        </w:numPr>
        <w:rPr>
          <w:rFonts w:ascii="Arial" w:cs="Arial" w:eastAsia="Arial" w:hAnsi="Arial"/>
          <w:sz w:val="18"/>
          <w:szCs w:val="18"/>
          <w:color w:val="010000"/>
        </w:rPr>
      </w:pPr>
      <w:r>
        <w:rPr>
          <w:rFonts w:ascii="Arial" w:cs="Arial" w:eastAsia="Arial" w:hAnsi="Arial"/>
          <w:sz w:val="18"/>
          <w:szCs w:val="18"/>
          <w:color w:val="auto"/>
        </w:rPr>
        <w:t>within ninety (90) days after the end of each fiscal year of the Borrower (or, if earlier, by the date that the Annual Report on Form 10-K of the Borrower for such fiscal year would be required to be filed under the rules and regulations of the SEC, giving effect to any automatic extension available thereunder for the filing of such form) commencing with the fiscal year of the Borrower ended March 31, 2022, its audited consolidated balance sheet and related statements of operations, stockholders’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ectPr>
          <w:pgSz w:w="11900" w:h="16838" w:orient="portrait"/>
          <w:cols w:equalWidth="0" w:num="1">
            <w:col w:w="11240"/>
          </w:cols>
          <w:pgMar w:left="320" w:top="138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operations of the Borrower and its consolidated Subsidiaries on a consolidated basis in accordance with GAAP consistently applied;</w:t>
      </w:r>
    </w:p>
    <w:p>
      <w:pPr>
        <w:spacing w:after="0" w:line="191" w:lineRule="exact"/>
        <w:rPr>
          <w:sz w:val="20"/>
          <w:szCs w:val="20"/>
          <w:color w:val="auto"/>
        </w:rPr>
      </w:pPr>
    </w:p>
    <w:p>
      <w:pPr>
        <w:jc w:val="both"/>
        <w:ind w:firstLine="638"/>
        <w:spacing w:after="0" w:line="236" w:lineRule="auto"/>
        <w:tabs>
          <w:tab w:leader="none" w:pos="1260" w:val="left"/>
        </w:tabs>
        <w:numPr>
          <w:ilvl w:val="0"/>
          <w:numId w:val="114"/>
        </w:numPr>
        <w:rPr>
          <w:rFonts w:ascii="Arial" w:cs="Arial" w:eastAsia="Arial" w:hAnsi="Arial"/>
          <w:sz w:val="17"/>
          <w:szCs w:val="17"/>
          <w:color w:val="010000"/>
        </w:rPr>
      </w:pPr>
      <w:r>
        <w:rPr>
          <w:rFonts w:ascii="Arial" w:cs="Arial" w:eastAsia="Arial" w:hAnsi="Arial"/>
          <w:sz w:val="17"/>
          <w:szCs w:val="17"/>
          <w:color w:val="auto"/>
        </w:rPr>
        <w:t>within forty-five (45) days after the end of each of the first three fiscal quarters of each fiscal year of the Borrower (or, if earlier, by the date that the Quarterly Report on Form 10-Q of the Borrower for such fiscal quarter would be required to be filed under the rules and regulations of the SEC, giving effect to any automatic extension available thereunder for the filing of such form) commencing with the fiscal quarter of the Borrower ended December 31, 2021,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51" w:lineRule="exact"/>
        <w:rPr>
          <w:rFonts w:ascii="Arial" w:cs="Arial" w:eastAsia="Arial" w:hAnsi="Arial"/>
          <w:sz w:val="17"/>
          <w:szCs w:val="17"/>
          <w:color w:val="010000"/>
        </w:rPr>
      </w:pPr>
    </w:p>
    <w:p>
      <w:pPr>
        <w:jc w:val="both"/>
        <w:ind w:firstLine="638"/>
        <w:spacing w:after="0"/>
        <w:tabs>
          <w:tab w:leader="none" w:pos="1262" w:val="left"/>
        </w:tabs>
        <w:numPr>
          <w:ilvl w:val="0"/>
          <w:numId w:val="114"/>
        </w:numPr>
        <w:rPr>
          <w:rFonts w:ascii="Arial" w:cs="Arial" w:eastAsia="Arial" w:hAnsi="Arial"/>
          <w:sz w:val="17"/>
          <w:szCs w:val="17"/>
          <w:color w:val="010000"/>
        </w:rPr>
      </w:pPr>
      <w:r>
        <w:rPr>
          <w:rFonts w:ascii="Arial" w:cs="Arial" w:eastAsia="Arial" w:hAnsi="Arial"/>
          <w:sz w:val="17"/>
          <w:szCs w:val="17"/>
          <w:color w:val="auto"/>
        </w:rPr>
        <w:t>concurrently with any delivery of financial statements under clause (a) or (b) above, a certificate of a Financial Officer of the Borrower (i) certifying as to whether, to the knowledge of such Financial Officer, a Default has occurred and is continuing and, if a Default has occurred that is continuing, specifying the details thereof and any action taken or proposed to be taken with respect thereto, (ii) setting forth reasonably detailed calculations demonstrating compliance with Section 6.12 and (iii)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52" w:lineRule="exact"/>
        <w:rPr>
          <w:rFonts w:ascii="Arial" w:cs="Arial" w:eastAsia="Arial" w:hAnsi="Arial"/>
          <w:sz w:val="17"/>
          <w:szCs w:val="17"/>
          <w:color w:val="010000"/>
        </w:rPr>
      </w:pPr>
    </w:p>
    <w:p>
      <w:pPr>
        <w:jc w:val="both"/>
        <w:ind w:firstLine="638"/>
        <w:spacing w:after="0" w:line="220" w:lineRule="auto"/>
        <w:tabs>
          <w:tab w:leader="none" w:pos="1260" w:val="left"/>
        </w:tabs>
        <w:numPr>
          <w:ilvl w:val="0"/>
          <w:numId w:val="114"/>
        </w:numPr>
        <w:rPr>
          <w:rFonts w:ascii="Arial" w:cs="Arial" w:eastAsia="Arial" w:hAnsi="Arial"/>
          <w:sz w:val="19"/>
          <w:szCs w:val="19"/>
          <w:color w:val="010000"/>
        </w:rPr>
      </w:pPr>
      <w:r>
        <w:rPr>
          <w:rFonts w:ascii="Arial" w:cs="Arial" w:eastAsia="Arial" w:hAnsi="Arial"/>
          <w:sz w:val="19"/>
          <w:szCs w:val="19"/>
          <w:color w:val="auto"/>
        </w:rPr>
        <w:t>concurrently with any delivery of financial statements under clause (a) above, a certificate of the accounting firm that reported on such financial statements stating whether they obtained knowledge during the course of their examination of such financial statements of any Default under the covenants set forth in Section 6.12 (which certificate may be limited to the extent required by accounting rules or guidelines);</w:t>
      </w:r>
    </w:p>
    <w:p>
      <w:pPr>
        <w:spacing w:after="0" w:line="152" w:lineRule="exact"/>
        <w:rPr>
          <w:rFonts w:ascii="Arial" w:cs="Arial" w:eastAsia="Arial" w:hAnsi="Arial"/>
          <w:sz w:val="19"/>
          <w:szCs w:val="19"/>
          <w:color w:val="010000"/>
        </w:rPr>
      </w:pPr>
    </w:p>
    <w:p>
      <w:pPr>
        <w:jc w:val="both"/>
        <w:ind w:firstLine="638"/>
        <w:spacing w:after="0" w:line="220" w:lineRule="auto"/>
        <w:tabs>
          <w:tab w:leader="none" w:pos="1262" w:val="left"/>
        </w:tabs>
        <w:numPr>
          <w:ilvl w:val="0"/>
          <w:numId w:val="114"/>
        </w:numPr>
        <w:rPr>
          <w:rFonts w:ascii="Arial" w:cs="Arial" w:eastAsia="Arial" w:hAnsi="Arial"/>
          <w:sz w:val="19"/>
          <w:szCs w:val="19"/>
          <w:color w:val="010000"/>
        </w:rPr>
      </w:pPr>
      <w:r>
        <w:rPr>
          <w:rFonts w:ascii="Arial" w:cs="Arial" w:eastAsia="Arial" w:hAnsi="Arial"/>
          <w:sz w:val="19"/>
          <w:szCs w:val="19"/>
          <w:color w:val="auto"/>
        </w:rPr>
        <w:t>as soon as available, but in any event not later than the end of, and no earlier than sixty (60) days prior to the end of, each fiscal year of the Borrower, a copy of the plan and forecast (including a projected consolidated balance sheet, income statement and funds flow statement) of the Borrower for each quarter of the upcoming fiscal year in form reasonably satisfactory to the Administrative Agent;</w:t>
      </w:r>
    </w:p>
    <w:p>
      <w:pPr>
        <w:spacing w:after="0" w:line="152" w:lineRule="exact"/>
        <w:rPr>
          <w:rFonts w:ascii="Arial" w:cs="Arial" w:eastAsia="Arial" w:hAnsi="Arial"/>
          <w:sz w:val="19"/>
          <w:szCs w:val="19"/>
          <w:color w:val="010000"/>
        </w:rPr>
      </w:pPr>
    </w:p>
    <w:p>
      <w:pPr>
        <w:jc w:val="both"/>
        <w:ind w:firstLine="638"/>
        <w:spacing w:after="0" w:line="220" w:lineRule="auto"/>
        <w:tabs>
          <w:tab w:leader="none" w:pos="1267" w:val="left"/>
        </w:tabs>
        <w:numPr>
          <w:ilvl w:val="0"/>
          <w:numId w:val="114"/>
        </w:numPr>
        <w:rPr>
          <w:rFonts w:ascii="Arial" w:cs="Arial" w:eastAsia="Arial" w:hAnsi="Arial"/>
          <w:sz w:val="19"/>
          <w:szCs w:val="19"/>
          <w:color w:val="010000"/>
        </w:rPr>
      </w:pPr>
      <w:r>
        <w:rPr>
          <w:rFonts w:ascii="Arial" w:cs="Arial" w:eastAsia="Arial" w:hAnsi="Arial"/>
          <w:sz w:val="19"/>
          <w:szCs w:val="19"/>
          <w:color w:val="auto"/>
        </w:rPr>
        <w:t>promptly after the same become publicly available, copies of all annual, regular, periodic and special reports, proxy statements and registration statements filed by the Borrower or any Material Subsidiary with the SEC, or any Governmental Authority succeeding to any or all of the functions of said Commission, or with any national securities exchange, or distributed by the Borrower to its shareholders generally, as the case may be;</w:t>
      </w:r>
    </w:p>
    <w:p>
      <w:pPr>
        <w:spacing w:after="0" w:line="152" w:lineRule="exact"/>
        <w:rPr>
          <w:rFonts w:ascii="Arial" w:cs="Arial" w:eastAsia="Arial" w:hAnsi="Arial"/>
          <w:sz w:val="19"/>
          <w:szCs w:val="19"/>
          <w:color w:val="010000"/>
        </w:rPr>
      </w:pPr>
    </w:p>
    <w:p>
      <w:pPr>
        <w:jc w:val="both"/>
        <w:ind w:firstLine="638"/>
        <w:spacing w:after="0" w:line="220" w:lineRule="auto"/>
        <w:tabs>
          <w:tab w:leader="none" w:pos="1260" w:val="left"/>
        </w:tabs>
        <w:numPr>
          <w:ilvl w:val="0"/>
          <w:numId w:val="114"/>
        </w:numPr>
        <w:rPr>
          <w:rFonts w:ascii="Arial" w:cs="Arial" w:eastAsia="Arial" w:hAnsi="Arial"/>
          <w:sz w:val="19"/>
          <w:szCs w:val="19"/>
          <w:color w:val="010000"/>
        </w:rPr>
      </w:pPr>
      <w:r>
        <w:rPr>
          <w:rFonts w:ascii="Arial" w:cs="Arial" w:eastAsia="Arial" w:hAnsi="Arial"/>
          <w:sz w:val="19"/>
          <w:szCs w:val="19"/>
          <w:color w:val="auto"/>
        </w:rPr>
        <w:t>promptly after receipt thereof by the Borrower or any Subsidiary, copies of each notice or other correspondence received from the SEC (or comparable agency in any applicable non-U.S. jurisdiction) concerning any investigation or possible investigation or other inquiry by the SEC or such other agency regarding financial or other operational results of the Borrower or any Subsidiary thereof;</w:t>
      </w:r>
    </w:p>
    <w:p>
      <w:pPr>
        <w:spacing w:after="0" w:line="152" w:lineRule="exact"/>
        <w:rPr>
          <w:rFonts w:ascii="Arial" w:cs="Arial" w:eastAsia="Arial" w:hAnsi="Arial"/>
          <w:sz w:val="19"/>
          <w:szCs w:val="19"/>
          <w:color w:val="010000"/>
        </w:rPr>
      </w:pPr>
    </w:p>
    <w:p>
      <w:pPr>
        <w:jc w:val="both"/>
        <w:ind w:firstLine="638"/>
        <w:spacing w:after="0" w:line="229" w:lineRule="auto"/>
        <w:tabs>
          <w:tab w:leader="none" w:pos="1260" w:val="left"/>
        </w:tabs>
        <w:numPr>
          <w:ilvl w:val="0"/>
          <w:numId w:val="114"/>
        </w:numPr>
        <w:rPr>
          <w:rFonts w:ascii="Arial" w:cs="Arial" w:eastAsia="Arial" w:hAnsi="Arial"/>
          <w:sz w:val="18"/>
          <w:szCs w:val="18"/>
          <w:color w:val="010000"/>
        </w:rPr>
      </w:pPr>
      <w:r>
        <w:rPr>
          <w:rFonts w:ascii="Arial" w:cs="Arial" w:eastAsia="Arial" w:hAnsi="Arial"/>
          <w:sz w:val="18"/>
          <w:szCs w:val="18"/>
          <w:color w:val="auto"/>
        </w:rPr>
        <w:t>promptly following any request therefor, (x) such other information regarding the operations, business affairs and financial condition of the Borrower or any Subsidiary, or compliance with the terms of this Agreement, as the Administrative Agent or any Lender (acting through the Administrative Agent) may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60</w:t>
      </w:r>
    </w:p>
    <w:p>
      <w:pPr>
        <w:sectPr>
          <w:pgSz w:w="11900" w:h="16838" w:orient="portrait"/>
          <w:cols w:equalWidth="0" w:num="1">
            <w:col w:w="10600"/>
          </w:cols>
          <w:pgMar w:left="960" w:top="1381" w:right="339" w:bottom="1440" w:gutter="0" w:footer="0" w:header="0"/>
        </w:sectPr>
      </w:pPr>
    </w:p>
    <w:bookmarkStart w:id="99" w:name="page100"/>
    <w:bookmarkEnd w:id="99"/>
    <w:p>
      <w:pPr>
        <w:jc w:val="both"/>
        <w:spacing w:after="0" w:line="220" w:lineRule="auto"/>
        <w:rPr>
          <w:sz w:val="20"/>
          <w:szCs w:val="20"/>
          <w:color w:val="auto"/>
        </w:rPr>
      </w:pPr>
      <w:r>
        <w:rPr>
          <w:rFonts w:ascii="Arial" w:cs="Arial" w:eastAsia="Arial" w:hAnsi="Arial"/>
          <w:sz w:val="18"/>
          <w:szCs w:val="18"/>
          <w:color w:val="auto"/>
        </w:rPr>
        <w:t xml:space="preserve">Documents required to be delivered pursuant to Section 5.01(a), (b) or (f)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upon written request by the Administrative Agent (or any Lender through the Administrative Agent) to the Borrower, the Borrower shall deliver paper copies of such documents to the Administrative Agent or such Lender until a written request to cease delivering paper copies is given by the Administrative Agent or such Lender and (B) the Borrower shall notify the Administrative Agent and each Lender (by telecopier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8"/>
          <w:szCs w:val="18"/>
          <w:color w:val="010000"/>
        </w:rPr>
        <w:t>SECTION 1.02.</w:t>
      </w:r>
      <w:r>
        <w:rPr>
          <w:rFonts w:ascii="Arial" w:cs="Arial" w:eastAsia="Arial" w:hAnsi="Arial"/>
          <w:sz w:val="18"/>
          <w:szCs w:val="18"/>
          <w:u w:val="single" w:color="auto"/>
          <w:color w:val="000000"/>
        </w:rPr>
        <w:t>Notices of Material Events</w:t>
      </w:r>
      <w:r>
        <w:rPr>
          <w:rFonts w:ascii="Arial" w:cs="Arial" w:eastAsia="Arial" w:hAnsi="Arial"/>
          <w:sz w:val="18"/>
          <w:szCs w:val="18"/>
          <w:color w:val="000000"/>
        </w:rPr>
        <w:t>. The Borrower will furnish to the Administrative Agent (for distribution to each</w:t>
      </w:r>
    </w:p>
    <w:p>
      <w:pPr>
        <w:spacing w:after="0"/>
        <w:rPr>
          <w:sz w:val="20"/>
          <w:szCs w:val="20"/>
          <w:color w:val="auto"/>
        </w:rPr>
      </w:pPr>
      <w:r>
        <w:rPr>
          <w:rFonts w:ascii="Arial" w:cs="Arial" w:eastAsia="Arial" w:hAnsi="Arial"/>
          <w:sz w:val="19"/>
          <w:szCs w:val="19"/>
          <w:color w:val="auto"/>
        </w:rPr>
        <w:t>Lender) written notice of the following promptly after a Responsible Officer having actual knowledge thereof:</w:t>
      </w:r>
    </w:p>
    <w:p>
      <w:pPr>
        <w:spacing w:after="0" w:line="163" w:lineRule="exact"/>
        <w:rPr>
          <w:sz w:val="20"/>
          <w:szCs w:val="20"/>
          <w:color w:val="auto"/>
        </w:rPr>
      </w:pPr>
    </w:p>
    <w:p>
      <w:pPr>
        <w:ind w:left="1900" w:hanging="622"/>
        <w:spacing w:after="0"/>
        <w:tabs>
          <w:tab w:leader="none" w:pos="1900" w:val="left"/>
        </w:tabs>
        <w:numPr>
          <w:ilvl w:val="0"/>
          <w:numId w:val="115"/>
        </w:numPr>
        <w:rPr>
          <w:rFonts w:ascii="Arial" w:cs="Arial" w:eastAsia="Arial" w:hAnsi="Arial"/>
          <w:sz w:val="19"/>
          <w:szCs w:val="19"/>
          <w:color w:val="010000"/>
        </w:rPr>
      </w:pPr>
      <w:r>
        <w:rPr>
          <w:rFonts w:ascii="Arial" w:cs="Arial" w:eastAsia="Arial" w:hAnsi="Arial"/>
          <w:sz w:val="19"/>
          <w:szCs w:val="19"/>
          <w:color w:val="auto"/>
        </w:rPr>
        <w:t>the occurrence of any Default;</w:t>
      </w:r>
    </w:p>
    <w:p>
      <w:pPr>
        <w:spacing w:after="0" w:line="179" w:lineRule="exact"/>
        <w:rPr>
          <w:rFonts w:ascii="Arial" w:cs="Arial" w:eastAsia="Arial" w:hAnsi="Arial"/>
          <w:sz w:val="19"/>
          <w:szCs w:val="19"/>
          <w:color w:val="010000"/>
        </w:rPr>
      </w:pPr>
    </w:p>
    <w:p>
      <w:pPr>
        <w:ind w:left="640" w:firstLine="638"/>
        <w:spacing w:after="0" w:line="237" w:lineRule="auto"/>
        <w:tabs>
          <w:tab w:leader="none" w:pos="1900" w:val="left"/>
        </w:tabs>
        <w:numPr>
          <w:ilvl w:val="0"/>
          <w:numId w:val="115"/>
        </w:numPr>
        <w:rPr>
          <w:rFonts w:ascii="Arial" w:cs="Arial" w:eastAsia="Arial" w:hAnsi="Arial"/>
          <w:sz w:val="19"/>
          <w:szCs w:val="19"/>
          <w:color w:val="010000"/>
        </w:rPr>
      </w:pPr>
      <w:r>
        <w:rPr>
          <w:rFonts w:ascii="Arial" w:cs="Arial" w:eastAsia="Arial" w:hAnsi="Arial"/>
          <w:sz w:val="19"/>
          <w:szCs w:val="19"/>
          <w:color w:val="auto"/>
        </w:rPr>
        <w:t>the filing or commencement of any Proceeding by or before any arbitrator or Governmental Authority against or affecting the Borrower or any Subsidiary that could reasonably be expected to result in a Material Adverse Effect;</w:t>
      </w:r>
    </w:p>
    <w:p>
      <w:pPr>
        <w:spacing w:after="0" w:line="151" w:lineRule="exact"/>
        <w:rPr>
          <w:rFonts w:ascii="Arial" w:cs="Arial" w:eastAsia="Arial" w:hAnsi="Arial"/>
          <w:sz w:val="19"/>
          <w:szCs w:val="19"/>
          <w:color w:val="010000"/>
        </w:rPr>
      </w:pPr>
    </w:p>
    <w:p>
      <w:pPr>
        <w:ind w:left="640" w:firstLine="638"/>
        <w:spacing w:after="0" w:line="237" w:lineRule="auto"/>
        <w:tabs>
          <w:tab w:leader="none" w:pos="1902" w:val="left"/>
        </w:tabs>
        <w:numPr>
          <w:ilvl w:val="0"/>
          <w:numId w:val="115"/>
        </w:numPr>
        <w:rPr>
          <w:rFonts w:ascii="Arial" w:cs="Arial" w:eastAsia="Arial" w:hAnsi="Arial"/>
          <w:sz w:val="19"/>
          <w:szCs w:val="19"/>
          <w:color w:val="010000"/>
        </w:rPr>
      </w:pPr>
      <w:r>
        <w:rPr>
          <w:rFonts w:ascii="Arial" w:cs="Arial" w:eastAsia="Arial" w:hAnsi="Arial"/>
          <w:sz w:val="19"/>
          <w:szCs w:val="19"/>
          <w:color w:val="auto"/>
        </w:rPr>
        <w:t>the occurrence of any ERISA Event that, alone or together with any other ERISA Events that have occurred, could reasonably be expected to result in a Material Adverse Effect;</w:t>
      </w:r>
    </w:p>
    <w:p>
      <w:pPr>
        <w:spacing w:after="0" w:line="151" w:lineRule="exact"/>
        <w:rPr>
          <w:rFonts w:ascii="Arial" w:cs="Arial" w:eastAsia="Arial" w:hAnsi="Arial"/>
          <w:sz w:val="19"/>
          <w:szCs w:val="19"/>
          <w:color w:val="010000"/>
        </w:rPr>
      </w:pPr>
    </w:p>
    <w:p>
      <w:pPr>
        <w:ind w:left="1900" w:hanging="622"/>
        <w:spacing w:after="0"/>
        <w:tabs>
          <w:tab w:leader="none" w:pos="1900" w:val="left"/>
        </w:tabs>
        <w:numPr>
          <w:ilvl w:val="0"/>
          <w:numId w:val="115"/>
        </w:numPr>
        <w:rPr>
          <w:rFonts w:ascii="Arial" w:cs="Arial" w:eastAsia="Arial" w:hAnsi="Arial"/>
          <w:sz w:val="18"/>
          <w:szCs w:val="18"/>
          <w:color w:val="010000"/>
        </w:rPr>
      </w:pPr>
      <w:r>
        <w:rPr>
          <w:rFonts w:ascii="Arial" w:cs="Arial" w:eastAsia="Arial" w:hAnsi="Arial"/>
          <w:sz w:val="18"/>
          <w:szCs w:val="18"/>
          <w:color w:val="auto"/>
        </w:rPr>
        <w:t>any other development that results in, or could reasonably be expected to result in, a Material Adverse Effect; and</w:t>
      </w:r>
    </w:p>
    <w:p>
      <w:pPr>
        <w:spacing w:after="0" w:line="190" w:lineRule="exact"/>
        <w:rPr>
          <w:rFonts w:ascii="Arial" w:cs="Arial" w:eastAsia="Arial" w:hAnsi="Arial"/>
          <w:sz w:val="18"/>
          <w:szCs w:val="18"/>
          <w:color w:val="010000"/>
        </w:rPr>
      </w:pPr>
    </w:p>
    <w:p>
      <w:pPr>
        <w:ind w:left="640" w:firstLine="638"/>
        <w:spacing w:after="0" w:line="237" w:lineRule="auto"/>
        <w:tabs>
          <w:tab w:leader="none" w:pos="1902" w:val="left"/>
        </w:tabs>
        <w:numPr>
          <w:ilvl w:val="0"/>
          <w:numId w:val="115"/>
        </w:numPr>
        <w:rPr>
          <w:rFonts w:ascii="Arial" w:cs="Arial" w:eastAsia="Arial" w:hAnsi="Arial"/>
          <w:sz w:val="19"/>
          <w:szCs w:val="19"/>
          <w:color w:val="010000"/>
        </w:rPr>
      </w:pPr>
      <w:r>
        <w:rPr>
          <w:rFonts w:ascii="Arial" w:cs="Arial" w:eastAsia="Arial" w:hAnsi="Arial"/>
          <w:sz w:val="19"/>
          <w:szCs w:val="19"/>
          <w:color w:val="auto"/>
        </w:rPr>
        <w:t>any change in the information provided in the Beneficial Ownership Certification delivered to such Lender that would result in a change to the list of beneficial owners identified in such certification.</w:t>
      </w:r>
    </w:p>
    <w:p>
      <w:pPr>
        <w:spacing w:after="0" w:line="151" w:lineRule="exact"/>
        <w:rPr>
          <w:sz w:val="20"/>
          <w:szCs w:val="20"/>
          <w:color w:val="auto"/>
        </w:rPr>
      </w:pPr>
    </w:p>
    <w:p>
      <w:pPr>
        <w:jc w:val="both"/>
        <w:spacing w:after="0" w:line="220" w:lineRule="auto"/>
        <w:rPr>
          <w:sz w:val="20"/>
          <w:szCs w:val="20"/>
          <w:color w:val="auto"/>
        </w:rPr>
      </w:pPr>
      <w:r>
        <w:rPr>
          <w:rFonts w:ascii="Arial" w:cs="Arial" w:eastAsia="Arial" w:hAnsi="Arial"/>
          <w:sz w:val="19"/>
          <w:szCs w:val="19"/>
          <w:color w:val="auto"/>
        </w:rPr>
        <w:t>Each notice delivered under this Section (i) shall be in writing, (ii) shall contain a heading or a reference line that reads “Notice under Section 5.02 of the Commvault Systems Credit Agreement dated December 13, 2021” and (iii)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53" w:lineRule="exact"/>
        <w:rPr>
          <w:sz w:val="20"/>
          <w:szCs w:val="20"/>
          <w:color w:val="auto"/>
        </w:rPr>
      </w:pPr>
    </w:p>
    <w:p>
      <w:pPr>
        <w:jc w:val="both"/>
        <w:ind w:firstLine="1272"/>
        <w:spacing w:after="0" w:line="212" w:lineRule="auto"/>
        <w:rPr>
          <w:sz w:val="20"/>
          <w:szCs w:val="20"/>
          <w:color w:val="auto"/>
        </w:rPr>
      </w:pPr>
      <w:r>
        <w:rPr>
          <w:rFonts w:ascii="Arial" w:cs="Arial" w:eastAsia="Arial" w:hAnsi="Arial"/>
          <w:sz w:val="19"/>
          <w:szCs w:val="19"/>
          <w:color w:val="010000"/>
        </w:rPr>
        <w:t>SECTION 1.03.</w:t>
      </w:r>
      <w:r>
        <w:rPr>
          <w:rFonts w:ascii="Arial" w:cs="Arial" w:eastAsia="Arial" w:hAnsi="Arial"/>
          <w:sz w:val="19"/>
          <w:szCs w:val="19"/>
          <w:u w:val="single" w:color="auto"/>
          <w:color w:val="000000"/>
        </w:rPr>
        <w:t>Existence; Conduct of Business</w:t>
      </w:r>
      <w:r>
        <w:rPr>
          <w:rFonts w:ascii="Arial" w:cs="Arial" w:eastAsia="Arial" w:hAnsi="Arial"/>
          <w:sz w:val="19"/>
          <w:szCs w:val="19"/>
          <w:color w:val="000000"/>
        </w:rPr>
        <w:t>. The Borrower will, and will cause each of its Material Subsidiaries to, do or</w:t>
      </w:r>
      <w:r>
        <w:rPr>
          <w:rFonts w:ascii="Arial" w:cs="Arial" w:eastAsia="Arial" w:hAnsi="Arial"/>
          <w:sz w:val="19"/>
          <w:szCs w:val="19"/>
          <w:color w:val="010000"/>
        </w:rPr>
        <w:t xml:space="preserve"> </w:t>
      </w:r>
      <w:r>
        <w:rPr>
          <w:rFonts w:ascii="Arial" w:cs="Arial" w:eastAsia="Arial" w:hAnsi="Arial"/>
          <w:sz w:val="19"/>
          <w:szCs w:val="19"/>
          <w:color w:val="000000"/>
        </w:rPr>
        <w:t>cause to be done (a) all things necessary to preserve, renew and keep in full force and effect its legal existence and (b) take, or cause to be taken, all reasonable actions to preserve, renew and keep in full force and effect the rights, qualifications, licenses, permits, privileges, franchises, governmental authorizations and intellectual property rights material to the conduct of the business of the Borrower and Subsidiaries taken as a whole, and maintain all requisite authority to conduct its business in each jurisdiction in which its business is conducted, except, in the case of this clause (b), to the extent failure to do so could not reasonably be expected to result in a Material Adverse Effect; provided that, the foregoing Sections 5.03(a) and (b) shall not prohibit any merger, consolidation, disposition, liquidation or, dissolution or other transaction permitted under Section 6.03.</w:t>
      </w:r>
    </w:p>
    <w:p>
      <w:pPr>
        <w:spacing w:after="0" w:line="152"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010000"/>
        </w:rPr>
        <w:t>SECTION 1.04.</w:t>
      </w:r>
      <w:r>
        <w:rPr>
          <w:rFonts w:ascii="Arial" w:cs="Arial" w:eastAsia="Arial" w:hAnsi="Arial"/>
          <w:sz w:val="19"/>
          <w:szCs w:val="19"/>
          <w:u w:val="single" w:color="auto"/>
          <w:color w:val="000000"/>
        </w:rPr>
        <w:t>Payment of Taxes</w:t>
      </w:r>
      <w:r>
        <w:rPr>
          <w:rFonts w:ascii="Arial" w:cs="Arial" w:eastAsia="Arial" w:hAnsi="Arial"/>
          <w:sz w:val="19"/>
          <w:szCs w:val="19"/>
          <w:color w:val="000000"/>
        </w:rPr>
        <w:t>. The Borrower will, and will cause each of its Subsidiaries to, pay its Tax liabilities that, if</w:t>
      </w:r>
      <w:r>
        <w:rPr>
          <w:rFonts w:ascii="Arial" w:cs="Arial" w:eastAsia="Arial" w:hAnsi="Arial"/>
          <w:sz w:val="19"/>
          <w:szCs w:val="19"/>
          <w:color w:val="010000"/>
        </w:rPr>
        <w:t xml:space="preserve"> </w:t>
      </w:r>
      <w:r>
        <w:rPr>
          <w:rFonts w:ascii="Arial" w:cs="Arial" w:eastAsia="Arial" w:hAnsi="Arial"/>
          <w:sz w:val="19"/>
          <w:szCs w:val="19"/>
          <w:color w:val="000000"/>
        </w:rPr>
        <w:t>not paid, could reasonably be expected to result in a Material Adverse Effect before the same shall become delinquent or in default, except where (a)(i) the validity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ectPr>
          <w:pgSz w:w="11900" w:h="16838" w:orient="portrait"/>
          <w:cols w:equalWidth="0" w:num="1">
            <w:col w:w="11240"/>
          </w:cols>
          <w:pgMar w:left="320" w:top="1381" w:right="339" w:bottom="1440" w:gutter="0" w:footer="0" w:header="0"/>
        </w:sectPr>
      </w:pPr>
    </w:p>
    <w:bookmarkStart w:id="100" w:name="page101"/>
    <w:bookmarkEnd w:id="100"/>
    <w:p>
      <w:pPr>
        <w:jc w:val="both"/>
        <w:spacing w:after="0" w:line="226" w:lineRule="auto"/>
        <w:rPr>
          <w:sz w:val="20"/>
          <w:szCs w:val="20"/>
          <w:color w:val="auto"/>
        </w:rPr>
      </w:pPr>
      <w:r>
        <w:rPr>
          <w:rFonts w:ascii="Arial" w:cs="Arial" w:eastAsia="Arial" w:hAnsi="Arial"/>
          <w:sz w:val="19"/>
          <w:szCs w:val="19"/>
          <w:color w:val="auto"/>
        </w:rPr>
        <w:t>amount thereof is being contested in good faith by appropriate proceedings, and (ii) the Borrower or such Subsidiary has set aside on its books adequate reserves with respect thereto in accordance with GAAP or (b) the failure to make payment pending such contest could not reasonably be expected to result in a Material Adverse Effect.</w:t>
      </w:r>
    </w:p>
    <w:p>
      <w:pPr>
        <w:spacing w:after="0" w:line="151" w:lineRule="exact"/>
        <w:rPr>
          <w:sz w:val="20"/>
          <w:szCs w:val="20"/>
          <w:color w:val="auto"/>
        </w:rPr>
      </w:pPr>
    </w:p>
    <w:p>
      <w:pPr>
        <w:jc w:val="both"/>
        <w:ind w:firstLine="1272"/>
        <w:spacing w:after="0" w:line="219" w:lineRule="auto"/>
        <w:rPr>
          <w:sz w:val="20"/>
          <w:szCs w:val="20"/>
          <w:color w:val="auto"/>
        </w:rPr>
      </w:pPr>
      <w:r>
        <w:rPr>
          <w:rFonts w:ascii="Arial" w:cs="Arial" w:eastAsia="Arial" w:hAnsi="Arial"/>
          <w:sz w:val="18"/>
          <w:szCs w:val="18"/>
          <w:color w:val="010000"/>
        </w:rPr>
        <w:t>SECTION 1.05.</w:t>
      </w:r>
      <w:r>
        <w:rPr>
          <w:rFonts w:ascii="Arial" w:cs="Arial" w:eastAsia="Arial" w:hAnsi="Arial"/>
          <w:sz w:val="18"/>
          <w:szCs w:val="18"/>
          <w:u w:val="single" w:color="auto"/>
          <w:color w:val="000000"/>
        </w:rPr>
        <w:t>Maintenance of Properties; Insurance</w:t>
      </w:r>
      <w:r>
        <w:rPr>
          <w:rFonts w:ascii="Arial" w:cs="Arial" w:eastAsia="Arial" w:hAnsi="Arial"/>
          <w:sz w:val="18"/>
          <w:szCs w:val="18"/>
          <w:color w:val="000000"/>
        </w:rPr>
        <w:t>. The Borrower will, and will cause each of its Subsidiaries to, (a) keep</w:t>
      </w:r>
      <w:r>
        <w:rPr>
          <w:rFonts w:ascii="Arial" w:cs="Arial" w:eastAsia="Arial" w:hAnsi="Arial"/>
          <w:sz w:val="18"/>
          <w:szCs w:val="18"/>
          <w:color w:val="010000"/>
        </w:rPr>
        <w:t xml:space="preserve"> </w:t>
      </w:r>
      <w:r>
        <w:rPr>
          <w:rFonts w:ascii="Arial" w:cs="Arial" w:eastAsia="Arial" w:hAnsi="Arial"/>
          <w:sz w:val="18"/>
          <w:szCs w:val="18"/>
          <w:color w:val="000000"/>
        </w:rPr>
        <w:t>and maintain all tangible property material to the conduct of its business in good working order and condition, ordinary wear and tear and casualty excepted and except (i) as otherwise permitted by Section 6.03 or (ii) where the failure to do so could not reasonably be expected to result in a Material Adverse Effect, and (b) maintain, in all material respects, with carriers reasonably believed by the Borrower to be financially sound and reputable or through reasonable and adequate self-insurance (i) insurance in such amounts and against such risks and such other hazards, as is customarily maintained by companies engaged in the same or similar businesses operating in the same or similar locations and (ii) all insurance required pursuant to the Collateral Documents. The Borrower will furnish to the Administrative Agent, upon any reasonable request of the Administrative Agent, information in reasonable detail as to the insurance so maintained. The Borrower shall deliver to the Administrative Agent endorsements (x) to all “All Risk” physical damage insurance policies on all of the tangible personal property and assets of the Borrower and the Subsidiary Guarantors naming the Administrative Agent as lender loss payee, and (y) to all general liability and other liability policies of the Borrower and the Subsidiary Guarantors naming the Administrative Agent an additional insured. In the event the Borrower or any of its Subsidiaries at any time or times hereafter shall fail to obtain or maintain any of the policies or insurance required herein or to pay any premium in whole or in part then due and payable relating thereto, then the Administrative Agent, without waiving or releasing any obligations or resulting Default hereunder, may, after providing written notice to the Borrower, at any time or times thereafter (but shall be under no obligation to do so) obtain and maintain such policies of insurance and pay such premiums and take any other action with respect thereto which the Administrative Agent reasonably deems advisable. All sums so disbursed by the Administrative Agent shall constitute part of the Obligations, payable as provided in this Agreement.</w:t>
      </w:r>
    </w:p>
    <w:p>
      <w:pPr>
        <w:spacing w:after="0" w:line="155" w:lineRule="exact"/>
        <w:rPr>
          <w:sz w:val="20"/>
          <w:szCs w:val="20"/>
          <w:color w:val="auto"/>
        </w:rPr>
      </w:pPr>
    </w:p>
    <w:p>
      <w:pPr>
        <w:jc w:val="both"/>
        <w:ind w:firstLine="1272"/>
        <w:spacing w:after="0" w:line="219" w:lineRule="auto"/>
        <w:rPr>
          <w:sz w:val="20"/>
          <w:szCs w:val="20"/>
          <w:color w:val="auto"/>
        </w:rPr>
      </w:pPr>
      <w:r>
        <w:rPr>
          <w:rFonts w:ascii="Arial" w:cs="Arial" w:eastAsia="Arial" w:hAnsi="Arial"/>
          <w:sz w:val="18"/>
          <w:szCs w:val="18"/>
          <w:color w:val="010000"/>
        </w:rPr>
        <w:t>SECTION 1.06.</w:t>
      </w:r>
      <w:r>
        <w:rPr>
          <w:rFonts w:ascii="Arial" w:cs="Arial" w:eastAsia="Arial" w:hAnsi="Arial"/>
          <w:sz w:val="18"/>
          <w:szCs w:val="18"/>
          <w:u w:val="single" w:color="auto"/>
          <w:color w:val="000000"/>
        </w:rPr>
        <w:t>Books and Records; Inspection Rights</w:t>
      </w:r>
      <w:r>
        <w:rPr>
          <w:rFonts w:ascii="Arial" w:cs="Arial" w:eastAsia="Arial" w:hAnsi="Arial"/>
          <w:sz w:val="18"/>
          <w:szCs w:val="18"/>
          <w:color w:val="000000"/>
        </w:rPr>
        <w:t>. The Borrower will, and will cause each of its Subsidiaries to, keep</w:t>
      </w:r>
      <w:r>
        <w:rPr>
          <w:rFonts w:ascii="Arial" w:cs="Arial" w:eastAsia="Arial" w:hAnsi="Arial"/>
          <w:sz w:val="18"/>
          <w:szCs w:val="18"/>
          <w:color w:val="010000"/>
        </w:rPr>
        <w:t xml:space="preserve"> </w:t>
      </w:r>
      <w:r>
        <w:rPr>
          <w:rFonts w:ascii="Arial" w:cs="Arial" w:eastAsia="Arial" w:hAnsi="Arial"/>
          <w:sz w:val="18"/>
          <w:szCs w:val="18"/>
          <w:color w:val="000000"/>
        </w:rPr>
        <w:t>proper books of record and account in which full, true and correct entries in conformity in all material respects with applicable law are made of all material financial dealings and transactions in relation to its business and activities and, subject to Section 5.01(b), in form permitting financial statements conforming with GAAP to be derived therefrom. The Borrower will, and will cause each Subsidiary to, permit any representatives designated by the Administrative Agent, at reasonable times upon reasonable prior written notice, to visit and inspect its properties, to examine and make extracts from its books and records and to discuss its affairs, finances and condition with its Financial Officers and, provided that the Borrower or such Subsidiary is afforded the opportunity to participate in such discussion, its independent accountants, all at such reasonable times and as often as reasonably requested; provided that, so long as no Event of Default has occurred and is continuing, the Borrower shall not be required to reimburse the Administrative Agent or any of its representatives for fees, costs and expenses in connection with the Administrative Agent’s exercise of such rights set forth in this sentence more than one time in any calendar year. The Borrower acknowledges that, subject to Section 9.12, the Administrative Agent, after exercising its rights of inspection, may prepare and distribute to the Lenders certain reports pertaining to the Borrower and its Subsidiaries’ assets for internal use by the Administrative Agent and the Lenders. Notwithstanding anything to the contrary in this Section 5.06, neither the Borrower nor any Subsidiary will be required to disclose, permit the inspection, examination or making of extracts, or discussion of, any documents, information or other matter that (i) constitutes non-financial trade secrets or non-financial proprietary information, (ii) in respect of which disclosure to the Administrative Agent (or any designated representative) is then prohibited by law or any agreement binding on any Loan Party or any Subsidiary or (iii) is subject to attorney-client or similar privilege or constitutes attorney work-product.</w:t>
      </w:r>
    </w:p>
    <w:p>
      <w:pPr>
        <w:spacing w:after="0" w:line="155"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010000"/>
        </w:rPr>
        <w:t>SECTION 1.07.</w:t>
      </w:r>
      <w:r>
        <w:rPr>
          <w:rFonts w:ascii="Arial" w:cs="Arial" w:eastAsia="Arial" w:hAnsi="Arial"/>
          <w:sz w:val="19"/>
          <w:szCs w:val="19"/>
          <w:u w:val="single" w:color="auto"/>
          <w:color w:val="000000"/>
        </w:rPr>
        <w:t>Compliance with Laws and Material Contractual Obligations</w:t>
      </w:r>
      <w:r>
        <w:rPr>
          <w:rFonts w:ascii="Arial" w:cs="Arial" w:eastAsia="Arial" w:hAnsi="Arial"/>
          <w:sz w:val="19"/>
          <w:szCs w:val="19"/>
          <w:color w:val="000000"/>
        </w:rPr>
        <w:t>. The Borrower will, and will cause each of its</w:t>
      </w:r>
      <w:r>
        <w:rPr>
          <w:rFonts w:ascii="Arial" w:cs="Arial" w:eastAsia="Arial" w:hAnsi="Arial"/>
          <w:sz w:val="19"/>
          <w:szCs w:val="19"/>
          <w:color w:val="010000"/>
        </w:rPr>
        <w:t xml:space="preserve"> </w:t>
      </w:r>
      <w:r>
        <w:rPr>
          <w:rFonts w:ascii="Arial" w:cs="Arial" w:eastAsia="Arial" w:hAnsi="Arial"/>
          <w:sz w:val="19"/>
          <w:szCs w:val="19"/>
          <w:color w:val="000000"/>
        </w:rPr>
        <w:t>Subsidiaries to, (i) comply with all laws, rules, regulations and orders of any Governmental Authority applicable to it or its property (including without limitation Environmental Laws) and (ii) perform its obligations under material agreements to which it is a party, in each case with respect to clauses (i) and (ii), except where the failure to do so, individually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ectPr>
          <w:pgSz w:w="11900" w:h="16838" w:orient="portrait"/>
          <w:cols w:equalWidth="0" w:num="1">
            <w:col w:w="11240"/>
          </w:cols>
          <w:pgMar w:left="320" w:top="1381" w:right="339" w:bottom="1440" w:gutter="0" w:footer="0" w:header="0"/>
        </w:sectPr>
      </w:pPr>
    </w:p>
    <w:bookmarkStart w:id="101" w:name="page102"/>
    <w:bookmarkEnd w:id="101"/>
    <w:p>
      <w:pPr>
        <w:jc w:val="both"/>
        <w:spacing w:after="0" w:line="226" w:lineRule="auto"/>
        <w:rPr>
          <w:sz w:val="20"/>
          <w:szCs w:val="20"/>
          <w:color w:val="auto"/>
        </w:rPr>
      </w:pPr>
      <w:r>
        <w:rPr>
          <w:rFonts w:ascii="Arial" w:cs="Arial" w:eastAsia="Arial" w:hAnsi="Arial"/>
          <w:sz w:val="19"/>
          <w:szCs w:val="19"/>
          <w:color w:val="auto"/>
        </w:rPr>
        <w:t>aggregate, could not reasonably be expected to result in a Material Adverse Effect.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51" w:lineRule="exact"/>
        <w:rPr>
          <w:sz w:val="20"/>
          <w:szCs w:val="20"/>
          <w:color w:val="auto"/>
        </w:rPr>
      </w:pPr>
    </w:p>
    <w:p>
      <w:pPr>
        <w:jc w:val="both"/>
        <w:ind w:firstLine="1272"/>
        <w:spacing w:after="0" w:line="210" w:lineRule="auto"/>
        <w:rPr>
          <w:sz w:val="20"/>
          <w:szCs w:val="20"/>
          <w:color w:val="auto"/>
        </w:rPr>
      </w:pPr>
      <w:r>
        <w:rPr>
          <w:rFonts w:ascii="Arial" w:cs="Arial" w:eastAsia="Arial" w:hAnsi="Arial"/>
          <w:sz w:val="19"/>
          <w:szCs w:val="19"/>
          <w:color w:val="010000"/>
        </w:rPr>
        <w:t>SECTION 1.08.</w:t>
      </w:r>
      <w:r>
        <w:rPr>
          <w:rFonts w:ascii="Arial" w:cs="Arial" w:eastAsia="Arial" w:hAnsi="Arial"/>
          <w:sz w:val="19"/>
          <w:szCs w:val="19"/>
          <w:u w:val="single" w:color="auto"/>
          <w:color w:val="000000"/>
        </w:rPr>
        <w:t>Use of Proceeds</w:t>
      </w:r>
      <w:r>
        <w:rPr>
          <w:rFonts w:ascii="Arial" w:cs="Arial" w:eastAsia="Arial" w:hAnsi="Arial"/>
          <w:sz w:val="19"/>
          <w:szCs w:val="19"/>
          <w:color w:val="000000"/>
        </w:rPr>
        <w:t>. The proceeds of the Loans will be used only to finance, and Letters of Credit will be issued</w:t>
      </w:r>
      <w:r>
        <w:rPr>
          <w:rFonts w:ascii="Arial" w:cs="Arial" w:eastAsia="Arial" w:hAnsi="Arial"/>
          <w:sz w:val="19"/>
          <w:szCs w:val="19"/>
          <w:color w:val="010000"/>
        </w:rPr>
        <w:t xml:space="preserve"> </w:t>
      </w:r>
      <w:r>
        <w:rPr>
          <w:rFonts w:ascii="Arial" w:cs="Arial" w:eastAsia="Arial" w:hAnsi="Arial"/>
          <w:sz w:val="19"/>
          <w:szCs w:val="19"/>
          <w:color w:val="000000"/>
        </w:rPr>
        <w:t>only to support, the working capital needs, and for general corporate purposes, of the Borrower and its Subsidiaries, and for Permitted Acquisitions. No part of the proceeds of any Loan will be used, whether directly or indirectly, for any purpose that entails a violation of any of the regulations of the Federal Reserve Board, including Regulations T, U and X. The Borrower will not request any Borrowing or Letter of Credit, and the Borrower shall not use, and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155"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1.09.</w:t>
      </w:r>
      <w:r>
        <w:rPr>
          <w:rFonts w:ascii="Arial" w:cs="Arial" w:eastAsia="Arial" w:hAnsi="Arial"/>
          <w:sz w:val="19"/>
          <w:szCs w:val="19"/>
          <w:u w:val="single" w:color="auto"/>
          <w:color w:val="000000"/>
        </w:rPr>
        <w:t>Subsidiary Guarantors; Pledges; Additional Collateral; Further Assurances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09" w:lineRule="auto"/>
        <w:tabs>
          <w:tab w:leader="none" w:pos="1898" w:val="left"/>
        </w:tabs>
        <w:numPr>
          <w:ilvl w:val="0"/>
          <w:numId w:val="116"/>
        </w:numPr>
        <w:rPr>
          <w:rFonts w:ascii="Arial" w:cs="Arial" w:eastAsia="Arial" w:hAnsi="Arial"/>
          <w:sz w:val="19"/>
          <w:szCs w:val="19"/>
          <w:color w:val="010000"/>
        </w:rPr>
      </w:pPr>
      <w:r>
        <w:rPr>
          <w:rFonts w:ascii="Arial" w:cs="Arial" w:eastAsia="Arial" w:hAnsi="Arial"/>
          <w:sz w:val="19"/>
          <w:szCs w:val="19"/>
          <w:color w:val="auto"/>
        </w:rPr>
        <w:t>As promptly as possible but in any event within sixty (60) days (or such later date as may be agreed upon by the Administrative Agent) after any Person becomes a Subsidiary or any Subsidiary qualifies independently as, or is designated by the Borrower or the Administrative Agent as, a Material Domestic Subsidiary pursuant to the definition of “Material Domestic Subsidiary”, the Borrower shall provide the Administrative Agent with written notice thereof and shall cause each such Subsidiary which also qualifies as a Material Domestic Subsidiary to deliver to the Administrative Agent a joinder to the relevant Subsidiary Guaranty and a joinder to the relevant Security Agreement (in each case in the form contemplated thereby) pursuant to which such Subsidiary agrees to be bound by the terms and provisions thereof, such Subsidiary Guaranty and such Security Agreement to be accompanied by requisite organizational resolutions, other organizational documentation and legal opinions as may be reasonably requested by, and in form and substance reasonably satisfactory to, the Administrative Agent and its counsel (but, with respect to any such legal opinion, limited to the types of matters covered in the legal opinions delivered pursuant to Section 4.01). Notwithstanding anything to the contrary in any Loan Document, no Excluded Subsidiary shall be required to be a Subsidiary Guarantor.</w:t>
      </w:r>
    </w:p>
    <w:p>
      <w:pPr>
        <w:spacing w:after="0" w:line="159" w:lineRule="exact"/>
        <w:rPr>
          <w:rFonts w:ascii="Arial" w:cs="Arial" w:eastAsia="Arial" w:hAnsi="Arial"/>
          <w:sz w:val="19"/>
          <w:szCs w:val="19"/>
          <w:color w:val="010000"/>
        </w:rPr>
      </w:pPr>
    </w:p>
    <w:p>
      <w:pPr>
        <w:jc w:val="both"/>
        <w:ind w:firstLine="1278"/>
        <w:spacing w:after="0" w:line="221" w:lineRule="auto"/>
        <w:tabs>
          <w:tab w:leader="none" w:pos="1896" w:val="left"/>
        </w:tabs>
        <w:numPr>
          <w:ilvl w:val="0"/>
          <w:numId w:val="116"/>
        </w:numPr>
        <w:rPr>
          <w:rFonts w:ascii="Arial" w:cs="Arial" w:eastAsia="Arial" w:hAnsi="Arial"/>
          <w:sz w:val="18"/>
          <w:szCs w:val="18"/>
          <w:color w:val="010000"/>
        </w:rPr>
      </w:pPr>
      <w:r>
        <w:rPr>
          <w:rFonts w:ascii="Arial" w:cs="Arial" w:eastAsia="Arial" w:hAnsi="Arial"/>
          <w:sz w:val="18"/>
          <w:szCs w:val="18"/>
          <w:color w:val="auto"/>
        </w:rPr>
        <w:t>Subject to the terms, limitations and exceptions set forth in the applicable Collateral Documents, the Borrower will cause, and will cause each other Loan Party to cause, all of its owned property (whether personal, tangible, intangible, or mixed, but excluding Excluded Assets) to be subject at all times to first priority, perfected Liens in favor of the Administrative Agent for the benefit of the Secured Parties to secure the Secured Obligations in accordance with the terms and conditions of the Collateral Documents, subject in any case to Liens permitted by Section 6.02. With respect to the pledge of any Equity Interests in any Subsidiary and subject to the terms, limitations and exceptions set forth in the applicable Collateral Documents, the Borrower will cause (A) 100% of the issued and outstanding Equity Interests of each Pledge Subsidiary that is a Domestic Subsidiary and (B) 65% of the issued and outstanding Equity Interests entitled to vote (within the meaning of Treas. Reg. Section 1.956-2(c)(2)) and 100% of the issued and outstanding Equity Interests not entitled to vote (within the meaning of Treas. Reg. Section 1.956-2(c)(2)) in each Pledge Subsidiary that is a Foreign Subsidiary, in each case directly owned by the Borrower or any other Loan Party to be subject at all times to a first priority, perfected Lien in favor of the Administrative Agent to secure the Secured Obligations in accordance with the terms and conditions of the Collateral Documents or such other pledge and security documents as the Administrative Agent shall reasonably request.</w:t>
      </w:r>
    </w:p>
    <w:p>
      <w:pPr>
        <w:spacing w:after="0" w:line="150" w:lineRule="exact"/>
        <w:rPr>
          <w:rFonts w:ascii="Arial" w:cs="Arial" w:eastAsia="Arial" w:hAnsi="Arial"/>
          <w:sz w:val="18"/>
          <w:szCs w:val="18"/>
          <w:color w:val="010000"/>
        </w:rPr>
      </w:pPr>
    </w:p>
    <w:p>
      <w:pPr>
        <w:jc w:val="both"/>
        <w:ind w:firstLine="1278"/>
        <w:spacing w:after="0" w:line="238" w:lineRule="auto"/>
        <w:tabs>
          <w:tab w:leader="none" w:pos="1898" w:val="left"/>
        </w:tabs>
        <w:numPr>
          <w:ilvl w:val="0"/>
          <w:numId w:val="116"/>
        </w:numPr>
        <w:rPr>
          <w:rFonts w:ascii="Arial" w:cs="Arial" w:eastAsia="Arial" w:hAnsi="Arial"/>
          <w:sz w:val="18"/>
          <w:szCs w:val="18"/>
          <w:color w:val="010000"/>
        </w:rPr>
      </w:pPr>
      <w:r>
        <w:rPr>
          <w:rFonts w:ascii="Arial" w:cs="Arial" w:eastAsia="Arial" w:hAnsi="Arial"/>
          <w:sz w:val="18"/>
          <w:szCs w:val="18"/>
          <w:color w:val="auto"/>
        </w:rPr>
        <w:t>Without limiting the foregoing, the Borrower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ectPr>
          <w:pgSz w:w="11900" w:h="16838" w:orient="portrait"/>
          <w:cols w:equalWidth="0" w:num="1">
            <w:col w:w="11240"/>
          </w:cols>
          <w:pgMar w:left="320" w:top="1381" w:right="339" w:bottom="1440" w:gutter="0" w:footer="0" w:header="0"/>
        </w:sectPr>
      </w:pPr>
    </w:p>
    <w:bookmarkStart w:id="102" w:name="page103"/>
    <w:bookmarkEnd w:id="102"/>
    <w:p>
      <w:pPr>
        <w:jc w:val="both"/>
        <w:spacing w:after="0" w:line="226" w:lineRule="auto"/>
        <w:rPr>
          <w:sz w:val="20"/>
          <w:szCs w:val="20"/>
          <w:color w:val="auto"/>
        </w:rPr>
      </w:pPr>
      <w:r>
        <w:rPr>
          <w:rFonts w:ascii="Arial" w:cs="Arial" w:eastAsia="Arial" w:hAnsi="Arial"/>
          <w:sz w:val="19"/>
          <w:szCs w:val="19"/>
          <w:color w:val="auto"/>
        </w:rPr>
        <w:t>of the type required by Section 4.01,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expense of the Borrower.</w:t>
      </w:r>
    </w:p>
    <w:p>
      <w:pPr>
        <w:spacing w:after="0" w:line="151" w:lineRule="exact"/>
        <w:rPr>
          <w:sz w:val="20"/>
          <w:szCs w:val="20"/>
          <w:color w:val="auto"/>
        </w:rPr>
      </w:pPr>
    </w:p>
    <w:p>
      <w:pPr>
        <w:jc w:val="both"/>
        <w:ind w:firstLine="1278"/>
        <w:spacing w:after="0" w:line="215" w:lineRule="auto"/>
        <w:tabs>
          <w:tab w:leader="none" w:pos="1896" w:val="left"/>
        </w:tabs>
        <w:numPr>
          <w:ilvl w:val="0"/>
          <w:numId w:val="117"/>
        </w:numPr>
        <w:rPr>
          <w:rFonts w:ascii="Arial" w:cs="Arial" w:eastAsia="Arial" w:hAnsi="Arial"/>
          <w:sz w:val="19"/>
          <w:szCs w:val="19"/>
          <w:color w:val="010000"/>
        </w:rPr>
      </w:pPr>
      <w:r>
        <w:rPr>
          <w:rFonts w:ascii="Arial" w:cs="Arial" w:eastAsia="Arial" w:hAnsi="Arial"/>
          <w:sz w:val="19"/>
          <w:szCs w:val="19"/>
          <w:color w:val="auto"/>
        </w:rPr>
        <w:t>If any assets are acquired by a Loan Party after the Effective Date (other than (x) assets constituting Collateral under the Security Agreement that become subject to the Lien under the Security Agreement upon acquisition thereof and (y) Excluded Assets), the Borrower will notify the Administrative Agent thereof, and, if requested by the Administrative Agent, the Borrower will cause such assets to be subjected to a Lien securing the Secured Obligations and will take, and cause the other Loan Parties to take, such actions as shall be necessary or reasonably requested by the Administrative Agent to grant and perfect such Liens, including actions described in paragraph (c) of this Section, all at the expense of the Borrower.</w:t>
      </w:r>
    </w:p>
    <w:p>
      <w:pPr>
        <w:spacing w:after="0" w:line="150" w:lineRule="exact"/>
        <w:rPr>
          <w:rFonts w:ascii="Arial" w:cs="Arial" w:eastAsia="Arial" w:hAnsi="Arial"/>
          <w:sz w:val="19"/>
          <w:szCs w:val="19"/>
          <w:color w:val="010000"/>
        </w:rPr>
      </w:pPr>
    </w:p>
    <w:p>
      <w:pPr>
        <w:jc w:val="both"/>
        <w:ind w:firstLine="1278"/>
        <w:spacing w:after="0" w:line="213" w:lineRule="auto"/>
        <w:tabs>
          <w:tab w:leader="none" w:pos="1898" w:val="left"/>
        </w:tabs>
        <w:numPr>
          <w:ilvl w:val="0"/>
          <w:numId w:val="117"/>
        </w:numPr>
        <w:rPr>
          <w:rFonts w:ascii="Arial" w:cs="Arial" w:eastAsia="Arial" w:hAnsi="Arial"/>
          <w:sz w:val="19"/>
          <w:szCs w:val="19"/>
          <w:color w:val="010000"/>
        </w:rPr>
      </w:pPr>
      <w:r>
        <w:rPr>
          <w:rFonts w:ascii="Arial" w:cs="Arial" w:eastAsia="Arial" w:hAnsi="Arial"/>
          <w:sz w:val="19"/>
          <w:szCs w:val="19"/>
          <w:color w:val="auto"/>
        </w:rPr>
        <w:t>Notwithstanding the foregoing, in no event shall (i) prior to the occurrence of an Event of Default, any control agreements or control or similar arrangements be required with respect to cash deposit or securities accounts, (ii) notice be required to be sent to account debtors or other contractual third parties prior to the occurrence and absent the continuance of a Specified Event of Default, unless required for the creation and perfection of the Liens pursuant to any Collateral Document, or otherwise agreed in any Collateral Document, (iii) the Collateral include escrow accounts established in connection with any acquisition or Investment or other accounts holding funds for the benefit of persons that are not the Borrower or its Subsidiaries or (iv) foreign law-governed pledge agreements in respect of the Equity Interests of a Foreign Subsidiary be required hereunder.</w:t>
      </w:r>
    </w:p>
    <w:p>
      <w:pPr>
        <w:spacing w:after="0" w:line="153"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010000"/>
        </w:rPr>
        <w:t xml:space="preserve">SECTION 1.10. </w:t>
      </w:r>
      <w:r>
        <w:rPr>
          <w:rFonts w:ascii="Arial" w:cs="Arial" w:eastAsia="Arial" w:hAnsi="Arial"/>
          <w:sz w:val="19"/>
          <w:szCs w:val="19"/>
          <w:u w:val="single" w:color="auto"/>
          <w:color w:val="000000"/>
        </w:rPr>
        <w:t>Post-Closing Covenant</w:t>
      </w:r>
      <w:r>
        <w:rPr>
          <w:rFonts w:ascii="Arial" w:cs="Arial" w:eastAsia="Arial" w:hAnsi="Arial"/>
          <w:sz w:val="19"/>
          <w:szCs w:val="19"/>
          <w:color w:val="000000"/>
        </w:rPr>
        <w:t>. Within thirty (30) days after the Effective Date (or such longer period as may be agreed</w:t>
      </w:r>
      <w:r>
        <w:rPr>
          <w:rFonts w:ascii="Arial" w:cs="Arial" w:eastAsia="Arial" w:hAnsi="Arial"/>
          <w:sz w:val="19"/>
          <w:szCs w:val="19"/>
          <w:color w:val="010000"/>
        </w:rPr>
        <w:t xml:space="preserve"> </w:t>
      </w:r>
      <w:r>
        <w:rPr>
          <w:rFonts w:ascii="Arial" w:cs="Arial" w:eastAsia="Arial" w:hAnsi="Arial"/>
          <w:sz w:val="19"/>
          <w:szCs w:val="19"/>
          <w:color w:val="000000"/>
        </w:rPr>
        <w:t>by the Administrative Agent in its reasonable discretion), the Loan Parties shall deliver to the Administrative Agent (i) separate lender loss payable endorsements with respect to the property casualty insurance policies of the Borrower and the Subsidiary Guarantors and (ii) separate additional insured endorsements with respect to the liability insurance policies of the Borrower and the Subsidiary Guarantors, in each case in form and substance reasonably satisfactory to the Administrative Agent.</w:t>
      </w:r>
    </w:p>
    <w:p>
      <w:pPr>
        <w:spacing w:after="0" w:line="284"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010000"/>
        </w:rPr>
        <w:t>Article VI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Negative Covenants</w:t>
      </w:r>
    </w:p>
    <w:p>
      <w:pPr>
        <w:spacing w:after="0" w:line="100" w:lineRule="exact"/>
        <w:rPr>
          <w:sz w:val="20"/>
          <w:szCs w:val="20"/>
          <w:color w:val="auto"/>
        </w:rPr>
      </w:pPr>
    </w:p>
    <w:p>
      <w:pPr>
        <w:jc w:val="both"/>
        <w:ind w:firstLine="1272"/>
        <w:spacing w:after="0" w:line="248" w:lineRule="auto"/>
        <w:rPr>
          <w:sz w:val="20"/>
          <w:szCs w:val="20"/>
          <w:color w:val="auto"/>
        </w:rPr>
      </w:pPr>
      <w:r>
        <w:rPr>
          <w:rFonts w:ascii="Arial" w:cs="Arial" w:eastAsia="Arial" w:hAnsi="Arial"/>
          <w:sz w:val="17"/>
          <w:szCs w:val="17"/>
          <w:color w:val="auto"/>
        </w:rPr>
        <w:t>Until the Commitments have expired or terminated and the principal of and interest on each Loan and all fees due and payable hereunder have been paid in full (other than Obligations expressly stated to survive such payment and termination) and all Letters of Credit have expired or terminated (or shall have been cash collateralized or backstopped pursuant to arrangements reasonably satisfactory to the Administrative Agent) and all LC Disbursements shall have been reimbursed, the Borrower covenants and agrees with the Lenders that:</w:t>
      </w:r>
    </w:p>
    <w:p>
      <w:pPr>
        <w:spacing w:after="0" w:line="146"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010000"/>
        </w:rPr>
        <w:t>SECTION 1.01.</w:t>
      </w:r>
      <w:r>
        <w:rPr>
          <w:rFonts w:ascii="Arial" w:cs="Arial" w:eastAsia="Arial" w:hAnsi="Arial"/>
          <w:sz w:val="19"/>
          <w:szCs w:val="19"/>
          <w:u w:val="single" w:color="auto"/>
          <w:color w:val="000000"/>
        </w:rPr>
        <w:t>Indebtedness</w:t>
      </w:r>
      <w:r>
        <w:rPr>
          <w:rFonts w:ascii="Arial" w:cs="Arial" w:eastAsia="Arial" w:hAnsi="Arial"/>
          <w:sz w:val="19"/>
          <w:szCs w:val="19"/>
          <w:color w:val="000000"/>
        </w:rPr>
        <w:t>. The Borrower will not, and will not permit any Subsidiary to, create, incur, assume or permit to</w:t>
      </w:r>
      <w:r>
        <w:rPr>
          <w:rFonts w:ascii="Arial" w:cs="Arial" w:eastAsia="Arial" w:hAnsi="Arial"/>
          <w:sz w:val="19"/>
          <w:szCs w:val="19"/>
          <w:color w:val="010000"/>
        </w:rPr>
        <w:t xml:space="preserve"> </w:t>
      </w:r>
      <w:r>
        <w:rPr>
          <w:rFonts w:ascii="Arial" w:cs="Arial" w:eastAsia="Arial" w:hAnsi="Arial"/>
          <w:sz w:val="19"/>
          <w:szCs w:val="19"/>
          <w:color w:val="000000"/>
        </w:rPr>
        <w:t>exist any Indebtedness, except:</w:t>
      </w:r>
    </w:p>
    <w:p>
      <w:pPr>
        <w:spacing w:after="0" w:line="151" w:lineRule="exact"/>
        <w:rPr>
          <w:sz w:val="20"/>
          <w:szCs w:val="20"/>
          <w:color w:val="auto"/>
        </w:rPr>
      </w:pPr>
    </w:p>
    <w:p>
      <w:pPr>
        <w:ind w:left="1900" w:hanging="622"/>
        <w:spacing w:after="0"/>
        <w:tabs>
          <w:tab w:leader="none" w:pos="1900" w:val="left"/>
        </w:tabs>
        <w:numPr>
          <w:ilvl w:val="0"/>
          <w:numId w:val="118"/>
        </w:numPr>
        <w:rPr>
          <w:rFonts w:ascii="Arial" w:cs="Arial" w:eastAsia="Arial" w:hAnsi="Arial"/>
          <w:sz w:val="19"/>
          <w:szCs w:val="19"/>
          <w:color w:val="010000"/>
        </w:rPr>
      </w:pPr>
      <w:r>
        <w:rPr>
          <w:rFonts w:ascii="Arial" w:cs="Arial" w:eastAsia="Arial" w:hAnsi="Arial"/>
          <w:sz w:val="19"/>
          <w:szCs w:val="19"/>
          <w:color w:val="auto"/>
        </w:rPr>
        <w:t>the Secured Obligations;</w:t>
      </w:r>
    </w:p>
    <w:p>
      <w:pPr>
        <w:spacing w:after="0" w:line="179" w:lineRule="exact"/>
        <w:rPr>
          <w:rFonts w:ascii="Arial" w:cs="Arial" w:eastAsia="Arial" w:hAnsi="Arial"/>
          <w:sz w:val="19"/>
          <w:szCs w:val="19"/>
          <w:color w:val="010000"/>
        </w:rPr>
      </w:pPr>
    </w:p>
    <w:p>
      <w:pPr>
        <w:jc w:val="both"/>
        <w:ind w:left="640" w:firstLine="638"/>
        <w:spacing w:after="0" w:line="232" w:lineRule="auto"/>
        <w:tabs>
          <w:tab w:leader="none" w:pos="1900"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 xml:space="preserve">Indebtedness existing on the Effective Date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amendments, modifications, extensions, refinancings, renewals and replacements of any such Indebtedness that does not increase the outstanding principal amount thereof (other than with respect to unpaid accrued interest and premiums thereon, any committed or undrawn amounts and underwriting discounts, fees, commissions, premiums and expenses associated with such Indebtedness);</w:t>
      </w:r>
    </w:p>
    <w:p>
      <w:pPr>
        <w:spacing w:after="0" w:line="153" w:lineRule="exact"/>
        <w:rPr>
          <w:rFonts w:ascii="Arial" w:cs="Arial" w:eastAsia="Arial" w:hAnsi="Arial"/>
          <w:sz w:val="18"/>
          <w:szCs w:val="18"/>
          <w:color w:val="010000"/>
        </w:rPr>
      </w:pPr>
    </w:p>
    <w:p>
      <w:pPr>
        <w:ind w:left="640" w:firstLine="638"/>
        <w:spacing w:after="0" w:line="237" w:lineRule="auto"/>
        <w:tabs>
          <w:tab w:leader="none" w:pos="1902" w:val="left"/>
        </w:tabs>
        <w:numPr>
          <w:ilvl w:val="0"/>
          <w:numId w:val="118"/>
        </w:numPr>
        <w:rPr>
          <w:rFonts w:ascii="Arial" w:cs="Arial" w:eastAsia="Arial" w:hAnsi="Arial"/>
          <w:sz w:val="19"/>
          <w:szCs w:val="19"/>
          <w:color w:val="010000"/>
        </w:rPr>
      </w:pPr>
      <w:r>
        <w:rPr>
          <w:rFonts w:ascii="Arial" w:cs="Arial" w:eastAsia="Arial" w:hAnsi="Arial"/>
          <w:sz w:val="19"/>
          <w:szCs w:val="19"/>
          <w:color w:val="auto"/>
        </w:rPr>
        <w:t xml:space="preserve">Indebtedness of the Borrower to any Subsidiary and of any Subsidiary to the Borrower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Indebtedness of any Subsidiary that is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ectPr>
          <w:pgSz w:w="11900" w:h="16838" w:orient="portrait"/>
          <w:cols w:equalWidth="0" w:num="1">
            <w:col w:w="11240"/>
          </w:cols>
          <w:pgMar w:left="320" w:top="1381" w:right="339" w:bottom="1440" w:gutter="0" w:footer="0" w:header="0"/>
        </w:sectPr>
      </w:pPr>
    </w:p>
    <w:bookmarkStart w:id="103" w:name="page104"/>
    <w:bookmarkEnd w:id="103"/>
    <w:p>
      <w:pPr>
        <w:jc w:val="both"/>
        <w:spacing w:after="0" w:line="226" w:lineRule="auto"/>
        <w:rPr>
          <w:sz w:val="20"/>
          <w:szCs w:val="20"/>
          <w:color w:val="auto"/>
        </w:rPr>
      </w:pPr>
      <w:r>
        <w:rPr>
          <w:rFonts w:ascii="Arial" w:cs="Arial" w:eastAsia="Arial" w:hAnsi="Arial"/>
          <w:sz w:val="19"/>
          <w:szCs w:val="19"/>
          <w:color w:val="auto"/>
        </w:rPr>
        <w:t>Loan Party to any Loan Party shall be subject to the limitations set forth in Section 6.05(d) and (ii) Indebtedness of any Loan Party to any Subsidiary that is not a Loan Party shall be subordinated to the Secured Obligations on terms reasonably satisfactory to the Administrative Agent;</w:t>
      </w:r>
    </w:p>
    <w:p>
      <w:pPr>
        <w:spacing w:after="0" w:line="151" w:lineRule="exact"/>
        <w:rPr>
          <w:sz w:val="20"/>
          <w:szCs w:val="20"/>
          <w:color w:val="auto"/>
        </w:rPr>
      </w:pPr>
    </w:p>
    <w:p>
      <w:pPr>
        <w:ind w:firstLine="638"/>
        <w:spacing w:after="0" w:line="237" w:lineRule="auto"/>
        <w:tabs>
          <w:tab w:leader="none" w:pos="1260"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Guarantees by the Borrower of Indebtedness or other obligations of any Subsidiary and by any Subsidiary of Indebtedness or other obligations of the Borrower or any other Subsidiary;</w:t>
      </w:r>
    </w:p>
    <w:p>
      <w:pPr>
        <w:spacing w:after="0" w:line="151" w:lineRule="exact"/>
        <w:rPr>
          <w:rFonts w:ascii="Arial" w:cs="Arial" w:eastAsia="Arial" w:hAnsi="Arial"/>
          <w:sz w:val="19"/>
          <w:szCs w:val="19"/>
          <w:color w:val="010000"/>
        </w:rPr>
      </w:pPr>
    </w:p>
    <w:p>
      <w:pPr>
        <w:jc w:val="both"/>
        <w:ind w:firstLine="638"/>
        <w:spacing w:after="0" w:line="213" w:lineRule="auto"/>
        <w:tabs>
          <w:tab w:leader="none" w:pos="1262"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 xml:space="preserve">Indebtedness of the Borrower or any Subsidiary incurred to finance the acquisition, construction, repair, replacement, lease or improvement of any fixed or capital assets, including Capital Lease Obligations and any Indebtedness assumed in connection with the acquisition of any such assets or secured by a Lien on any such assets prior to the acquisition thereof, (to the extent such Indebtedness is incurred prior to or within one hundred eighty (180) days after such acquisition or the completion of such construction, repair, replacement, lease or improvement) and amendments, modifications, extensions, refinancings, renewals and replacements of any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outstanding principal amount of Indebtedness permitted by this clause (e) shall not exceed $25,000,000 at any time outstanding;</w:t>
      </w:r>
    </w:p>
    <w:p>
      <w:pPr>
        <w:spacing w:after="0" w:line="153" w:lineRule="exact"/>
        <w:rPr>
          <w:rFonts w:ascii="Arial" w:cs="Arial" w:eastAsia="Arial" w:hAnsi="Arial"/>
          <w:sz w:val="19"/>
          <w:szCs w:val="19"/>
          <w:color w:val="010000"/>
        </w:rPr>
      </w:pPr>
    </w:p>
    <w:p>
      <w:pPr>
        <w:jc w:val="both"/>
        <w:ind w:firstLine="638"/>
        <w:spacing w:after="0" w:line="211" w:lineRule="auto"/>
        <w:tabs>
          <w:tab w:leader="none" w:pos="1267"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 xml:space="preserve">Indebtedness of any Person that becomes a Subsidiary of the Borrower after the Effective Date in a transaction permitted by this Agreement (or of any Person not previously a Subsidiary that is merged or consolidated with or into the Borrower or a Subsidiary in a transaction permitted hereunder) or Indebtedness of any Person that is assumed by the Borrower or any Subsidiary in connection with an Acquisition or other acquisition of any property or assets permitted hereunder, which Indebtedness is existing at the time such Person becomes a Subsidiary (or is so merged or consolidated) or such assets are acquired and is not created in contemplation of or in connection with such Person becoming a Subsidiary (or such merger or consolidation) or such assets being acquired, and amendments, modifications, extensions, refinancings, renewals and replacements of any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outstanding principal amount of Indebtedness permitted to be assumed under this clause (f) shall not exceed $25,000,000 at any time outstanding;</w:t>
      </w:r>
    </w:p>
    <w:p>
      <w:pPr>
        <w:spacing w:after="0" w:line="152" w:lineRule="exact"/>
        <w:rPr>
          <w:rFonts w:ascii="Arial" w:cs="Arial" w:eastAsia="Arial" w:hAnsi="Arial"/>
          <w:sz w:val="19"/>
          <w:szCs w:val="19"/>
          <w:color w:val="010000"/>
        </w:rPr>
      </w:pPr>
    </w:p>
    <w:p>
      <w:pPr>
        <w:ind w:left="1260" w:hanging="622"/>
        <w:spacing w:after="0"/>
        <w:tabs>
          <w:tab w:leader="none" w:pos="1260"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Indebtedness of the Borrower or any Subsidiary as an account party in respect of trade letters of credit;</w:t>
      </w:r>
    </w:p>
    <w:p>
      <w:pPr>
        <w:spacing w:after="0" w:line="179" w:lineRule="exact"/>
        <w:rPr>
          <w:rFonts w:ascii="Arial" w:cs="Arial" w:eastAsia="Arial" w:hAnsi="Arial"/>
          <w:sz w:val="19"/>
          <w:szCs w:val="19"/>
          <w:color w:val="010000"/>
        </w:rPr>
      </w:pPr>
    </w:p>
    <w:p>
      <w:pPr>
        <w:jc w:val="both"/>
        <w:ind w:firstLine="638"/>
        <w:spacing w:after="0" w:line="226" w:lineRule="auto"/>
        <w:tabs>
          <w:tab w:leader="none" w:pos="1260"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 xml:space="preserve">Indebtedness of the Borrower or any Subsidiary secured by a Lien on any asset of the Borrower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outstanding principal amount of Indebtedness permitted by this clause (h) shall not in the aggregate exceed $25,000,000 at any time;</w:t>
      </w:r>
    </w:p>
    <w:p>
      <w:pPr>
        <w:spacing w:after="0" w:line="151" w:lineRule="exact"/>
        <w:rPr>
          <w:rFonts w:ascii="Arial" w:cs="Arial" w:eastAsia="Arial" w:hAnsi="Arial"/>
          <w:sz w:val="19"/>
          <w:szCs w:val="19"/>
          <w:color w:val="010000"/>
        </w:rPr>
      </w:pPr>
    </w:p>
    <w:p>
      <w:pPr>
        <w:ind w:firstLine="638"/>
        <w:spacing w:after="0" w:line="237" w:lineRule="auto"/>
        <w:tabs>
          <w:tab w:leader="none" w:pos="1270"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customer advances or deposits or other endorsements for collection, deposit or negotiation and warranties of products or services, in each case received or incurred in the ordinary course of business;</w:t>
      </w:r>
    </w:p>
    <w:p>
      <w:pPr>
        <w:spacing w:after="0" w:line="151" w:lineRule="exact"/>
        <w:rPr>
          <w:rFonts w:ascii="Arial" w:cs="Arial" w:eastAsia="Arial" w:hAnsi="Arial"/>
          <w:sz w:val="19"/>
          <w:szCs w:val="19"/>
          <w:color w:val="010000"/>
        </w:rPr>
      </w:pPr>
    </w:p>
    <w:p>
      <w:pPr>
        <w:ind w:firstLine="638"/>
        <w:spacing w:after="0" w:line="237" w:lineRule="auto"/>
        <w:tabs>
          <w:tab w:leader="none" w:pos="1270"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unfunded pension fund and other employee benefit plan obligations and liabilities to the extent they are permitted to remain unfunded under applicable law;</w:t>
      </w:r>
    </w:p>
    <w:p>
      <w:pPr>
        <w:spacing w:after="0" w:line="151" w:lineRule="exact"/>
        <w:rPr>
          <w:rFonts w:ascii="Arial" w:cs="Arial" w:eastAsia="Arial" w:hAnsi="Arial"/>
          <w:sz w:val="19"/>
          <w:szCs w:val="19"/>
          <w:color w:val="010000"/>
        </w:rPr>
      </w:pPr>
    </w:p>
    <w:p>
      <w:pPr>
        <w:ind w:left="1260" w:hanging="622"/>
        <w:spacing w:after="0"/>
        <w:tabs>
          <w:tab w:leader="none" w:pos="1260"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Indebtedness representing deferred compensation to employees incurred in the ordinary course of business;</w:t>
      </w:r>
    </w:p>
    <w:p>
      <w:pPr>
        <w:spacing w:after="0" w:line="179" w:lineRule="exact"/>
        <w:rPr>
          <w:rFonts w:ascii="Arial" w:cs="Arial" w:eastAsia="Arial" w:hAnsi="Arial"/>
          <w:sz w:val="19"/>
          <w:szCs w:val="19"/>
          <w:color w:val="010000"/>
        </w:rPr>
      </w:pPr>
    </w:p>
    <w:p>
      <w:pPr>
        <w:jc w:val="both"/>
        <w:ind w:firstLine="638"/>
        <w:spacing w:after="0" w:line="226" w:lineRule="auto"/>
        <w:tabs>
          <w:tab w:leader="none" w:pos="1270"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indemnification obligations, earn-out or similar obligations, or Guarantees, surety bonds or performance bonds securing the performance of the Borrower or any of its Subsidiaries, in each case incurred or assumed in connection with a Permitted Acquisition or disposition or other acquisition of assets permitted hereunder;</w:t>
      </w:r>
    </w:p>
    <w:p>
      <w:pPr>
        <w:spacing w:after="0" w:line="151" w:lineRule="exact"/>
        <w:rPr>
          <w:rFonts w:ascii="Arial" w:cs="Arial" w:eastAsia="Arial" w:hAnsi="Arial"/>
          <w:sz w:val="19"/>
          <w:szCs w:val="19"/>
          <w:color w:val="010000"/>
        </w:rPr>
      </w:pPr>
    </w:p>
    <w:p>
      <w:pPr>
        <w:jc w:val="both"/>
        <w:ind w:firstLine="638"/>
        <w:spacing w:after="0" w:line="226" w:lineRule="auto"/>
        <w:tabs>
          <w:tab w:leader="none" w:pos="1261"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Indebtedness of the Borrower or any of its Subsidiaries in respect of performance bonds, bid bonds, appeal bonds, surety bonds and similar obligations, in each case provided in the ordinary course of business, including guarantees or obligations with respect to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65</w:t>
      </w:r>
    </w:p>
    <w:p>
      <w:pPr>
        <w:sectPr>
          <w:pgSz w:w="11900" w:h="16838" w:orient="portrait"/>
          <w:cols w:equalWidth="0" w:num="1">
            <w:col w:w="10600"/>
          </w:cols>
          <w:pgMar w:left="960" w:top="1381" w:right="339" w:bottom="1440" w:gutter="0" w:footer="0" w:header="0"/>
        </w:sectPr>
      </w:pPr>
    </w:p>
    <w:bookmarkStart w:id="104" w:name="page105"/>
    <w:bookmarkEnd w:id="104"/>
    <w:p>
      <w:pPr>
        <w:ind w:left="640"/>
        <w:spacing w:after="0"/>
        <w:rPr>
          <w:sz w:val="20"/>
          <w:szCs w:val="20"/>
          <w:color w:val="auto"/>
        </w:rPr>
      </w:pPr>
      <w:r>
        <w:rPr>
          <w:rFonts w:ascii="Arial" w:cs="Arial" w:eastAsia="Arial" w:hAnsi="Arial"/>
          <w:sz w:val="19"/>
          <w:szCs w:val="19"/>
          <w:color w:val="auto"/>
        </w:rPr>
        <w:t>supporting such performance bonds, bid bonds, appeal bonds, surety bonds and similar obligations;</w:t>
      </w:r>
    </w:p>
    <w:p>
      <w:pPr>
        <w:spacing w:after="0" w:line="179" w:lineRule="exact"/>
        <w:rPr>
          <w:sz w:val="20"/>
          <w:szCs w:val="20"/>
          <w:color w:val="auto"/>
        </w:rPr>
      </w:pPr>
    </w:p>
    <w:p>
      <w:pPr>
        <w:jc w:val="both"/>
        <w:ind w:left="640" w:firstLine="638"/>
        <w:spacing w:after="0" w:line="220" w:lineRule="auto"/>
        <w:tabs>
          <w:tab w:leader="none" w:pos="1900" w:val="left"/>
        </w:tabs>
        <w:numPr>
          <w:ilvl w:val="0"/>
          <w:numId w:val="120"/>
        </w:numPr>
        <w:rPr>
          <w:rFonts w:ascii="Arial" w:cs="Arial" w:eastAsia="Arial" w:hAnsi="Arial"/>
          <w:sz w:val="19"/>
          <w:szCs w:val="19"/>
          <w:color w:val="010000"/>
        </w:rPr>
      </w:pPr>
      <w:r>
        <w:rPr>
          <w:rFonts w:ascii="Arial" w:cs="Arial" w:eastAsia="Arial" w:hAnsi="Arial"/>
          <w:sz w:val="19"/>
          <w:szCs w:val="19"/>
          <w:color w:val="auto"/>
        </w:rPr>
        <w:t>Indebtedness arising from the honoring by a bank or other financial institution of a check, draft or similar instrument drawn against insufficient funds in the ordinary course of business or otherwise in respect of any netting services, overdrafts and related liabilities arising from treasury, depository and cash management services or in connection with any automated clearing-house transfers of funds;</w:t>
      </w:r>
    </w:p>
    <w:p>
      <w:pPr>
        <w:spacing w:after="0" w:line="152" w:lineRule="exact"/>
        <w:rPr>
          <w:rFonts w:ascii="Arial" w:cs="Arial" w:eastAsia="Arial" w:hAnsi="Arial"/>
          <w:sz w:val="19"/>
          <w:szCs w:val="19"/>
          <w:color w:val="010000"/>
        </w:rPr>
      </w:pPr>
    </w:p>
    <w:p>
      <w:pPr>
        <w:ind w:left="1900" w:hanging="622"/>
        <w:spacing w:after="0"/>
        <w:tabs>
          <w:tab w:leader="none" w:pos="1900" w:val="left"/>
        </w:tabs>
        <w:numPr>
          <w:ilvl w:val="0"/>
          <w:numId w:val="120"/>
        </w:numPr>
        <w:rPr>
          <w:rFonts w:ascii="Arial" w:cs="Arial" w:eastAsia="Arial" w:hAnsi="Arial"/>
          <w:sz w:val="19"/>
          <w:szCs w:val="19"/>
          <w:color w:val="010000"/>
        </w:rPr>
      </w:pPr>
      <w:r>
        <w:rPr>
          <w:rFonts w:ascii="Arial" w:cs="Arial" w:eastAsia="Arial" w:hAnsi="Arial"/>
          <w:sz w:val="19"/>
          <w:szCs w:val="19"/>
          <w:color w:val="auto"/>
        </w:rPr>
        <w:t>Indebtedness in respect to judgments or awards under circumstances not giving rise to an Event of Default;</w:t>
      </w:r>
    </w:p>
    <w:p>
      <w:pPr>
        <w:spacing w:after="0" w:line="179" w:lineRule="exact"/>
        <w:rPr>
          <w:rFonts w:ascii="Arial" w:cs="Arial" w:eastAsia="Arial" w:hAnsi="Arial"/>
          <w:sz w:val="19"/>
          <w:szCs w:val="19"/>
          <w:color w:val="010000"/>
        </w:rPr>
      </w:pPr>
    </w:p>
    <w:p>
      <w:pPr>
        <w:ind w:left="1900" w:hanging="622"/>
        <w:spacing w:after="0"/>
        <w:tabs>
          <w:tab w:leader="none" w:pos="1900" w:val="left"/>
        </w:tabs>
        <w:numPr>
          <w:ilvl w:val="0"/>
          <w:numId w:val="120"/>
        </w:numPr>
        <w:rPr>
          <w:rFonts w:ascii="Arial" w:cs="Arial" w:eastAsia="Arial" w:hAnsi="Arial"/>
          <w:sz w:val="19"/>
          <w:szCs w:val="19"/>
          <w:color w:val="010000"/>
        </w:rPr>
      </w:pPr>
      <w:r>
        <w:rPr>
          <w:rFonts w:ascii="Arial" w:cs="Arial" w:eastAsia="Arial" w:hAnsi="Arial"/>
          <w:sz w:val="19"/>
          <w:szCs w:val="19"/>
          <w:color w:val="auto"/>
        </w:rPr>
        <w:t>Indebtedness in respect of obligations that are being contested in accordance with Section 5.04;</w:t>
      </w:r>
    </w:p>
    <w:p>
      <w:pPr>
        <w:spacing w:after="0" w:line="179" w:lineRule="exact"/>
        <w:rPr>
          <w:rFonts w:ascii="Arial" w:cs="Arial" w:eastAsia="Arial" w:hAnsi="Arial"/>
          <w:sz w:val="19"/>
          <w:szCs w:val="19"/>
          <w:color w:val="010000"/>
        </w:rPr>
      </w:pPr>
    </w:p>
    <w:p>
      <w:pPr>
        <w:jc w:val="both"/>
        <w:ind w:left="640" w:firstLine="638"/>
        <w:spacing w:after="0" w:line="226" w:lineRule="auto"/>
        <w:tabs>
          <w:tab w:leader="none" w:pos="1900" w:val="left"/>
        </w:tabs>
        <w:numPr>
          <w:ilvl w:val="0"/>
          <w:numId w:val="120"/>
        </w:numPr>
        <w:rPr>
          <w:rFonts w:ascii="Arial" w:cs="Arial" w:eastAsia="Arial" w:hAnsi="Arial"/>
          <w:sz w:val="19"/>
          <w:szCs w:val="19"/>
          <w:color w:val="010000"/>
        </w:rPr>
      </w:pPr>
      <w:r>
        <w:rPr>
          <w:rFonts w:ascii="Arial" w:cs="Arial" w:eastAsia="Arial" w:hAnsi="Arial"/>
          <w:sz w:val="19"/>
          <w:szCs w:val="19"/>
          <w:color w:val="auto"/>
        </w:rPr>
        <w:t>Indebtedness consisting of (i) deferred payments or financing of insurance premiums incurred in the ordinary course of business of the Borrower or any of its Subsidiaries and (ii) take or pay obligations contained in any supply agreement entered into in the ordinary course of business;</w:t>
      </w:r>
    </w:p>
    <w:p>
      <w:pPr>
        <w:spacing w:after="0" w:line="151" w:lineRule="exact"/>
        <w:rPr>
          <w:rFonts w:ascii="Arial" w:cs="Arial" w:eastAsia="Arial" w:hAnsi="Arial"/>
          <w:sz w:val="19"/>
          <w:szCs w:val="19"/>
          <w:color w:val="010000"/>
        </w:rPr>
      </w:pPr>
    </w:p>
    <w:p>
      <w:pPr>
        <w:ind w:left="1900" w:hanging="622"/>
        <w:spacing w:after="0"/>
        <w:tabs>
          <w:tab w:leader="none" w:pos="1900" w:val="left"/>
        </w:tabs>
        <w:numPr>
          <w:ilvl w:val="0"/>
          <w:numId w:val="120"/>
        </w:numPr>
        <w:rPr>
          <w:rFonts w:ascii="Arial" w:cs="Arial" w:eastAsia="Arial" w:hAnsi="Arial"/>
          <w:sz w:val="19"/>
          <w:szCs w:val="19"/>
          <w:color w:val="010000"/>
        </w:rPr>
      </w:pPr>
      <w:r>
        <w:rPr>
          <w:rFonts w:ascii="Arial" w:cs="Arial" w:eastAsia="Arial" w:hAnsi="Arial"/>
          <w:sz w:val="19"/>
          <w:szCs w:val="19"/>
          <w:color w:val="auto"/>
        </w:rPr>
        <w:t>Indebtedness expressly permitted under Section 6.04;</w:t>
      </w:r>
    </w:p>
    <w:p>
      <w:pPr>
        <w:spacing w:after="0" w:line="179" w:lineRule="exact"/>
        <w:rPr>
          <w:rFonts w:ascii="Arial" w:cs="Arial" w:eastAsia="Arial" w:hAnsi="Arial"/>
          <w:sz w:val="19"/>
          <w:szCs w:val="19"/>
          <w:color w:val="010000"/>
        </w:rPr>
      </w:pPr>
    </w:p>
    <w:p>
      <w:pPr>
        <w:jc w:val="both"/>
        <w:ind w:left="640" w:firstLine="638"/>
        <w:spacing w:after="0" w:line="226" w:lineRule="auto"/>
        <w:tabs>
          <w:tab w:leader="none" w:pos="1905" w:val="left"/>
        </w:tabs>
        <w:numPr>
          <w:ilvl w:val="0"/>
          <w:numId w:val="120"/>
        </w:numPr>
        <w:rPr>
          <w:rFonts w:ascii="Arial" w:cs="Arial" w:eastAsia="Arial" w:hAnsi="Arial"/>
          <w:sz w:val="19"/>
          <w:szCs w:val="19"/>
          <w:color w:val="010000"/>
        </w:rPr>
      </w:pPr>
      <w:r>
        <w:rPr>
          <w:rFonts w:ascii="Arial" w:cs="Arial" w:eastAsia="Arial" w:hAnsi="Arial"/>
          <w:sz w:val="19"/>
          <w:szCs w:val="19"/>
          <w:color w:val="auto"/>
        </w:rPr>
        <w:t>Indebtedness representing deferred compensation, severance, pension, and health and welfare retirement benefits or the equivalent to current and former employees of the Borrower and its Subsidiaries incurred in the ordinary course of business or existing on the Effective Date;</w:t>
      </w:r>
    </w:p>
    <w:p>
      <w:pPr>
        <w:spacing w:after="0" w:line="151" w:lineRule="exact"/>
        <w:rPr>
          <w:rFonts w:ascii="Arial" w:cs="Arial" w:eastAsia="Arial" w:hAnsi="Arial"/>
          <w:sz w:val="19"/>
          <w:szCs w:val="19"/>
          <w:color w:val="010000"/>
        </w:rPr>
      </w:pPr>
    </w:p>
    <w:p>
      <w:pPr>
        <w:jc w:val="both"/>
        <w:ind w:left="640" w:firstLine="638"/>
        <w:spacing w:after="0" w:line="219" w:lineRule="auto"/>
        <w:tabs>
          <w:tab w:leader="none" w:pos="1910" w:val="left"/>
        </w:tabs>
        <w:numPr>
          <w:ilvl w:val="0"/>
          <w:numId w:val="120"/>
        </w:numPr>
        <w:rPr>
          <w:rFonts w:ascii="Arial" w:cs="Arial" w:eastAsia="Arial" w:hAnsi="Arial"/>
          <w:sz w:val="18"/>
          <w:szCs w:val="18"/>
          <w:color w:val="010000"/>
        </w:rPr>
      </w:pPr>
      <w:r>
        <w:rPr>
          <w:rFonts w:ascii="Arial" w:cs="Arial" w:eastAsia="Arial" w:hAnsi="Arial"/>
          <w:sz w:val="18"/>
          <w:szCs w:val="18"/>
          <w:color w:val="auto"/>
        </w:rPr>
        <w:t xml:space="preserve">unsecured Indebtedness of the Borrower (including unsecured Subordinated Indebtedness to the extent subordinated in right of payment to the Secured Obligations on terms reasonably acceptable to the Administrative Agent and Permitted Convertible Indebtedness), to the extent not otherwise permitted under this Section 6.01, and any Indebtedness of the Borrower constituting amendments, modifications, extensions, refinancings, renewals or replacements of any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both immediately prior to and immediately after giving effect (including pro forma effect) to the incurrence of such Indebtedness, no Default or Event of Default shall exist or would result therefrom, (ii) such Indebtedness matures after, and does not require any scheduled amortization or other scheduled payments of principal prior to, the date that is 91 days after the Maturity Date (it being understood that any provision requiring an offer to purchase such Indebtedness as a result of change of control or asset sale shall not violate the foregoing restriction), (iii) other than with respect to such Indebtedness in the form of Permitted Convertible Indebtedness, such Indebtedness is not guaranteed by any Subsidiary other than the Subsidiary Guarantors (which guarantees, if such Indebtedness is subordinated, shall be expressly subordinated in right of payment to the Secured Obligations on terms not less favorable to the Lenders than the subordination terms of such Subordinated Indebtedness), (iv) other than with respect to such Indebtedness in the form of Permitted Convertible Indebtedness, the covenants applicable to such Indebtedness are not more onerous or more restrictive in any material respect (taken as a whole) than the applicable covenants set forth in this Agreement (as determined in the good faith judgment of the board of directors of the Borrower) and (v) the Borrower and the Subsidiaries are in compliance with the covenants contained in Section 6.12 on a pro forma basis immediately after giving effect to the incurrence of such Indebtedness in accordance with the provisions set forth in Section 1.04(b); and</w:t>
      </w:r>
    </w:p>
    <w:p>
      <w:pPr>
        <w:spacing w:after="0" w:line="154" w:lineRule="exact"/>
        <w:rPr>
          <w:rFonts w:ascii="Arial" w:cs="Arial" w:eastAsia="Arial" w:hAnsi="Arial"/>
          <w:sz w:val="18"/>
          <w:szCs w:val="18"/>
          <w:color w:val="010000"/>
        </w:rPr>
      </w:pPr>
    </w:p>
    <w:p>
      <w:pPr>
        <w:ind w:left="1900" w:hanging="622"/>
        <w:spacing w:after="0"/>
        <w:tabs>
          <w:tab w:leader="none" w:pos="1900" w:val="left"/>
        </w:tabs>
        <w:numPr>
          <w:ilvl w:val="0"/>
          <w:numId w:val="120"/>
        </w:numPr>
        <w:rPr>
          <w:rFonts w:ascii="Arial" w:cs="Arial" w:eastAsia="Arial" w:hAnsi="Arial"/>
          <w:sz w:val="18"/>
          <w:szCs w:val="18"/>
          <w:color w:val="010000"/>
        </w:rPr>
      </w:pPr>
      <w:r>
        <w:rPr>
          <w:rFonts w:ascii="Arial" w:cs="Arial" w:eastAsia="Arial" w:hAnsi="Arial"/>
          <w:sz w:val="18"/>
          <w:szCs w:val="18"/>
          <w:color w:val="auto"/>
        </w:rPr>
        <w:t>other unsecured Indebtedness in an aggregate principal amount not exceeding $50,000,000 at any time outstanding.</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7"/>
          <w:szCs w:val="17"/>
          <w:color w:val="010000"/>
        </w:rPr>
        <w:t>SECTION 1.02.</w:t>
      </w:r>
      <w:r>
        <w:rPr>
          <w:rFonts w:ascii="Arial" w:cs="Arial" w:eastAsia="Arial" w:hAnsi="Arial"/>
          <w:sz w:val="17"/>
          <w:szCs w:val="17"/>
          <w:u w:val="single" w:color="auto"/>
          <w:color w:val="000000"/>
        </w:rPr>
        <w:t>Liens</w:t>
      </w:r>
      <w:r>
        <w:rPr>
          <w:rFonts w:ascii="Arial" w:cs="Arial" w:eastAsia="Arial" w:hAnsi="Arial"/>
          <w:sz w:val="17"/>
          <w:szCs w:val="17"/>
          <w:color w:val="000000"/>
        </w:rPr>
        <w:t>. The Borrower will not, and will not permit any Subsidiary to, create, incur, assume or permit to exist any</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Lien on any property or asset now owned or hereafter acquired by it,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ectPr>
          <w:pgSz w:w="11900" w:h="16838" w:orient="portrait"/>
          <w:cols w:equalWidth="0" w:num="1">
            <w:col w:w="11240"/>
          </w:cols>
          <w:pgMar w:left="320" w:top="1381" w:right="339" w:bottom="1440" w:gutter="0" w:footer="0" w:header="0"/>
        </w:sectPr>
      </w:pPr>
    </w:p>
    <w:bookmarkStart w:id="105" w:name="page106"/>
    <w:bookmarkEnd w:id="105"/>
    <w:p>
      <w:pPr>
        <w:ind w:left="780" w:hanging="622"/>
        <w:spacing w:after="0"/>
        <w:tabs>
          <w:tab w:leader="none" w:pos="780" w:val="left"/>
        </w:tabs>
        <w:numPr>
          <w:ilvl w:val="0"/>
          <w:numId w:val="121"/>
        </w:numPr>
        <w:rPr>
          <w:rFonts w:ascii="Arial" w:cs="Arial" w:eastAsia="Arial" w:hAnsi="Arial"/>
          <w:sz w:val="19"/>
          <w:szCs w:val="19"/>
          <w:color w:val="010000"/>
        </w:rPr>
      </w:pPr>
      <w:r>
        <w:rPr>
          <w:rFonts w:ascii="Arial" w:cs="Arial" w:eastAsia="Arial" w:hAnsi="Arial"/>
          <w:sz w:val="19"/>
          <w:szCs w:val="19"/>
          <w:color w:val="auto"/>
        </w:rPr>
        <w:t>Liens created pursuant to any Loan Document;</w:t>
      </w:r>
    </w:p>
    <w:p>
      <w:pPr>
        <w:spacing w:after="0" w:line="179" w:lineRule="exact"/>
        <w:rPr>
          <w:rFonts w:ascii="Arial" w:cs="Arial" w:eastAsia="Arial" w:hAnsi="Arial"/>
          <w:sz w:val="19"/>
          <w:szCs w:val="19"/>
          <w:color w:val="010000"/>
        </w:rPr>
      </w:pPr>
    </w:p>
    <w:p>
      <w:pPr>
        <w:ind w:left="780" w:hanging="622"/>
        <w:spacing w:after="0"/>
        <w:tabs>
          <w:tab w:leader="none" w:pos="780" w:val="left"/>
        </w:tabs>
        <w:numPr>
          <w:ilvl w:val="0"/>
          <w:numId w:val="121"/>
        </w:numPr>
        <w:rPr>
          <w:rFonts w:ascii="Arial" w:cs="Arial" w:eastAsia="Arial" w:hAnsi="Arial"/>
          <w:sz w:val="19"/>
          <w:szCs w:val="19"/>
          <w:color w:val="010000"/>
        </w:rPr>
      </w:pPr>
      <w:r>
        <w:rPr>
          <w:rFonts w:ascii="Arial" w:cs="Arial" w:eastAsia="Arial" w:hAnsi="Arial"/>
          <w:sz w:val="19"/>
          <w:szCs w:val="19"/>
          <w:color w:val="auto"/>
        </w:rPr>
        <w:t>Permitted Encumbrances;</w:t>
      </w:r>
    </w:p>
    <w:p>
      <w:pPr>
        <w:spacing w:after="0" w:line="179" w:lineRule="exact"/>
        <w:rPr>
          <w:rFonts w:ascii="Arial" w:cs="Arial" w:eastAsia="Arial" w:hAnsi="Arial"/>
          <w:sz w:val="19"/>
          <w:szCs w:val="19"/>
          <w:color w:val="010000"/>
        </w:rPr>
      </w:pPr>
    </w:p>
    <w:p>
      <w:pPr>
        <w:jc w:val="both"/>
        <w:ind w:left="-480" w:firstLine="638"/>
        <w:spacing w:after="0" w:line="215" w:lineRule="auto"/>
        <w:tabs>
          <w:tab w:leader="none" w:pos="782" w:val="left"/>
        </w:tabs>
        <w:numPr>
          <w:ilvl w:val="0"/>
          <w:numId w:val="121"/>
        </w:numPr>
        <w:rPr>
          <w:rFonts w:ascii="Arial" w:cs="Arial" w:eastAsia="Arial" w:hAnsi="Arial"/>
          <w:sz w:val="19"/>
          <w:szCs w:val="19"/>
          <w:color w:val="010000"/>
        </w:rPr>
      </w:pPr>
      <w:r>
        <w:rPr>
          <w:rFonts w:ascii="Arial" w:cs="Arial" w:eastAsia="Arial" w:hAnsi="Arial"/>
          <w:sz w:val="19"/>
          <w:szCs w:val="19"/>
          <w:color w:val="auto"/>
        </w:rPr>
        <w:t xml:space="preserve">any Lien on any property or asset of the Borrower or any Subsidiary existing on the Effective Date and set forth in </w:t>
      </w:r>
      <w:r>
        <w:rPr>
          <w:rFonts w:ascii="Arial" w:cs="Arial" w:eastAsia="Arial" w:hAnsi="Arial"/>
          <w:sz w:val="19"/>
          <w:szCs w:val="19"/>
          <w:u w:val="single" w:color="auto"/>
          <w:color w:val="auto"/>
        </w:rPr>
        <w:t>Schedule 6.02</w:t>
      </w:r>
      <w:r>
        <w:rPr>
          <w:rFonts w:ascii="Arial" w:cs="Arial" w:eastAsia="Arial" w:hAnsi="Arial"/>
          <w:sz w:val="19"/>
          <w:szCs w:val="19"/>
          <w:color w:val="auto"/>
        </w:rPr>
        <w:t xml:space="preserve"> and any amendments, modifications, extensions, renewals, refinancings and replacements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shall not apply to any other property or asset of the Borrower or any Subsidiary other than improvements thereon and proceeds from the disposition of such property or asset and (ii) the amount secured or benefited thereby is not increased (other than as permitted by Section 6.01) and amendments, modifications, extensions, refinancings, renewals and replacements thereof that do not increase the outstanding principal amount thereof (other than as permitted by Section 6.01);</w:t>
      </w:r>
    </w:p>
    <w:p>
      <w:pPr>
        <w:spacing w:after="0" w:line="150" w:lineRule="exact"/>
        <w:rPr>
          <w:rFonts w:ascii="Arial" w:cs="Arial" w:eastAsia="Arial" w:hAnsi="Arial"/>
          <w:sz w:val="19"/>
          <w:szCs w:val="19"/>
          <w:color w:val="010000"/>
        </w:rPr>
      </w:pPr>
    </w:p>
    <w:p>
      <w:pPr>
        <w:jc w:val="both"/>
        <w:ind w:left="-480" w:firstLine="638"/>
        <w:spacing w:after="0" w:line="235" w:lineRule="auto"/>
        <w:tabs>
          <w:tab w:leader="none" w:pos="780" w:val="left"/>
        </w:tabs>
        <w:numPr>
          <w:ilvl w:val="0"/>
          <w:numId w:val="121"/>
        </w:numPr>
        <w:rPr>
          <w:rFonts w:ascii="Arial" w:cs="Arial" w:eastAsia="Arial" w:hAnsi="Arial"/>
          <w:sz w:val="17"/>
          <w:szCs w:val="17"/>
          <w:color w:val="010000"/>
        </w:rPr>
      </w:pPr>
      <w:r>
        <w:rPr>
          <w:rFonts w:ascii="Arial" w:cs="Arial" w:eastAsia="Arial" w:hAnsi="Arial"/>
          <w:sz w:val="17"/>
          <w:szCs w:val="17"/>
          <w:color w:val="auto"/>
        </w:rPr>
        <w:t xml:space="preserve">any Lien existing on any property or asset prior to the acquisition thereof by the Borrower or any Subsidiary or existing on any property or asset of any Person that becomes a Subsidiary after the Effective Date prior to the time such Person becomes a Subsidiary and any amendments, modifications, extensions, renewals and replacements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is not created in contemplation of or in connection with such acquisition or such Person becoming a Subsidiary, as the case may be, (ii) such Lien shall not apply to any other property or assets of the Borrower or any Subsidiary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and (iii) such Lien shall secure only those obligations which it secures on the date of such acquisition or the date such Person becomes a Subsidiary, as the case may be, and amendments, modifications, extensions, refinancings, renewals and replacements thereof that do not increase the outstanding principal amount thereof (other than as permitted by Section 6.01);</w:t>
      </w:r>
    </w:p>
    <w:p>
      <w:pPr>
        <w:spacing w:after="0" w:line="152" w:lineRule="exact"/>
        <w:rPr>
          <w:rFonts w:ascii="Arial" w:cs="Arial" w:eastAsia="Arial" w:hAnsi="Arial"/>
          <w:sz w:val="17"/>
          <w:szCs w:val="17"/>
          <w:color w:val="010000"/>
        </w:rPr>
      </w:pPr>
    </w:p>
    <w:p>
      <w:pPr>
        <w:jc w:val="both"/>
        <w:ind w:left="-480" w:firstLine="638"/>
        <w:spacing w:after="0" w:line="211" w:lineRule="auto"/>
        <w:tabs>
          <w:tab w:leader="none" w:pos="782" w:val="left"/>
        </w:tabs>
        <w:numPr>
          <w:ilvl w:val="0"/>
          <w:numId w:val="121"/>
        </w:numPr>
        <w:rPr>
          <w:rFonts w:ascii="Arial" w:cs="Arial" w:eastAsia="Arial" w:hAnsi="Arial"/>
          <w:sz w:val="19"/>
          <w:szCs w:val="19"/>
          <w:color w:val="010000"/>
        </w:rPr>
      </w:pPr>
      <w:r>
        <w:rPr>
          <w:rFonts w:ascii="Arial" w:cs="Arial" w:eastAsia="Arial" w:hAnsi="Arial"/>
          <w:sz w:val="19"/>
          <w:szCs w:val="19"/>
          <w:color w:val="auto"/>
        </w:rPr>
        <w:t xml:space="preserve">Liens on fixed or capital assets (including capital leases) acquired (including as a replacement), constructed, repaired, leased or improved by the Borrower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secure Indebtedness or Capital Lease Obligations permitted by Section 6.01(e), (ii) such Liens and the Indebtedness secured thereby are incurred prior to or within 180 days after such acquisition or lease or the completion of such construction, replacement, repair or improvement (other than with respect to amendments, modifications, extensions, refinancings, renewals and replacements thereof) and (iii) such Liens shall not apply to any other property or assets of the Borrower or any Subsidiary other than improvements thereon, replacements and products thereof, additions and accessions thereto or proceeds from the disposition of such property or assets and customary security deposits;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individual financings of equipment provided by one lender (or a syndicate of lenders) may be cross-collateralized to other financings of equipment provided by such lender (or syndicate);</w:t>
      </w:r>
    </w:p>
    <w:p>
      <w:pPr>
        <w:spacing w:after="0" w:line="152" w:lineRule="exact"/>
        <w:rPr>
          <w:rFonts w:ascii="Arial" w:cs="Arial" w:eastAsia="Arial" w:hAnsi="Arial"/>
          <w:sz w:val="19"/>
          <w:szCs w:val="19"/>
          <w:color w:val="010000"/>
        </w:rPr>
      </w:pPr>
    </w:p>
    <w:p>
      <w:pPr>
        <w:ind w:left="-480" w:firstLine="638"/>
        <w:spacing w:after="0" w:line="237" w:lineRule="auto"/>
        <w:tabs>
          <w:tab w:leader="none" w:pos="787" w:val="left"/>
        </w:tabs>
        <w:numPr>
          <w:ilvl w:val="0"/>
          <w:numId w:val="121"/>
        </w:numPr>
        <w:rPr>
          <w:rFonts w:ascii="Arial" w:cs="Arial" w:eastAsia="Arial" w:hAnsi="Arial"/>
          <w:sz w:val="19"/>
          <w:szCs w:val="19"/>
          <w:color w:val="010000"/>
        </w:rPr>
      </w:pPr>
      <w:r>
        <w:rPr>
          <w:rFonts w:ascii="Arial" w:cs="Arial" w:eastAsia="Arial" w:hAnsi="Arial"/>
          <w:sz w:val="19"/>
          <w:szCs w:val="19"/>
          <w:color w:val="auto"/>
        </w:rPr>
        <w:t>Liens granted by a Subsidiary that is not a Loan Party in favor of the Borrower or another Loan Party in respect of Indebtedness owed by such Subsidiary to the Borrower or such other Loan Party;</w:t>
      </w:r>
    </w:p>
    <w:p>
      <w:pPr>
        <w:spacing w:after="0" w:line="151" w:lineRule="exact"/>
        <w:rPr>
          <w:rFonts w:ascii="Arial" w:cs="Arial" w:eastAsia="Arial" w:hAnsi="Arial"/>
          <w:sz w:val="19"/>
          <w:szCs w:val="19"/>
          <w:color w:val="010000"/>
        </w:rPr>
      </w:pPr>
    </w:p>
    <w:p>
      <w:pPr>
        <w:ind w:left="-480" w:firstLine="638"/>
        <w:spacing w:after="0" w:line="237" w:lineRule="auto"/>
        <w:tabs>
          <w:tab w:leader="none" w:pos="780" w:val="left"/>
        </w:tabs>
        <w:numPr>
          <w:ilvl w:val="0"/>
          <w:numId w:val="121"/>
        </w:numPr>
        <w:rPr>
          <w:rFonts w:ascii="Arial" w:cs="Arial" w:eastAsia="Arial" w:hAnsi="Arial"/>
          <w:sz w:val="19"/>
          <w:szCs w:val="19"/>
          <w:color w:val="010000"/>
        </w:rPr>
      </w:pPr>
      <w:r>
        <w:rPr>
          <w:rFonts w:ascii="Arial" w:cs="Arial" w:eastAsia="Arial" w:hAnsi="Arial"/>
          <w:sz w:val="19"/>
          <w:szCs w:val="19"/>
          <w:color w:val="auto"/>
        </w:rPr>
        <w:t>Liens arising out of any conditional sale, title retention, consignment or other similar arrangements for the sale of goods entered into by the Borrower or any of its Subsidiaries the ordinary course of business;</w:t>
      </w:r>
    </w:p>
    <w:p>
      <w:pPr>
        <w:spacing w:after="0" w:line="151" w:lineRule="exact"/>
        <w:rPr>
          <w:rFonts w:ascii="Arial" w:cs="Arial" w:eastAsia="Arial" w:hAnsi="Arial"/>
          <w:sz w:val="19"/>
          <w:szCs w:val="19"/>
          <w:color w:val="010000"/>
        </w:rPr>
      </w:pPr>
    </w:p>
    <w:p>
      <w:pPr>
        <w:ind w:left="780" w:hanging="622"/>
        <w:spacing w:after="0"/>
        <w:tabs>
          <w:tab w:leader="none" w:pos="780" w:val="left"/>
        </w:tabs>
        <w:numPr>
          <w:ilvl w:val="0"/>
          <w:numId w:val="121"/>
        </w:numPr>
        <w:rPr>
          <w:rFonts w:ascii="Arial" w:cs="Arial" w:eastAsia="Arial" w:hAnsi="Arial"/>
          <w:sz w:val="17"/>
          <w:szCs w:val="17"/>
          <w:color w:val="010000"/>
        </w:rPr>
      </w:pPr>
      <w:r>
        <w:rPr>
          <w:rFonts w:ascii="Arial" w:cs="Arial" w:eastAsia="Arial" w:hAnsi="Arial"/>
          <w:sz w:val="17"/>
          <w:szCs w:val="17"/>
          <w:color w:val="auto"/>
        </w:rPr>
        <w:t>Liens securing Indebtedness permitted hereunder to finance insurance premiums solely to the extent of such premiums;</w:t>
      </w:r>
    </w:p>
    <w:p>
      <w:pPr>
        <w:spacing w:after="0" w:line="202" w:lineRule="exact"/>
        <w:rPr>
          <w:rFonts w:ascii="Arial" w:cs="Arial" w:eastAsia="Arial" w:hAnsi="Arial"/>
          <w:sz w:val="17"/>
          <w:szCs w:val="17"/>
          <w:color w:val="010000"/>
        </w:rPr>
      </w:pPr>
    </w:p>
    <w:p>
      <w:pPr>
        <w:jc w:val="both"/>
        <w:ind w:left="-480" w:firstLine="638"/>
        <w:spacing w:after="0" w:line="232" w:lineRule="auto"/>
        <w:tabs>
          <w:tab w:leader="none" w:pos="790"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67</w:t>
      </w:r>
    </w:p>
    <w:p>
      <w:pPr>
        <w:sectPr>
          <w:pgSz w:w="11900" w:h="16838" w:orient="portrait"/>
          <w:cols w:equalWidth="0" w:num="1">
            <w:col w:w="10120"/>
          </w:cols>
          <w:pgMar w:left="1440" w:top="1381" w:right="339" w:bottom="1440" w:gutter="0" w:footer="0" w:header="0"/>
        </w:sectPr>
      </w:pPr>
    </w:p>
    <w:bookmarkStart w:id="106" w:name="page107"/>
    <w:bookmarkEnd w:id="106"/>
    <w:p>
      <w:pPr>
        <w:ind w:left="-480" w:firstLine="638"/>
        <w:spacing w:after="0" w:line="237" w:lineRule="auto"/>
        <w:tabs>
          <w:tab w:leader="none" w:pos="790"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Liens in favor of customs and revenue authorities arising as a matter of law to secure payment of customs duties in connection with the importation of goods in the ordinary course of business;</w:t>
      </w:r>
    </w:p>
    <w:p>
      <w:pPr>
        <w:spacing w:after="0" w:line="151" w:lineRule="exact"/>
        <w:rPr>
          <w:rFonts w:ascii="Arial" w:cs="Arial" w:eastAsia="Arial" w:hAnsi="Arial"/>
          <w:sz w:val="19"/>
          <w:szCs w:val="19"/>
          <w:color w:val="010000"/>
        </w:rPr>
      </w:pPr>
    </w:p>
    <w:p>
      <w:pPr>
        <w:ind w:left="-480" w:firstLine="638"/>
        <w:spacing w:after="0" w:line="261" w:lineRule="auto"/>
        <w:tabs>
          <w:tab w:leader="none" w:pos="780"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Liens on any cash earnest money deposits made by the Borrower or any of its Subsidiaries in connection with any Permitted Acquisition, including, without limitation, in connection with any letter of intent or purchase agreement relating thereto;</w:t>
      </w:r>
    </w:p>
    <w:p>
      <w:pPr>
        <w:spacing w:after="0" w:line="132" w:lineRule="exact"/>
        <w:rPr>
          <w:rFonts w:ascii="Arial" w:cs="Arial" w:eastAsia="Arial" w:hAnsi="Arial"/>
          <w:sz w:val="18"/>
          <w:szCs w:val="18"/>
          <w:color w:val="010000"/>
        </w:rPr>
      </w:pPr>
    </w:p>
    <w:p>
      <w:pPr>
        <w:ind w:left="-480" w:right="20" w:firstLine="638"/>
        <w:spacing w:after="0" w:line="237" w:lineRule="auto"/>
        <w:tabs>
          <w:tab w:leader="none" w:pos="790"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in connection with the sale or transfer of any assets in a transaction permitted under Section 6.03, customary rights and restrictions contained in agreements relating to such sale or transfer pending the completion thereof;</w:t>
      </w:r>
    </w:p>
    <w:p>
      <w:pPr>
        <w:spacing w:after="0" w:line="151" w:lineRule="exact"/>
        <w:rPr>
          <w:rFonts w:ascii="Arial" w:cs="Arial" w:eastAsia="Arial" w:hAnsi="Arial"/>
          <w:sz w:val="19"/>
          <w:szCs w:val="19"/>
          <w:color w:val="010000"/>
        </w:rPr>
      </w:pPr>
    </w:p>
    <w:p>
      <w:pPr>
        <w:ind w:left="-480" w:firstLine="638"/>
        <w:spacing w:after="0" w:line="237" w:lineRule="auto"/>
        <w:tabs>
          <w:tab w:leader="none" w:pos="781"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Liens in the nature of the right of setoff in favor of counterparties to contractual agreements with the Loan Parties (i) in the ordinary course of business or (ii) otherwise permitted hereunder other than in connection with Indebtedness;</w:t>
      </w:r>
    </w:p>
    <w:p>
      <w:pPr>
        <w:spacing w:after="0" w:line="151" w:lineRule="exact"/>
        <w:rPr>
          <w:rFonts w:ascii="Arial" w:cs="Arial" w:eastAsia="Arial" w:hAnsi="Arial"/>
          <w:sz w:val="19"/>
          <w:szCs w:val="19"/>
          <w:color w:val="010000"/>
        </w:rPr>
      </w:pPr>
    </w:p>
    <w:p>
      <w:pPr>
        <w:ind w:left="780" w:hanging="622"/>
        <w:spacing w:after="0"/>
        <w:tabs>
          <w:tab w:leader="none" w:pos="780"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dispositions and other sales of assets permitted under Section 6.04;</w:t>
      </w:r>
    </w:p>
    <w:p>
      <w:pPr>
        <w:spacing w:after="0" w:line="179" w:lineRule="exact"/>
        <w:rPr>
          <w:rFonts w:ascii="Arial" w:cs="Arial" w:eastAsia="Arial" w:hAnsi="Arial"/>
          <w:sz w:val="19"/>
          <w:szCs w:val="19"/>
          <w:color w:val="010000"/>
        </w:rPr>
      </w:pPr>
    </w:p>
    <w:p>
      <w:pPr>
        <w:ind w:left="-480" w:firstLine="638"/>
        <w:spacing w:after="0" w:line="237" w:lineRule="auto"/>
        <w:tabs>
          <w:tab w:leader="none" w:pos="780"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to the extent constituting a Lien, Liens with respect to repurchase obligations of the type described in clause (d) of the definition of “Permitted Investments”;</w:t>
      </w:r>
    </w:p>
    <w:p>
      <w:pPr>
        <w:spacing w:after="0" w:line="151" w:lineRule="exact"/>
        <w:rPr>
          <w:rFonts w:ascii="Arial" w:cs="Arial" w:eastAsia="Arial" w:hAnsi="Arial"/>
          <w:sz w:val="19"/>
          <w:szCs w:val="19"/>
          <w:color w:val="010000"/>
        </w:rPr>
      </w:pPr>
    </w:p>
    <w:p>
      <w:pPr>
        <w:jc w:val="both"/>
        <w:ind w:left="-480" w:firstLine="638"/>
        <w:spacing w:after="0" w:line="226" w:lineRule="auto"/>
        <w:tabs>
          <w:tab w:leader="none" w:pos="780"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spacing w:after="0" w:line="151" w:lineRule="exact"/>
        <w:rPr>
          <w:rFonts w:ascii="Arial" w:cs="Arial" w:eastAsia="Arial" w:hAnsi="Arial"/>
          <w:sz w:val="19"/>
          <w:szCs w:val="19"/>
          <w:color w:val="010000"/>
        </w:rPr>
      </w:pPr>
    </w:p>
    <w:p>
      <w:pPr>
        <w:jc w:val="both"/>
        <w:ind w:left="-480" w:firstLine="638"/>
        <w:spacing w:after="0" w:line="220" w:lineRule="auto"/>
        <w:tabs>
          <w:tab w:leader="none" w:pos="780"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Liens that are contractual rights of set-off (i) relating to the establishment of depositary relations with banks or other financial institutions not given in connection with the issuance of Indebtedness, or (ii) relating to pooled deposit or sweep accounts of any Loan Party or any Subsidiary to permit satisfaction of overdraft or similar obligations incurred in the ordinary course of business of the any such Loan Party or Subsidiary;</w:t>
      </w:r>
    </w:p>
    <w:p>
      <w:pPr>
        <w:spacing w:after="0" w:line="152" w:lineRule="exact"/>
        <w:rPr>
          <w:rFonts w:ascii="Arial" w:cs="Arial" w:eastAsia="Arial" w:hAnsi="Arial"/>
          <w:sz w:val="19"/>
          <w:szCs w:val="19"/>
          <w:color w:val="010000"/>
        </w:rPr>
      </w:pPr>
    </w:p>
    <w:p>
      <w:pPr>
        <w:jc w:val="both"/>
        <w:ind w:left="-480" w:firstLine="638"/>
        <w:spacing w:after="0" w:line="226" w:lineRule="auto"/>
        <w:tabs>
          <w:tab w:leader="none" w:pos="787"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Liens of sellers of goods to any Loan Party and any of their respective Subsidiaries arising under Article II of the UCC or similar provisions of applicable law in the ordinary course of business, covering only the goods sold and securing only the unpaid purchase price for such goods and related expenses;</w:t>
      </w:r>
    </w:p>
    <w:p>
      <w:pPr>
        <w:spacing w:after="0" w:line="151" w:lineRule="exact"/>
        <w:rPr>
          <w:rFonts w:ascii="Arial" w:cs="Arial" w:eastAsia="Arial" w:hAnsi="Arial"/>
          <w:sz w:val="19"/>
          <w:szCs w:val="19"/>
          <w:color w:val="010000"/>
        </w:rPr>
      </w:pPr>
    </w:p>
    <w:p>
      <w:pPr>
        <w:ind w:left="-480" w:firstLine="638"/>
        <w:spacing w:after="0" w:line="237" w:lineRule="auto"/>
        <w:tabs>
          <w:tab w:leader="none" w:pos="785"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Liens arising from leases, subleases, or licenses granted to others which do not interfere in any material respect with the business of the Borrower and its Subsidiaries;</w:t>
      </w:r>
    </w:p>
    <w:p>
      <w:pPr>
        <w:spacing w:after="0" w:line="151" w:lineRule="exact"/>
        <w:rPr>
          <w:rFonts w:ascii="Arial" w:cs="Arial" w:eastAsia="Arial" w:hAnsi="Arial"/>
          <w:sz w:val="19"/>
          <w:szCs w:val="19"/>
          <w:color w:val="010000"/>
        </w:rPr>
      </w:pPr>
    </w:p>
    <w:p>
      <w:pPr>
        <w:ind w:left="-480" w:right="20" w:firstLine="638"/>
        <w:spacing w:after="0" w:line="237" w:lineRule="auto"/>
        <w:tabs>
          <w:tab w:leader="none" w:pos="790"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Liens in favor of any Governmental Authority to secure progress, advance or other payments pursuant to any contract or provision of any nature;</w:t>
      </w:r>
    </w:p>
    <w:p>
      <w:pPr>
        <w:spacing w:after="0" w:line="151" w:lineRule="exact"/>
        <w:rPr>
          <w:rFonts w:ascii="Arial" w:cs="Arial" w:eastAsia="Arial" w:hAnsi="Arial"/>
          <w:sz w:val="19"/>
          <w:szCs w:val="19"/>
          <w:color w:val="010000"/>
        </w:rPr>
      </w:pPr>
    </w:p>
    <w:p>
      <w:pPr>
        <w:jc w:val="both"/>
        <w:ind w:left="-480" w:firstLine="638"/>
        <w:spacing w:after="0" w:line="226" w:lineRule="auto"/>
        <w:tabs>
          <w:tab w:leader="none" w:pos="780"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Liens on the capital stock of a joint venture securing obligations of such joint venture that are otherwise permitted under this Agreement, and customary options, put and call arrangements, rights of first refusal and similar rights relating to such joint venture under its joint venture agreement;</w:t>
      </w:r>
    </w:p>
    <w:p>
      <w:pPr>
        <w:spacing w:after="0" w:line="151" w:lineRule="exact"/>
        <w:rPr>
          <w:rFonts w:ascii="Arial" w:cs="Arial" w:eastAsia="Arial" w:hAnsi="Arial"/>
          <w:sz w:val="19"/>
          <w:szCs w:val="19"/>
          <w:color w:val="010000"/>
        </w:rPr>
      </w:pPr>
    </w:p>
    <w:p>
      <w:pPr>
        <w:ind w:left="-480" w:firstLine="638"/>
        <w:spacing w:after="0" w:line="237" w:lineRule="auto"/>
        <w:tabs>
          <w:tab w:leader="none" w:pos="780"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Liens on Equity Interests arising from the limited partnership agreement or other agreement entered into by the Borrower or any of its Subsidiaries in connection with Investments permitted pursuant to Section 6.05(t);</w:t>
      </w:r>
    </w:p>
    <w:p>
      <w:pPr>
        <w:spacing w:after="0" w:line="151" w:lineRule="exact"/>
        <w:rPr>
          <w:rFonts w:ascii="Arial" w:cs="Arial" w:eastAsia="Arial" w:hAnsi="Arial"/>
          <w:sz w:val="19"/>
          <w:szCs w:val="19"/>
          <w:color w:val="010000"/>
        </w:rPr>
      </w:pPr>
    </w:p>
    <w:p>
      <w:pPr>
        <w:ind w:left="-480" w:firstLine="638"/>
        <w:spacing w:after="0" w:line="237" w:lineRule="auto"/>
        <w:tabs>
          <w:tab w:leader="none" w:pos="783"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Liens on the real property located at 1 Commvault Way, Tinton Falls, NJ subject to a Sale and Leaseback Transaction permitted by Section 6.11;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68</w:t>
      </w:r>
    </w:p>
    <w:p>
      <w:pPr>
        <w:sectPr>
          <w:pgSz w:w="11900" w:h="16838" w:orient="portrait"/>
          <w:cols w:equalWidth="0" w:num="1">
            <w:col w:w="10120"/>
          </w:cols>
          <w:pgMar w:left="1440" w:top="1381" w:right="339" w:bottom="1440" w:gutter="0" w:footer="0" w:header="0"/>
        </w:sectPr>
      </w:pPr>
    </w:p>
    <w:bookmarkStart w:id="107" w:name="page108"/>
    <w:bookmarkEnd w:id="107"/>
    <w:p>
      <w:pPr>
        <w:ind w:left="640" w:firstLine="638"/>
        <w:spacing w:after="0" w:line="237" w:lineRule="auto"/>
        <w:tabs>
          <w:tab w:leader="none" w:pos="1900" w:val="left"/>
        </w:tabs>
        <w:numPr>
          <w:ilvl w:val="0"/>
          <w:numId w:val="123"/>
        </w:numPr>
        <w:rPr>
          <w:rFonts w:ascii="Arial" w:cs="Arial" w:eastAsia="Arial" w:hAnsi="Arial"/>
          <w:sz w:val="19"/>
          <w:szCs w:val="19"/>
          <w:color w:val="010000"/>
        </w:rPr>
      </w:pPr>
      <w:r>
        <w:rPr>
          <w:rFonts w:ascii="Arial" w:cs="Arial" w:eastAsia="Arial" w:hAnsi="Arial"/>
          <w:sz w:val="19"/>
          <w:szCs w:val="19"/>
          <w:color w:val="auto"/>
        </w:rPr>
        <w:t>Liens on assets of the Borrower and its Subsidiaries not otherwise permitted above so long as the aggregate principal amount of the Indebtedness and other obligations subject to such Liens does not at any time exceed $25,000,000.</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1.03.</w:t>
      </w:r>
      <w:r>
        <w:rPr>
          <w:rFonts w:ascii="Arial" w:cs="Arial" w:eastAsia="Arial" w:hAnsi="Arial"/>
          <w:sz w:val="19"/>
          <w:szCs w:val="19"/>
          <w:u w:val="single" w:color="auto"/>
          <w:color w:val="000000"/>
        </w:rPr>
        <w:t>Fundamental Changes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32" w:lineRule="auto"/>
        <w:tabs>
          <w:tab w:leader="none" w:pos="1898" w:val="left"/>
        </w:tabs>
        <w:numPr>
          <w:ilvl w:val="0"/>
          <w:numId w:val="124"/>
        </w:numPr>
        <w:rPr>
          <w:rFonts w:ascii="Arial" w:cs="Arial" w:eastAsia="Arial" w:hAnsi="Arial"/>
          <w:sz w:val="18"/>
          <w:szCs w:val="18"/>
          <w:color w:val="010000"/>
        </w:rPr>
      </w:pPr>
      <w:r>
        <w:rPr>
          <w:rFonts w:ascii="Arial" w:cs="Arial" w:eastAsia="Arial" w:hAnsi="Arial"/>
          <w:sz w:val="18"/>
          <w:szCs w:val="18"/>
          <w:color w:val="auto"/>
        </w:rPr>
        <w:t>The Borrower will not, and will not permit any Subsidiary to, merge into or consolidate with any other Person, or permit any other Person to merge into or consolidate with it, or otherwise Dispose of all or substantially all of its assets, or all or substantially all of the Equity Interests of any of its Subsidiaries (in each case, whether now owned or hereafter acquired), or liquidate or dissolve, except that, if at the time thereof and immediately after giving effect thereto no Event of Default shall have occurred and be continuing:</w:t>
      </w:r>
    </w:p>
    <w:p>
      <w:pPr>
        <w:spacing w:after="0" w:line="154" w:lineRule="exact"/>
        <w:rPr>
          <w:sz w:val="20"/>
          <w:szCs w:val="20"/>
          <w:color w:val="auto"/>
        </w:rPr>
      </w:pPr>
    </w:p>
    <w:p>
      <w:pPr>
        <w:jc w:val="both"/>
        <w:ind w:left="640" w:firstLine="638"/>
        <w:spacing w:after="0" w:line="226" w:lineRule="auto"/>
        <w:tabs>
          <w:tab w:leader="none" w:pos="1910" w:val="left"/>
        </w:tabs>
        <w:numPr>
          <w:ilvl w:val="0"/>
          <w:numId w:val="125"/>
        </w:numPr>
        <w:rPr>
          <w:rFonts w:ascii="Arial" w:cs="Arial" w:eastAsia="Arial" w:hAnsi="Arial"/>
          <w:sz w:val="19"/>
          <w:szCs w:val="19"/>
          <w:color w:val="010000"/>
        </w:rPr>
      </w:pPr>
      <w:r>
        <w:rPr>
          <w:rFonts w:ascii="Arial" w:cs="Arial" w:eastAsia="Arial" w:hAnsi="Arial"/>
          <w:sz w:val="19"/>
          <w:szCs w:val="19"/>
          <w:color w:val="auto"/>
        </w:rPr>
        <w:t xml:space="preserve">any Person (other than the Borrower or any of its Subsidiaries) may merge or consolidate with the Borrower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merger or consolidation involving (A) the Borrower must result in the Borrower as the surviving entity and (B) a Subsidiary Guarantor must result in such Subsidiary Guarantor as the surviving entity;</w:t>
      </w:r>
    </w:p>
    <w:p>
      <w:pPr>
        <w:spacing w:after="0" w:line="151" w:lineRule="exact"/>
        <w:rPr>
          <w:rFonts w:ascii="Arial" w:cs="Arial" w:eastAsia="Arial" w:hAnsi="Arial"/>
          <w:sz w:val="19"/>
          <w:szCs w:val="19"/>
          <w:color w:val="010000"/>
        </w:rPr>
      </w:pPr>
    </w:p>
    <w:p>
      <w:pPr>
        <w:jc w:val="both"/>
        <w:ind w:left="640" w:firstLine="638"/>
        <w:spacing w:after="0" w:line="226" w:lineRule="auto"/>
        <w:tabs>
          <w:tab w:leader="none" w:pos="1911" w:val="left"/>
        </w:tabs>
        <w:numPr>
          <w:ilvl w:val="0"/>
          <w:numId w:val="125"/>
        </w:numPr>
        <w:rPr>
          <w:rFonts w:ascii="Arial" w:cs="Arial" w:eastAsia="Arial" w:hAnsi="Arial"/>
          <w:sz w:val="19"/>
          <w:szCs w:val="19"/>
          <w:color w:val="010000"/>
        </w:rPr>
      </w:pPr>
      <w:r>
        <w:rPr>
          <w:rFonts w:ascii="Arial" w:cs="Arial" w:eastAsia="Arial" w:hAnsi="Arial"/>
          <w:sz w:val="19"/>
          <w:szCs w:val="19"/>
          <w:color w:val="auto"/>
        </w:rPr>
        <w:t>any Subsidiary may merge into or consolidate with a Subsidiary Guarantor or the Borrower in a transaction in which the surviving entity is such Subsidiary Guarantor or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merger involving the Borrower must result in the Borrower as the surviving entity);</w:t>
      </w:r>
    </w:p>
    <w:p>
      <w:pPr>
        <w:spacing w:after="0" w:line="151" w:lineRule="exact"/>
        <w:rPr>
          <w:rFonts w:ascii="Arial" w:cs="Arial" w:eastAsia="Arial" w:hAnsi="Arial"/>
          <w:sz w:val="19"/>
          <w:szCs w:val="19"/>
          <w:color w:val="010000"/>
        </w:rPr>
      </w:pPr>
    </w:p>
    <w:p>
      <w:pPr>
        <w:ind w:left="1920" w:hanging="642"/>
        <w:spacing w:after="0"/>
        <w:tabs>
          <w:tab w:leader="none" w:pos="1920" w:val="left"/>
        </w:tabs>
        <w:numPr>
          <w:ilvl w:val="0"/>
          <w:numId w:val="125"/>
        </w:numPr>
        <w:rPr>
          <w:rFonts w:ascii="Arial" w:cs="Arial" w:eastAsia="Arial" w:hAnsi="Arial"/>
          <w:sz w:val="17"/>
          <w:szCs w:val="17"/>
          <w:color w:val="010000"/>
        </w:rPr>
      </w:pPr>
      <w:r>
        <w:rPr>
          <w:rFonts w:ascii="Arial" w:cs="Arial" w:eastAsia="Arial" w:hAnsi="Arial"/>
          <w:sz w:val="17"/>
          <w:szCs w:val="17"/>
          <w:color w:val="auto"/>
        </w:rPr>
        <w:t>any Subsidiary that is not a Loan Party may merge into or consolidate with another Subsidiary that is not a Loan Party;</w:t>
      </w:r>
    </w:p>
    <w:p>
      <w:pPr>
        <w:spacing w:after="0" w:line="202" w:lineRule="exact"/>
        <w:rPr>
          <w:rFonts w:ascii="Arial" w:cs="Arial" w:eastAsia="Arial" w:hAnsi="Arial"/>
          <w:sz w:val="17"/>
          <w:szCs w:val="17"/>
          <w:color w:val="010000"/>
        </w:rPr>
      </w:pPr>
    </w:p>
    <w:p>
      <w:pPr>
        <w:jc w:val="both"/>
        <w:ind w:left="640" w:firstLine="638"/>
        <w:spacing w:after="0" w:line="238" w:lineRule="auto"/>
        <w:tabs>
          <w:tab w:leader="none" w:pos="1901"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the Borrower and its Subsidiaries may sell, transfer, lease or otherwise dispose of any Subsidiary that is not a Loan Party (and, in connection with a liquidation, winding up or dissolution or otherwise, any Subsidiary that is not a Loan Party may sell, transfer, lease, license or otherwise dispose of any, all or substantially all of its assets) to another Subsidiary that is not a Loan Party;</w:t>
      </w:r>
    </w:p>
    <w:p>
      <w:pPr>
        <w:spacing w:after="0" w:line="152" w:lineRule="exact"/>
        <w:rPr>
          <w:rFonts w:ascii="Arial" w:cs="Arial" w:eastAsia="Arial" w:hAnsi="Arial"/>
          <w:sz w:val="18"/>
          <w:szCs w:val="18"/>
          <w:color w:val="010000"/>
        </w:rPr>
      </w:pPr>
    </w:p>
    <w:p>
      <w:pPr>
        <w:ind w:left="1900" w:hanging="622"/>
        <w:spacing w:after="0"/>
        <w:tabs>
          <w:tab w:leader="none" w:pos="1900" w:val="left"/>
        </w:tabs>
        <w:numPr>
          <w:ilvl w:val="0"/>
          <w:numId w:val="125"/>
        </w:numPr>
        <w:rPr>
          <w:rFonts w:ascii="Arial" w:cs="Arial" w:eastAsia="Arial" w:hAnsi="Arial"/>
          <w:sz w:val="19"/>
          <w:szCs w:val="19"/>
          <w:color w:val="010000"/>
        </w:rPr>
      </w:pPr>
      <w:r>
        <w:rPr>
          <w:rFonts w:ascii="Arial" w:cs="Arial" w:eastAsia="Arial" w:hAnsi="Arial"/>
          <w:sz w:val="19"/>
          <w:szCs w:val="19"/>
          <w:color w:val="auto"/>
        </w:rPr>
        <w:t>Dispositions permitted by Section 6.04;</w:t>
      </w:r>
    </w:p>
    <w:p>
      <w:pPr>
        <w:spacing w:after="0" w:line="179" w:lineRule="exact"/>
        <w:rPr>
          <w:rFonts w:ascii="Arial" w:cs="Arial" w:eastAsia="Arial" w:hAnsi="Arial"/>
          <w:sz w:val="19"/>
          <w:szCs w:val="19"/>
          <w:color w:val="010000"/>
        </w:rPr>
      </w:pPr>
    </w:p>
    <w:p>
      <w:pPr>
        <w:ind w:left="640" w:firstLine="638"/>
        <w:spacing w:after="0" w:line="261" w:lineRule="auto"/>
        <w:tabs>
          <w:tab w:leader="none" w:pos="1901"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any Subsidiary that is not a Loan Party may liquidate or dissolve if the Borrower determines in good faith that such liquidation or dissolution is in the best interests of the Borrower and is not materially disadvantageous to the Lenders; and</w:t>
      </w:r>
    </w:p>
    <w:p>
      <w:pPr>
        <w:spacing w:after="0" w:line="132" w:lineRule="exact"/>
        <w:rPr>
          <w:rFonts w:ascii="Arial" w:cs="Arial" w:eastAsia="Arial" w:hAnsi="Arial"/>
          <w:sz w:val="18"/>
          <w:szCs w:val="18"/>
          <w:color w:val="010000"/>
        </w:rPr>
      </w:pPr>
    </w:p>
    <w:p>
      <w:pPr>
        <w:ind w:left="640" w:firstLine="638"/>
        <w:spacing w:after="0" w:line="237" w:lineRule="auto"/>
        <w:tabs>
          <w:tab w:leader="none" w:pos="1902" w:val="left"/>
        </w:tabs>
        <w:numPr>
          <w:ilvl w:val="0"/>
          <w:numId w:val="125"/>
        </w:numPr>
        <w:rPr>
          <w:rFonts w:ascii="Arial" w:cs="Arial" w:eastAsia="Arial" w:hAnsi="Arial"/>
          <w:sz w:val="19"/>
          <w:szCs w:val="19"/>
          <w:color w:val="010000"/>
        </w:rPr>
      </w:pPr>
      <w:r>
        <w:rPr>
          <w:rFonts w:ascii="Arial" w:cs="Arial" w:eastAsia="Arial" w:hAnsi="Arial"/>
          <w:sz w:val="19"/>
          <w:szCs w:val="19"/>
          <w:color w:val="auto"/>
        </w:rPr>
        <w:t>any Subsidiary may liquidate, wind up or dissolve if its assets are transferred to a Loan Party or, if such Subsidiary is not a Loan Party, to any other Subsidiary;</w:t>
      </w:r>
    </w:p>
    <w:p>
      <w:pPr>
        <w:spacing w:after="0" w:line="151" w:lineRule="exact"/>
        <w:rPr>
          <w:sz w:val="20"/>
          <w:szCs w:val="20"/>
          <w:color w:val="auto"/>
        </w:rPr>
      </w:pPr>
    </w:p>
    <w:p>
      <w:pPr>
        <w:ind w:left="640" w:right="20"/>
        <w:spacing w:after="0" w:line="23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merger or consolidation involving a Person that is not a wholly-owned Subsidiary immediately prior to such merger or consolidation shall not be permitted unless it is also permitted by Section 6.05.</w:t>
      </w:r>
    </w:p>
    <w:p>
      <w:pPr>
        <w:spacing w:after="0" w:line="151" w:lineRule="exact"/>
        <w:rPr>
          <w:sz w:val="20"/>
          <w:szCs w:val="20"/>
          <w:color w:val="auto"/>
        </w:rPr>
      </w:pPr>
    </w:p>
    <w:p>
      <w:pPr>
        <w:jc w:val="both"/>
        <w:ind w:firstLine="1278"/>
        <w:spacing w:after="0" w:line="220" w:lineRule="auto"/>
        <w:tabs>
          <w:tab w:leader="none" w:pos="1896" w:val="left"/>
        </w:tabs>
        <w:numPr>
          <w:ilvl w:val="0"/>
          <w:numId w:val="126"/>
        </w:numPr>
        <w:rPr>
          <w:rFonts w:ascii="Arial" w:cs="Arial" w:eastAsia="Arial" w:hAnsi="Arial"/>
          <w:sz w:val="19"/>
          <w:szCs w:val="19"/>
          <w:color w:val="010000"/>
        </w:rPr>
      </w:pPr>
      <w:r>
        <w:rPr>
          <w:rFonts w:ascii="Arial" w:cs="Arial" w:eastAsia="Arial" w:hAnsi="Arial"/>
          <w:sz w:val="19"/>
          <w:szCs w:val="19"/>
          <w:color w:val="auto"/>
        </w:rPr>
        <w:t>The Borrower will not, and will not permit any of its Subsidiaries to, engage to any material extent in any business substantially different from businesses of the type conducted by the Borrower and its Subsidiaries (taken as a whole) on the Effective Date and businesses reasonably related, ancillary, similar, complementary or synergistic thereto or reasonable extensions, development or expansion thereof.</w:t>
      </w:r>
    </w:p>
    <w:p>
      <w:pPr>
        <w:spacing w:after="0" w:line="152" w:lineRule="exact"/>
        <w:rPr>
          <w:rFonts w:ascii="Arial" w:cs="Arial" w:eastAsia="Arial" w:hAnsi="Arial"/>
          <w:sz w:val="19"/>
          <w:szCs w:val="19"/>
          <w:color w:val="010000"/>
        </w:rPr>
      </w:pPr>
    </w:p>
    <w:p>
      <w:pPr>
        <w:ind w:firstLine="1278"/>
        <w:spacing w:after="0" w:line="237" w:lineRule="auto"/>
        <w:tabs>
          <w:tab w:leader="none" w:pos="1898" w:val="left"/>
        </w:tabs>
        <w:numPr>
          <w:ilvl w:val="0"/>
          <w:numId w:val="126"/>
        </w:numPr>
        <w:rPr>
          <w:rFonts w:ascii="Arial" w:cs="Arial" w:eastAsia="Arial" w:hAnsi="Arial"/>
          <w:sz w:val="19"/>
          <w:szCs w:val="19"/>
          <w:color w:val="010000"/>
        </w:rPr>
      </w:pPr>
      <w:r>
        <w:rPr>
          <w:rFonts w:ascii="Arial" w:cs="Arial" w:eastAsia="Arial" w:hAnsi="Arial"/>
          <w:sz w:val="19"/>
          <w:szCs w:val="19"/>
          <w:color w:val="auto"/>
        </w:rPr>
        <w:t>The Borrower will not permit its fiscal year to end on a day other than March 31 or change the Borrower’s method of determining its fiscal quarters.</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8"/>
          <w:szCs w:val="18"/>
          <w:color w:val="010000"/>
        </w:rPr>
        <w:t>SECTION 1.04.</w:t>
      </w:r>
      <w:r>
        <w:rPr>
          <w:rFonts w:ascii="Arial" w:cs="Arial" w:eastAsia="Arial" w:hAnsi="Arial"/>
          <w:sz w:val="18"/>
          <w:szCs w:val="18"/>
          <w:u w:val="single" w:color="auto"/>
          <w:color w:val="000000"/>
        </w:rPr>
        <w:t>Dispositions</w:t>
      </w:r>
      <w:r>
        <w:rPr>
          <w:rFonts w:ascii="Arial" w:cs="Arial" w:eastAsia="Arial" w:hAnsi="Arial"/>
          <w:sz w:val="18"/>
          <w:szCs w:val="18"/>
          <w:color w:val="000000"/>
        </w:rPr>
        <w:t>. The Borrower will not, and will not permit any Subsidiary to, make any Disposition,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ectPr>
          <w:pgSz w:w="11900" w:h="16838" w:orient="portrait"/>
          <w:cols w:equalWidth="0" w:num="1">
            <w:col w:w="11240"/>
          </w:cols>
          <w:pgMar w:left="320" w:top="1381" w:right="339" w:bottom="1440" w:gutter="0" w:footer="0" w:header="0"/>
        </w:sectPr>
      </w:pPr>
    </w:p>
    <w:bookmarkStart w:id="108" w:name="page109"/>
    <w:bookmarkEnd w:id="108"/>
    <w:p>
      <w:pPr>
        <w:ind w:left="1900" w:hanging="622"/>
        <w:spacing w:after="0"/>
        <w:tabs>
          <w:tab w:leader="none" w:pos="1900"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Dispositions of obsolete, worn out or surplus property in the ordinary course of business;</w:t>
      </w:r>
    </w:p>
    <w:p>
      <w:pPr>
        <w:spacing w:after="0" w:line="179" w:lineRule="exact"/>
        <w:rPr>
          <w:rFonts w:ascii="Arial" w:cs="Arial" w:eastAsia="Arial" w:hAnsi="Arial"/>
          <w:sz w:val="19"/>
          <w:szCs w:val="19"/>
          <w:color w:val="010000"/>
        </w:rPr>
      </w:pPr>
    </w:p>
    <w:p>
      <w:pPr>
        <w:ind w:left="1900" w:hanging="622"/>
        <w:spacing w:after="0"/>
        <w:tabs>
          <w:tab w:leader="none" w:pos="1900"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Dispositions of inventory and Permitted Investments in the ordinary course of business;</w:t>
      </w:r>
    </w:p>
    <w:p>
      <w:pPr>
        <w:spacing w:after="0" w:line="179" w:lineRule="exact"/>
        <w:rPr>
          <w:rFonts w:ascii="Arial" w:cs="Arial" w:eastAsia="Arial" w:hAnsi="Arial"/>
          <w:sz w:val="19"/>
          <w:szCs w:val="19"/>
          <w:color w:val="010000"/>
        </w:rPr>
      </w:pPr>
    </w:p>
    <w:p>
      <w:pPr>
        <w:jc w:val="both"/>
        <w:ind w:firstLine="1278"/>
        <w:spacing w:after="0" w:line="226" w:lineRule="auto"/>
        <w:tabs>
          <w:tab w:leader="none" w:pos="1898"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51" w:lineRule="exact"/>
        <w:rPr>
          <w:rFonts w:ascii="Arial" w:cs="Arial" w:eastAsia="Arial" w:hAnsi="Arial"/>
          <w:sz w:val="19"/>
          <w:szCs w:val="19"/>
          <w:color w:val="010000"/>
        </w:rPr>
      </w:pPr>
    </w:p>
    <w:p>
      <w:pPr>
        <w:ind w:left="1900" w:hanging="622"/>
        <w:spacing w:after="0"/>
        <w:tabs>
          <w:tab w:leader="none" w:pos="1900"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Dispositions of property by any Loan Party to any other Loan Party;</w:t>
      </w:r>
    </w:p>
    <w:p>
      <w:pPr>
        <w:spacing w:after="0" w:line="179" w:lineRule="exact"/>
        <w:rPr>
          <w:rFonts w:ascii="Arial" w:cs="Arial" w:eastAsia="Arial" w:hAnsi="Arial"/>
          <w:sz w:val="19"/>
          <w:szCs w:val="19"/>
          <w:color w:val="010000"/>
        </w:rPr>
      </w:pPr>
    </w:p>
    <w:p>
      <w:pPr>
        <w:ind w:firstLine="1278"/>
        <w:spacing w:after="0" w:line="237" w:lineRule="auto"/>
        <w:tabs>
          <w:tab w:leader="none" w:pos="1898"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leases, licenses, subleases or sublicenses (including the provision of open source software under an open source license) that do not interfere in any material respect with the business of the Borrower and its Subsidiaries;</w:t>
      </w:r>
    </w:p>
    <w:p>
      <w:pPr>
        <w:spacing w:after="0" w:line="146" w:lineRule="exact"/>
        <w:rPr>
          <w:rFonts w:ascii="Arial" w:cs="Arial" w:eastAsia="Arial" w:hAnsi="Arial"/>
          <w:sz w:val="19"/>
          <w:szCs w:val="19"/>
          <w:color w:val="010000"/>
        </w:rPr>
      </w:pPr>
    </w:p>
    <w:p>
      <w:pPr>
        <w:ind w:left="1900" w:hanging="622"/>
        <w:spacing w:after="0"/>
        <w:tabs>
          <w:tab w:leader="none" w:pos="1900"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Dispositions of intellectual property rights that are no longer used or useful in the business of the Borrower and its</w:t>
      </w:r>
    </w:p>
    <w:p>
      <w:pPr>
        <w:spacing w:after="0"/>
        <w:rPr>
          <w:rFonts w:ascii="Arial" w:cs="Arial" w:eastAsia="Arial" w:hAnsi="Arial"/>
          <w:sz w:val="18"/>
          <w:szCs w:val="18"/>
          <w:color w:val="010000"/>
        </w:rPr>
      </w:pPr>
      <w:r>
        <w:rPr>
          <w:rFonts w:ascii="Arial" w:cs="Arial" w:eastAsia="Arial" w:hAnsi="Arial"/>
          <w:sz w:val="19"/>
          <w:szCs w:val="19"/>
          <w:color w:val="auto"/>
        </w:rPr>
        <w:t>Subsidiaries;</w:t>
      </w:r>
    </w:p>
    <w:p>
      <w:pPr>
        <w:spacing w:after="0" w:line="163" w:lineRule="exact"/>
        <w:rPr>
          <w:rFonts w:ascii="Arial" w:cs="Arial" w:eastAsia="Arial" w:hAnsi="Arial"/>
          <w:sz w:val="18"/>
          <w:szCs w:val="18"/>
          <w:color w:val="010000"/>
        </w:rPr>
      </w:pPr>
    </w:p>
    <w:p>
      <w:pPr>
        <w:ind w:firstLine="1278"/>
        <w:spacing w:after="0" w:line="237" w:lineRule="auto"/>
        <w:tabs>
          <w:tab w:leader="none" w:pos="1896"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the discount, write-off or Disposition of accounts receivable overdue by more than ninety days, in each case in the ordinary course of business;</w:t>
      </w:r>
    </w:p>
    <w:p>
      <w:pPr>
        <w:spacing w:after="0" w:line="151" w:lineRule="exact"/>
        <w:rPr>
          <w:rFonts w:ascii="Arial" w:cs="Arial" w:eastAsia="Arial" w:hAnsi="Arial"/>
          <w:sz w:val="19"/>
          <w:szCs w:val="19"/>
          <w:color w:val="010000"/>
        </w:rPr>
      </w:pPr>
    </w:p>
    <w:p>
      <w:pPr>
        <w:jc w:val="both"/>
        <w:ind w:firstLine="1278"/>
        <w:spacing w:after="0" w:line="220" w:lineRule="auto"/>
        <w:tabs>
          <w:tab w:leader="none" w:pos="1896"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 xml:space="preserve">Dispositions of non-core assets acquired in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Dispositions shall be consummated within 360 days of such Permitted Acquisition;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 the consideration received for such assets shall be in an amount at least equal to the fair market value thereof (determined in good faith by the board of directors of the Borrower) and (ii) no less than 75% thereof shall be paid in cash;</w:t>
      </w:r>
    </w:p>
    <w:p>
      <w:pPr>
        <w:spacing w:after="0" w:line="152" w:lineRule="exact"/>
        <w:rPr>
          <w:rFonts w:ascii="Arial" w:cs="Arial" w:eastAsia="Arial" w:hAnsi="Arial"/>
          <w:sz w:val="19"/>
          <w:szCs w:val="19"/>
          <w:color w:val="010000"/>
        </w:rPr>
      </w:pPr>
    </w:p>
    <w:p>
      <w:pPr>
        <w:ind w:left="1920" w:hanging="642"/>
        <w:spacing w:after="0"/>
        <w:tabs>
          <w:tab w:leader="none" w:pos="1920"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Restricted Payments permitted by Section 6.08 and investments permitted by Section 6.05;</w:t>
      </w:r>
    </w:p>
    <w:p>
      <w:pPr>
        <w:spacing w:after="0" w:line="173" w:lineRule="exact"/>
        <w:rPr>
          <w:rFonts w:ascii="Arial" w:cs="Arial" w:eastAsia="Arial" w:hAnsi="Arial"/>
          <w:sz w:val="19"/>
          <w:szCs w:val="19"/>
          <w:color w:val="010000"/>
        </w:rPr>
      </w:pPr>
    </w:p>
    <w:p>
      <w:pPr>
        <w:ind w:left="1920" w:hanging="642"/>
        <w:spacing w:after="0"/>
        <w:tabs>
          <w:tab w:leader="none" w:pos="1920"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Dispositions of accounts receivable in connection with the collection or compromise thereof in the ordinary course of</w:t>
      </w:r>
    </w:p>
    <w:p>
      <w:pPr>
        <w:spacing w:after="0"/>
        <w:rPr>
          <w:rFonts w:ascii="Arial" w:cs="Arial" w:eastAsia="Arial" w:hAnsi="Arial"/>
          <w:sz w:val="18"/>
          <w:szCs w:val="18"/>
          <w:color w:val="010000"/>
        </w:rPr>
      </w:pPr>
      <w:r>
        <w:rPr>
          <w:rFonts w:ascii="Arial" w:cs="Arial" w:eastAsia="Arial" w:hAnsi="Arial"/>
          <w:sz w:val="19"/>
          <w:szCs w:val="19"/>
          <w:color w:val="auto"/>
        </w:rPr>
        <w:t>business;</w:t>
      </w:r>
    </w:p>
    <w:p>
      <w:pPr>
        <w:spacing w:after="0" w:line="163" w:lineRule="exact"/>
        <w:rPr>
          <w:rFonts w:ascii="Arial" w:cs="Arial" w:eastAsia="Arial" w:hAnsi="Arial"/>
          <w:sz w:val="18"/>
          <w:szCs w:val="18"/>
          <w:color w:val="010000"/>
        </w:rPr>
      </w:pPr>
    </w:p>
    <w:p>
      <w:pPr>
        <w:ind w:left="1900" w:hanging="622"/>
        <w:spacing w:after="0"/>
        <w:tabs>
          <w:tab w:leader="none" w:pos="1900"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sales of Cash Equivalents in the ordinary course of business;</w:t>
      </w:r>
    </w:p>
    <w:p>
      <w:pPr>
        <w:spacing w:after="0" w:line="179" w:lineRule="exact"/>
        <w:rPr>
          <w:rFonts w:ascii="Arial" w:cs="Arial" w:eastAsia="Arial" w:hAnsi="Arial"/>
          <w:sz w:val="19"/>
          <w:szCs w:val="19"/>
          <w:color w:val="010000"/>
        </w:rPr>
      </w:pPr>
    </w:p>
    <w:p>
      <w:pPr>
        <w:ind w:firstLine="1278"/>
        <w:spacing w:after="0" w:line="237" w:lineRule="auto"/>
        <w:tabs>
          <w:tab w:leader="none" w:pos="1906"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Transfers of property subject to casualty event and Dispositions constituting expropriations or takings by a Governmental Authority;</w:t>
      </w:r>
    </w:p>
    <w:p>
      <w:pPr>
        <w:spacing w:after="0" w:line="151" w:lineRule="exact"/>
        <w:rPr>
          <w:rFonts w:ascii="Arial" w:cs="Arial" w:eastAsia="Arial" w:hAnsi="Arial"/>
          <w:sz w:val="19"/>
          <w:szCs w:val="19"/>
          <w:color w:val="010000"/>
        </w:rPr>
      </w:pPr>
    </w:p>
    <w:p>
      <w:pPr>
        <w:ind w:firstLine="1278"/>
        <w:spacing w:after="0" w:line="237" w:lineRule="auto"/>
        <w:tabs>
          <w:tab w:leader="none" w:pos="1897"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the Disposition of the Borrower’s headquarters located at 1 Commvault Way, Tinton Falls, NJ (including in connection with a Sale and Leaseback Transaction permitted by Section 6.11); and</w:t>
      </w:r>
    </w:p>
    <w:p>
      <w:pPr>
        <w:spacing w:after="0" w:line="151" w:lineRule="exact"/>
        <w:rPr>
          <w:rFonts w:ascii="Arial" w:cs="Arial" w:eastAsia="Arial" w:hAnsi="Arial"/>
          <w:sz w:val="19"/>
          <w:szCs w:val="19"/>
          <w:color w:val="010000"/>
        </w:rPr>
      </w:pPr>
    </w:p>
    <w:p>
      <w:pPr>
        <w:jc w:val="both"/>
        <w:ind w:firstLine="1278"/>
        <w:spacing w:after="0" w:line="215" w:lineRule="auto"/>
        <w:tabs>
          <w:tab w:leader="none" w:pos="1896"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 xml:space="preserve">Dispositions by the Borrower and its Subsidiaries not otherwise permitted under this Section 6.04;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book value of all property Disposed of pursuant to this clause (n) in any fiscal year of the Borrower shall not exceed $25,000,000;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other than in the case of Dispositions for which the aggregate book value of all Disposed property does not exceed $5,000,000 during the term of this Agreement, (i) the consideration received for the assets subject to such Disposition shall be in an amount at least equal to the fair market value thereof (determined in good faith by the board of directors of the Borrower) and (ii) no less than 75% thereof shall be paid in cash.</w:t>
      </w:r>
    </w:p>
    <w:p>
      <w:pPr>
        <w:spacing w:after="0" w:line="151"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010000"/>
        </w:rPr>
        <w:t>SECTION 1.05.</w:t>
      </w:r>
      <w:r>
        <w:rPr>
          <w:rFonts w:ascii="Arial" w:cs="Arial" w:eastAsia="Arial" w:hAnsi="Arial"/>
          <w:sz w:val="19"/>
          <w:szCs w:val="19"/>
          <w:u w:val="single" w:color="auto"/>
          <w:color w:val="000000"/>
        </w:rPr>
        <w:t>Investments, Loans, Advances, Guarantees and Acquisitions</w:t>
      </w:r>
      <w:r>
        <w:rPr>
          <w:rFonts w:ascii="Arial" w:cs="Arial" w:eastAsia="Arial" w:hAnsi="Arial"/>
          <w:sz w:val="19"/>
          <w:szCs w:val="19"/>
          <w:color w:val="000000"/>
        </w:rPr>
        <w:t>. The Borrower will not, and will not permit any of</w:t>
      </w:r>
      <w:r>
        <w:rPr>
          <w:rFonts w:ascii="Arial" w:cs="Arial" w:eastAsia="Arial" w:hAnsi="Arial"/>
          <w:sz w:val="19"/>
          <w:szCs w:val="19"/>
          <w:color w:val="010000"/>
        </w:rPr>
        <w:t xml:space="preserve"> </w:t>
      </w:r>
      <w:r>
        <w:rPr>
          <w:rFonts w:ascii="Arial" w:cs="Arial" w:eastAsia="Arial" w:hAnsi="Arial"/>
          <w:sz w:val="19"/>
          <w:szCs w:val="19"/>
          <w:color w:val="000000"/>
        </w:rPr>
        <w:t>its Subsidiaries to, (i) purchase, hold or acquire (including pursuant to any merger or consolidation with any Person that was not a wholly owned Subsidiary prior to such merger or consolidation) any capital stock, evidences of indebtedness or other securities (including any option, warrant or other similar right to acquire any of the foregoing) of, make or permit to exist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ectPr>
          <w:pgSz w:w="11900" w:h="16838" w:orient="portrait"/>
          <w:cols w:equalWidth="0" w:num="1">
            <w:col w:w="11240"/>
          </w:cols>
          <w:pgMar w:left="320" w:top="1381" w:right="339" w:bottom="1440" w:gutter="0" w:footer="0" w:header="0"/>
        </w:sectPr>
      </w:pPr>
    </w:p>
    <w:bookmarkStart w:id="109" w:name="page110"/>
    <w:bookmarkEnd w:id="109"/>
    <w:p>
      <w:pPr>
        <w:jc w:val="both"/>
        <w:spacing w:after="0" w:line="220" w:lineRule="auto"/>
        <w:rPr>
          <w:sz w:val="20"/>
          <w:szCs w:val="20"/>
          <w:color w:val="auto"/>
        </w:rPr>
      </w:pPr>
      <w:r>
        <w:rPr>
          <w:rFonts w:ascii="Arial" w:cs="Arial" w:eastAsia="Arial" w:hAnsi="Arial"/>
          <w:sz w:val="19"/>
          <w:szCs w:val="19"/>
          <w:color w:val="auto"/>
        </w:rPr>
        <w:t>loans or advances to, Guarantee any obligations of, or make or permit to exist any investment or any other beneficial interest in, any other Person or (ii) purchase or otherwise acquire (in one transaction or a series of transactions) any Person or all or substantially all of the assets of any Persons or any assets of any other Person constituting a business unit, division, product line or line of business of such Person (each of the foregoing transactions described in the foregoing clauses (i) and (ii), an “</w:t>
      </w:r>
      <w:r>
        <w:rPr>
          <w:rFonts w:ascii="Arial" w:cs="Arial" w:eastAsia="Arial" w:hAnsi="Arial"/>
          <w:sz w:val="19"/>
          <w:szCs w:val="19"/>
          <w:u w:val="single" w:color="auto"/>
          <w:color w:val="auto"/>
        </w:rPr>
        <w:t>Investment</w:t>
      </w:r>
      <w:r>
        <w:rPr>
          <w:rFonts w:ascii="Arial" w:cs="Arial" w:eastAsia="Arial" w:hAnsi="Arial"/>
          <w:sz w:val="19"/>
          <w:szCs w:val="19"/>
          <w:color w:val="auto"/>
        </w:rPr>
        <w:t>”), except:</w:t>
      </w:r>
    </w:p>
    <w:p>
      <w:pPr>
        <w:spacing w:after="0" w:line="153" w:lineRule="exact"/>
        <w:rPr>
          <w:sz w:val="20"/>
          <w:szCs w:val="20"/>
          <w:color w:val="auto"/>
        </w:rPr>
      </w:pPr>
    </w:p>
    <w:p>
      <w:pPr>
        <w:ind w:left="1900" w:hanging="622"/>
        <w:spacing w:after="0"/>
        <w:tabs>
          <w:tab w:leader="none" w:pos="1900"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cash and Permitted Investments;</w:t>
      </w:r>
    </w:p>
    <w:p>
      <w:pPr>
        <w:spacing w:after="0" w:line="179" w:lineRule="exact"/>
        <w:rPr>
          <w:rFonts w:ascii="Arial" w:cs="Arial" w:eastAsia="Arial" w:hAnsi="Arial"/>
          <w:sz w:val="19"/>
          <w:szCs w:val="19"/>
          <w:color w:val="010000"/>
        </w:rPr>
      </w:pPr>
    </w:p>
    <w:p>
      <w:pPr>
        <w:ind w:left="1900" w:hanging="622"/>
        <w:spacing w:after="0"/>
        <w:tabs>
          <w:tab w:leader="none" w:pos="1900"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Permitted Acquisitions;</w:t>
      </w:r>
    </w:p>
    <w:p>
      <w:pPr>
        <w:spacing w:after="0" w:line="179" w:lineRule="exact"/>
        <w:rPr>
          <w:rFonts w:ascii="Arial" w:cs="Arial" w:eastAsia="Arial" w:hAnsi="Arial"/>
          <w:sz w:val="19"/>
          <w:szCs w:val="19"/>
          <w:color w:val="010000"/>
        </w:rPr>
      </w:pPr>
    </w:p>
    <w:p>
      <w:pPr>
        <w:jc w:val="both"/>
        <w:ind w:firstLine="1278"/>
        <w:spacing w:after="0" w:line="220" w:lineRule="auto"/>
        <w:tabs>
          <w:tab w:leader="none" w:pos="1898"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(i) Investments by the Borrower and its Subsidiaries existing on the Effective Date in the capital stock of their respective Subsidiaries, (ii) Investments by the Borrower and its Subsidiaries in a Subsidiary Guarantor and (iii) Investments by any Person existing on the date such Person becomes a Subsidiary or consolidates or merges with the Borrower or any of its Subsidiaries pursuant to a transaction otherwise permitted hereunder;</w:t>
      </w:r>
    </w:p>
    <w:p>
      <w:pPr>
        <w:spacing w:after="0" w:line="152" w:lineRule="exact"/>
        <w:rPr>
          <w:rFonts w:ascii="Arial" w:cs="Arial" w:eastAsia="Arial" w:hAnsi="Arial"/>
          <w:sz w:val="19"/>
          <w:szCs w:val="19"/>
          <w:color w:val="010000"/>
        </w:rPr>
      </w:pPr>
    </w:p>
    <w:p>
      <w:pPr>
        <w:jc w:val="both"/>
        <w:ind w:firstLine="1278"/>
        <w:spacing w:after="0" w:line="220" w:lineRule="auto"/>
        <w:tabs>
          <w:tab w:leader="none" w:pos="1896"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Investments (including, without limitation, capital contributions) made by the Borrower in or to any Subsidiary and made by any Subsidiary in or to the Borrower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 more than an aggregate amount of $25,000,000 during the term of this Agreement in investments, loans or advances or capital contributions may be made and remain outstanding, at any time, by Loan Parties to Subsidiaries which are not Loan Parties);</w:t>
      </w:r>
    </w:p>
    <w:p>
      <w:pPr>
        <w:spacing w:after="0" w:line="152" w:lineRule="exact"/>
        <w:rPr>
          <w:rFonts w:ascii="Arial" w:cs="Arial" w:eastAsia="Arial" w:hAnsi="Arial"/>
          <w:sz w:val="19"/>
          <w:szCs w:val="19"/>
          <w:color w:val="010000"/>
        </w:rPr>
      </w:pPr>
    </w:p>
    <w:p>
      <w:pPr>
        <w:ind w:left="1900" w:hanging="622"/>
        <w:spacing w:after="0"/>
        <w:tabs>
          <w:tab w:leader="none" w:pos="1900"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Investments constituting deposits described in clauses (c) and (d) of the definition of “Permitted Encumbrances”;</w:t>
      </w:r>
    </w:p>
    <w:p>
      <w:pPr>
        <w:spacing w:after="0" w:line="190" w:lineRule="exact"/>
        <w:rPr>
          <w:rFonts w:ascii="Arial" w:cs="Arial" w:eastAsia="Arial" w:hAnsi="Arial"/>
          <w:sz w:val="18"/>
          <w:szCs w:val="18"/>
          <w:color w:val="010000"/>
        </w:rPr>
      </w:pPr>
    </w:p>
    <w:p>
      <w:pPr>
        <w:ind w:left="1900" w:hanging="622"/>
        <w:spacing w:after="0"/>
        <w:tabs>
          <w:tab w:leader="none" w:pos="1900"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Guarantees constituting Indebtedness permitted by Section 6.01(d);</w:t>
      </w:r>
    </w:p>
    <w:p>
      <w:pPr>
        <w:spacing w:after="0" w:line="179" w:lineRule="exact"/>
        <w:rPr>
          <w:rFonts w:ascii="Arial" w:cs="Arial" w:eastAsia="Arial" w:hAnsi="Arial"/>
          <w:sz w:val="19"/>
          <w:szCs w:val="19"/>
          <w:color w:val="010000"/>
        </w:rPr>
      </w:pPr>
    </w:p>
    <w:p>
      <w:pPr>
        <w:jc w:val="both"/>
        <w:ind w:firstLine="1278"/>
        <w:spacing w:after="0" w:line="217" w:lineRule="auto"/>
        <w:tabs>
          <w:tab w:leader="none" w:pos="1896"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Investments comprised of notes payable, stock or other securities issued by account debtors to the Borrower or any of its Subsidiaries pursuant to negotiated agreements with respect to settlement of such account debtor’s accounts in the ordinary course of business or Investments otherwise received in settlement of obligations owed by any financially troubled account debtors or other debtors in connection with such Person’s reorganization or in bankruptcy, insolvency or similar proceedings or in connection with foreclosure on or transfer of title with respect to any secured Investment;</w:t>
      </w:r>
    </w:p>
    <w:p>
      <w:pPr>
        <w:spacing w:after="0" w:line="151" w:lineRule="exact"/>
        <w:rPr>
          <w:rFonts w:ascii="Arial" w:cs="Arial" w:eastAsia="Arial" w:hAnsi="Arial"/>
          <w:sz w:val="19"/>
          <w:szCs w:val="19"/>
          <w:color w:val="010000"/>
        </w:rPr>
      </w:pPr>
    </w:p>
    <w:p>
      <w:pPr>
        <w:ind w:left="1900" w:hanging="622"/>
        <w:spacing w:after="0"/>
        <w:tabs>
          <w:tab w:leader="none" w:pos="1900"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extensions of trade credit or the holding of receivables in the ordinary course of business;</w:t>
      </w:r>
    </w:p>
    <w:p>
      <w:pPr>
        <w:spacing w:after="0" w:line="179" w:lineRule="exact"/>
        <w:rPr>
          <w:rFonts w:ascii="Arial" w:cs="Arial" w:eastAsia="Arial" w:hAnsi="Arial"/>
          <w:sz w:val="19"/>
          <w:szCs w:val="19"/>
          <w:color w:val="010000"/>
        </w:rPr>
      </w:pPr>
    </w:p>
    <w:p>
      <w:pPr>
        <w:jc w:val="both"/>
        <w:ind w:firstLine="1278"/>
        <w:spacing w:after="0" w:line="226" w:lineRule="auto"/>
        <w:tabs>
          <w:tab w:leader="none" w:pos="1906"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the purchase, redemption, retirement, acquisition, cancellation or termination of any Equity Interests of the Borrower or any option, warrant or other right to acquire any such Equity Interests in the Borrower, in each case to the extent the payment therefore is permitted under Section 6.08;</w:t>
      </w:r>
    </w:p>
    <w:p>
      <w:pPr>
        <w:spacing w:after="0" w:line="151" w:lineRule="exact"/>
        <w:rPr>
          <w:rFonts w:ascii="Arial" w:cs="Arial" w:eastAsia="Arial" w:hAnsi="Arial"/>
          <w:sz w:val="19"/>
          <w:szCs w:val="19"/>
          <w:color w:val="010000"/>
        </w:rPr>
      </w:pPr>
    </w:p>
    <w:p>
      <w:pPr>
        <w:ind w:firstLine="1278"/>
        <w:spacing w:after="0" w:line="237" w:lineRule="auto"/>
        <w:tabs>
          <w:tab w:leader="none" w:pos="1906"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loans and advances to officers, directors and employees for moving, payroll, entertainment, travel and other similar expenses in the ordinary course of business not to exceed $5,000,000 in the aggregate at any time outstanding;</w:t>
      </w:r>
    </w:p>
    <w:p>
      <w:pPr>
        <w:spacing w:after="0" w:line="151" w:lineRule="exact"/>
        <w:rPr>
          <w:rFonts w:ascii="Arial" w:cs="Arial" w:eastAsia="Arial" w:hAnsi="Arial"/>
          <w:sz w:val="19"/>
          <w:szCs w:val="19"/>
          <w:color w:val="010000"/>
        </w:rPr>
      </w:pPr>
    </w:p>
    <w:p>
      <w:pPr>
        <w:ind w:left="1900" w:hanging="622"/>
        <w:spacing w:after="0"/>
        <w:tabs>
          <w:tab w:leader="none" w:pos="1900"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endorsements for collection or deposit and prepaid expenses made in the ordinary course of business;</w:t>
      </w:r>
    </w:p>
    <w:p>
      <w:pPr>
        <w:spacing w:after="0" w:line="179" w:lineRule="exact"/>
        <w:rPr>
          <w:rFonts w:ascii="Arial" w:cs="Arial" w:eastAsia="Arial" w:hAnsi="Arial"/>
          <w:sz w:val="19"/>
          <w:szCs w:val="19"/>
          <w:color w:val="010000"/>
        </w:rPr>
      </w:pPr>
    </w:p>
    <w:p>
      <w:pPr>
        <w:ind w:firstLine="1278"/>
        <w:spacing w:after="0" w:line="237" w:lineRule="auto"/>
        <w:tabs>
          <w:tab w:leader="none" w:pos="1906"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transactions (to the extent constituting Investments) or promissory notes and other non-cash consideration received in connection with Dispositions permitted by Section 6.04;</w:t>
      </w:r>
    </w:p>
    <w:p>
      <w:pPr>
        <w:spacing w:after="0" w:line="151" w:lineRule="exact"/>
        <w:rPr>
          <w:rFonts w:ascii="Arial" w:cs="Arial" w:eastAsia="Arial" w:hAnsi="Arial"/>
          <w:sz w:val="19"/>
          <w:szCs w:val="19"/>
          <w:color w:val="010000"/>
        </w:rPr>
      </w:pPr>
    </w:p>
    <w:p>
      <w:pPr>
        <w:ind w:firstLine="1278"/>
        <w:spacing w:after="0" w:line="237" w:lineRule="auto"/>
        <w:tabs>
          <w:tab w:leader="none" w:pos="1897"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Investments constituting the creation of new Subsidiaries so long as the Borrower or such Subsidiary complies with Section 5.09 hereof and any Investment in such new Subsidiary is otherwise permitted under this Section 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ectPr>
          <w:pgSz w:w="11900" w:h="16838" w:orient="portrait"/>
          <w:cols w:equalWidth="0" w:num="1">
            <w:col w:w="11240"/>
          </w:cols>
          <w:pgMar w:left="320" w:top="1381" w:right="339" w:bottom="1440" w:gutter="0" w:footer="0" w:header="0"/>
        </w:sectPr>
      </w:pPr>
    </w:p>
    <w:bookmarkStart w:id="110" w:name="page111"/>
    <w:bookmarkEnd w:id="110"/>
    <w:p>
      <w:pPr>
        <w:ind w:firstLine="1278"/>
        <w:spacing w:after="0" w:line="237" w:lineRule="auto"/>
        <w:tabs>
          <w:tab w:leader="none" w:pos="1896" w:val="left"/>
        </w:tabs>
        <w:numPr>
          <w:ilvl w:val="0"/>
          <w:numId w:val="129"/>
        </w:numPr>
        <w:rPr>
          <w:rFonts w:ascii="Arial" w:cs="Arial" w:eastAsia="Arial" w:hAnsi="Arial"/>
          <w:sz w:val="19"/>
          <w:szCs w:val="19"/>
          <w:color w:val="010000"/>
        </w:rPr>
      </w:pPr>
      <w:r>
        <w:rPr>
          <w:rFonts w:ascii="Arial" w:cs="Arial" w:eastAsia="Arial" w:hAnsi="Arial"/>
          <w:sz w:val="19"/>
          <w:szCs w:val="19"/>
          <w:color w:val="auto"/>
        </w:rPr>
        <w:t>Guarantees of leases and other contractual obligations of any Subsidiary (to the extent not constituting Indebtedness) in the ordinary course of business;</w:t>
      </w:r>
    </w:p>
    <w:p>
      <w:pPr>
        <w:spacing w:after="0" w:line="151" w:lineRule="exact"/>
        <w:rPr>
          <w:rFonts w:ascii="Arial" w:cs="Arial" w:eastAsia="Arial" w:hAnsi="Arial"/>
          <w:sz w:val="19"/>
          <w:szCs w:val="19"/>
          <w:color w:val="010000"/>
        </w:rPr>
      </w:pPr>
    </w:p>
    <w:p>
      <w:pPr>
        <w:jc w:val="both"/>
        <w:ind w:firstLine="1278"/>
        <w:spacing w:after="0" w:line="226" w:lineRule="auto"/>
        <w:tabs>
          <w:tab w:leader="none" w:pos="1896" w:val="left"/>
        </w:tabs>
        <w:numPr>
          <w:ilvl w:val="0"/>
          <w:numId w:val="129"/>
        </w:numPr>
        <w:rPr>
          <w:rFonts w:ascii="Arial" w:cs="Arial" w:eastAsia="Arial" w:hAnsi="Arial"/>
          <w:sz w:val="19"/>
          <w:szCs w:val="19"/>
          <w:color w:val="010000"/>
        </w:rPr>
      </w:pPr>
      <w:r>
        <w:rPr>
          <w:rFonts w:ascii="Arial" w:cs="Arial" w:eastAsia="Arial" w:hAnsi="Arial"/>
          <w:sz w:val="19"/>
          <w:szCs w:val="19"/>
          <w:color w:val="auto"/>
        </w:rPr>
        <w:t>transfers of rights with respect to one or more products or technologies under development to joint ventures with third parties or to other entities where the Borrower or a Subsidiary retains rights to acquire such joint ventures or other entities or otherwise repurchase such products or technologies;</w:t>
      </w:r>
    </w:p>
    <w:p>
      <w:pPr>
        <w:spacing w:after="0" w:line="151" w:lineRule="exact"/>
        <w:rPr>
          <w:rFonts w:ascii="Arial" w:cs="Arial" w:eastAsia="Arial" w:hAnsi="Arial"/>
          <w:sz w:val="19"/>
          <w:szCs w:val="19"/>
          <w:color w:val="010000"/>
        </w:rPr>
      </w:pPr>
    </w:p>
    <w:p>
      <w:pPr>
        <w:ind w:left="1900" w:hanging="622"/>
        <w:spacing w:after="0"/>
        <w:tabs>
          <w:tab w:leader="none" w:pos="1900" w:val="left"/>
        </w:tabs>
        <w:numPr>
          <w:ilvl w:val="0"/>
          <w:numId w:val="129"/>
        </w:numPr>
        <w:rPr>
          <w:rFonts w:ascii="Arial" w:cs="Arial" w:eastAsia="Arial" w:hAnsi="Arial"/>
          <w:sz w:val="19"/>
          <w:szCs w:val="19"/>
          <w:color w:val="010000"/>
        </w:rPr>
      </w:pPr>
      <w:r>
        <w:rPr>
          <w:rFonts w:ascii="Arial" w:cs="Arial" w:eastAsia="Arial" w:hAnsi="Arial"/>
          <w:sz w:val="19"/>
          <w:szCs w:val="19"/>
          <w:color w:val="auto"/>
        </w:rPr>
        <w:t>Investments in the form of Swap Agreements permitted by Section 6.06;</w:t>
      </w:r>
    </w:p>
    <w:p>
      <w:pPr>
        <w:spacing w:after="0" w:line="179" w:lineRule="exact"/>
        <w:rPr>
          <w:rFonts w:ascii="Arial" w:cs="Arial" w:eastAsia="Arial" w:hAnsi="Arial"/>
          <w:sz w:val="19"/>
          <w:szCs w:val="19"/>
          <w:color w:val="010000"/>
        </w:rPr>
      </w:pPr>
    </w:p>
    <w:p>
      <w:pPr>
        <w:jc w:val="both"/>
        <w:ind w:firstLine="1278"/>
        <w:spacing w:after="0" w:line="226" w:lineRule="auto"/>
        <w:tabs>
          <w:tab w:leader="none" w:pos="1896" w:val="left"/>
        </w:tabs>
        <w:numPr>
          <w:ilvl w:val="0"/>
          <w:numId w:val="129"/>
        </w:numPr>
        <w:rPr>
          <w:rFonts w:ascii="Arial" w:cs="Arial" w:eastAsia="Arial" w:hAnsi="Arial"/>
          <w:sz w:val="19"/>
          <w:szCs w:val="19"/>
          <w:color w:val="010000"/>
        </w:rPr>
      </w:pPr>
      <w:r>
        <w:rPr>
          <w:rFonts w:ascii="Arial" w:cs="Arial" w:eastAsia="Arial" w:hAnsi="Arial"/>
          <w:sz w:val="19"/>
          <w:szCs w:val="19"/>
          <w:color w:val="auto"/>
        </w:rPr>
        <w:t>any Permitted Bond Hedge Transactions and Permitted Warrant Transactions (including the Borrower’s entry into, payments of premiums in respect of, and performance of obligations under, such Permitted Bond Hedge Transactions and Permitted Warrant Transactions, in accordance with their terms);</w:t>
      </w:r>
    </w:p>
    <w:p>
      <w:pPr>
        <w:spacing w:after="0" w:line="151" w:lineRule="exact"/>
        <w:rPr>
          <w:rFonts w:ascii="Arial" w:cs="Arial" w:eastAsia="Arial" w:hAnsi="Arial"/>
          <w:sz w:val="19"/>
          <w:szCs w:val="19"/>
          <w:color w:val="010000"/>
        </w:rPr>
      </w:pPr>
    </w:p>
    <w:p>
      <w:pPr>
        <w:ind w:firstLine="1278"/>
        <w:spacing w:after="0" w:line="237" w:lineRule="auto"/>
        <w:tabs>
          <w:tab w:leader="none" w:pos="1903" w:val="left"/>
        </w:tabs>
        <w:numPr>
          <w:ilvl w:val="0"/>
          <w:numId w:val="129"/>
        </w:numPr>
        <w:rPr>
          <w:rFonts w:ascii="Arial" w:cs="Arial" w:eastAsia="Arial" w:hAnsi="Arial"/>
          <w:sz w:val="19"/>
          <w:szCs w:val="19"/>
          <w:color w:val="010000"/>
        </w:rPr>
      </w:pPr>
      <w:r>
        <w:rPr>
          <w:rFonts w:ascii="Arial" w:cs="Arial" w:eastAsia="Arial" w:hAnsi="Arial"/>
          <w:sz w:val="19"/>
          <w:szCs w:val="19"/>
          <w:color w:val="auto"/>
        </w:rPr>
        <w:t xml:space="preserve">Investments in existence on the Effective Date and described in </w:t>
      </w:r>
      <w:r>
        <w:rPr>
          <w:rFonts w:ascii="Arial" w:cs="Arial" w:eastAsia="Arial" w:hAnsi="Arial"/>
          <w:sz w:val="19"/>
          <w:szCs w:val="19"/>
          <w:u w:val="single" w:color="auto"/>
          <w:color w:val="auto"/>
        </w:rPr>
        <w:t>Schedule 6.05</w:t>
      </w:r>
      <w:r>
        <w:rPr>
          <w:rFonts w:ascii="Arial" w:cs="Arial" w:eastAsia="Arial" w:hAnsi="Arial"/>
          <w:sz w:val="19"/>
          <w:szCs w:val="19"/>
          <w:color w:val="auto"/>
        </w:rPr>
        <w:t xml:space="preserve"> and any modification, replacement, renewal or extension thereof to the extent not involving any additional Investment;</w:t>
      </w:r>
    </w:p>
    <w:p>
      <w:pPr>
        <w:spacing w:after="0" w:line="151" w:lineRule="exact"/>
        <w:rPr>
          <w:rFonts w:ascii="Arial" w:cs="Arial" w:eastAsia="Arial" w:hAnsi="Arial"/>
          <w:sz w:val="19"/>
          <w:szCs w:val="19"/>
          <w:color w:val="010000"/>
        </w:rPr>
      </w:pPr>
    </w:p>
    <w:p>
      <w:pPr>
        <w:jc w:val="both"/>
        <w:ind w:firstLine="1278"/>
        <w:spacing w:after="0" w:line="226" w:lineRule="auto"/>
        <w:tabs>
          <w:tab w:leader="none" w:pos="1901" w:val="left"/>
        </w:tabs>
        <w:numPr>
          <w:ilvl w:val="0"/>
          <w:numId w:val="129"/>
        </w:numPr>
        <w:rPr>
          <w:rFonts w:ascii="Arial" w:cs="Arial" w:eastAsia="Arial" w:hAnsi="Arial"/>
          <w:sz w:val="19"/>
          <w:szCs w:val="19"/>
          <w:color w:val="010000"/>
        </w:rPr>
      </w:pPr>
      <w:r>
        <w:rPr>
          <w:rFonts w:ascii="Arial" w:cs="Arial" w:eastAsia="Arial" w:hAnsi="Arial"/>
          <w:sz w:val="19"/>
          <w:szCs w:val="19"/>
          <w:color w:val="auto"/>
        </w:rPr>
        <w:t>Investments in joint ventures, and in any Person who, prior to the Investment, is not a Subsidiary, and who becomes, as a result of the Investment, a Subsidiary that is not a wholly-owned Subsidiary, in an aggregate amount not to exceed $10,000,000 at any time outstanding;</w:t>
      </w:r>
    </w:p>
    <w:p>
      <w:pPr>
        <w:spacing w:after="0" w:line="151" w:lineRule="exact"/>
        <w:rPr>
          <w:rFonts w:ascii="Arial" w:cs="Arial" w:eastAsia="Arial" w:hAnsi="Arial"/>
          <w:sz w:val="19"/>
          <w:szCs w:val="19"/>
          <w:color w:val="010000"/>
        </w:rPr>
      </w:pPr>
    </w:p>
    <w:p>
      <w:pPr>
        <w:ind w:left="1920" w:hanging="642"/>
        <w:spacing w:after="0"/>
        <w:tabs>
          <w:tab w:leader="none" w:pos="1920" w:val="left"/>
        </w:tabs>
        <w:numPr>
          <w:ilvl w:val="0"/>
          <w:numId w:val="129"/>
        </w:numPr>
        <w:rPr>
          <w:rFonts w:ascii="Arial" w:cs="Arial" w:eastAsia="Arial" w:hAnsi="Arial"/>
          <w:sz w:val="19"/>
          <w:szCs w:val="19"/>
          <w:color w:val="010000"/>
        </w:rPr>
      </w:pPr>
      <w:r>
        <w:rPr>
          <w:rFonts w:ascii="Arial" w:cs="Arial" w:eastAsia="Arial" w:hAnsi="Arial"/>
          <w:sz w:val="19"/>
          <w:szCs w:val="19"/>
          <w:color w:val="auto"/>
        </w:rPr>
        <w:t>Investments in venture capital funds in an amount not to exceed $12,000,000 at any time outstanding; and</w:t>
      </w:r>
    </w:p>
    <w:p>
      <w:pPr>
        <w:spacing w:after="0" w:line="179" w:lineRule="exact"/>
        <w:rPr>
          <w:rFonts w:ascii="Arial" w:cs="Arial" w:eastAsia="Arial" w:hAnsi="Arial"/>
          <w:sz w:val="19"/>
          <w:szCs w:val="19"/>
          <w:color w:val="010000"/>
        </w:rPr>
      </w:pPr>
    </w:p>
    <w:p>
      <w:pPr>
        <w:ind w:firstLine="1278"/>
        <w:spacing w:after="0" w:line="237" w:lineRule="auto"/>
        <w:tabs>
          <w:tab w:leader="none" w:pos="1896" w:val="left"/>
        </w:tabs>
        <w:numPr>
          <w:ilvl w:val="0"/>
          <w:numId w:val="129"/>
        </w:numPr>
        <w:rPr>
          <w:rFonts w:ascii="Arial" w:cs="Arial" w:eastAsia="Arial" w:hAnsi="Arial"/>
          <w:sz w:val="19"/>
          <w:szCs w:val="19"/>
          <w:color w:val="010000"/>
        </w:rPr>
      </w:pPr>
      <w:r>
        <w:rPr>
          <w:rFonts w:ascii="Arial" w:cs="Arial" w:eastAsia="Arial" w:hAnsi="Arial"/>
          <w:sz w:val="19"/>
          <w:szCs w:val="19"/>
          <w:color w:val="auto"/>
        </w:rPr>
        <w:t>other Investments (other than acquisitions) so long as the aggregate amount of all such investments, loans and advances does not exceed $25,000,000 at any time outstanding.</w:t>
      </w:r>
    </w:p>
    <w:p>
      <w:pPr>
        <w:spacing w:after="0" w:line="151"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For purposes of covenant compliance with this Section 6.05, the amount of any Investment shall be the amount actually invested, without adjustment for subsequent increases or decreases in the value of such Investment, less any amount paid, repaid, returned, distributed or otherwise received in cash in respect of such Investment.</w:t>
      </w:r>
    </w:p>
    <w:p>
      <w:pPr>
        <w:spacing w:after="0" w:line="151"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010000"/>
        </w:rPr>
        <w:t>SECTION 1.06.</w:t>
      </w:r>
      <w:r>
        <w:rPr>
          <w:rFonts w:ascii="Arial" w:cs="Arial" w:eastAsia="Arial" w:hAnsi="Arial"/>
          <w:sz w:val="19"/>
          <w:szCs w:val="19"/>
          <w:u w:val="single" w:color="auto"/>
          <w:color w:val="000000"/>
        </w:rPr>
        <w:t>Swap Agreements</w:t>
      </w:r>
      <w:r>
        <w:rPr>
          <w:rFonts w:ascii="Arial" w:cs="Arial" w:eastAsia="Arial" w:hAnsi="Arial"/>
          <w:sz w:val="19"/>
          <w:szCs w:val="19"/>
          <w:color w:val="000000"/>
        </w:rPr>
        <w:t>. The Borrower will not, and will not permit any of its Subsidiaries to, enter into any Swap</w:t>
      </w:r>
      <w:r>
        <w:rPr>
          <w:rFonts w:ascii="Arial" w:cs="Arial" w:eastAsia="Arial" w:hAnsi="Arial"/>
          <w:sz w:val="19"/>
          <w:szCs w:val="19"/>
          <w:color w:val="010000"/>
        </w:rPr>
        <w:t xml:space="preserve"> </w:t>
      </w:r>
      <w:r>
        <w:rPr>
          <w:rFonts w:ascii="Arial" w:cs="Arial" w:eastAsia="Arial" w:hAnsi="Arial"/>
          <w:sz w:val="19"/>
          <w:szCs w:val="19"/>
          <w:color w:val="000000"/>
        </w:rPr>
        <w:t>Agreement, except (a) Swap Agreements entered into to hedge or mitigate risks to which the Borrower or any Subsidiary has actual exposure (other than those in respect of Equity Interests of the Borrower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Borrower or any Subsidiary.</w:t>
      </w:r>
    </w:p>
    <w:p>
      <w:pPr>
        <w:spacing w:after="0" w:line="152"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010000"/>
        </w:rPr>
        <w:t xml:space="preserve">SECTION 1.07. </w:t>
      </w:r>
      <w:r>
        <w:rPr>
          <w:rFonts w:ascii="Arial" w:cs="Arial" w:eastAsia="Arial" w:hAnsi="Arial"/>
          <w:sz w:val="19"/>
          <w:szCs w:val="19"/>
          <w:u w:val="single" w:color="auto"/>
          <w:color w:val="000000"/>
        </w:rPr>
        <w:t>Transactions with Affiliates</w:t>
      </w:r>
      <w:r>
        <w:rPr>
          <w:rFonts w:ascii="Arial" w:cs="Arial" w:eastAsia="Arial" w:hAnsi="Arial"/>
          <w:sz w:val="19"/>
          <w:szCs w:val="19"/>
          <w:color w:val="000000"/>
        </w:rPr>
        <w:t>. The Borrower will not, and will not permit any of its Subsidiaries to, sell, lease or</w:t>
      </w:r>
      <w:r>
        <w:rPr>
          <w:rFonts w:ascii="Arial" w:cs="Arial" w:eastAsia="Arial" w:hAnsi="Arial"/>
          <w:sz w:val="19"/>
          <w:szCs w:val="19"/>
          <w:color w:val="010000"/>
        </w:rPr>
        <w:t xml:space="preserve"> </w:t>
      </w:r>
      <w:r>
        <w:rPr>
          <w:rFonts w:ascii="Arial" w:cs="Arial" w:eastAsia="Arial" w:hAnsi="Arial"/>
          <w:sz w:val="19"/>
          <w:szCs w:val="19"/>
          <w:color w:val="000000"/>
        </w:rPr>
        <w:t>otherwise transfer any property or assets to, or purchase, lease or otherwise acquire any property or assets from, or otherwise engage in any other transactions with, any of its Affiliates, except:</w:t>
      </w:r>
    </w:p>
    <w:p>
      <w:pPr>
        <w:spacing w:after="0" w:line="151" w:lineRule="exact"/>
        <w:rPr>
          <w:sz w:val="20"/>
          <w:szCs w:val="20"/>
          <w:color w:val="auto"/>
        </w:rPr>
      </w:pPr>
    </w:p>
    <w:p>
      <w:pPr>
        <w:ind w:firstLine="1278"/>
        <w:spacing w:after="0" w:line="237" w:lineRule="auto"/>
        <w:tabs>
          <w:tab w:leader="none" w:pos="1898" w:val="left"/>
        </w:tabs>
        <w:numPr>
          <w:ilvl w:val="0"/>
          <w:numId w:val="130"/>
        </w:numPr>
        <w:rPr>
          <w:rFonts w:ascii="Arial" w:cs="Arial" w:eastAsia="Arial" w:hAnsi="Arial"/>
          <w:sz w:val="19"/>
          <w:szCs w:val="19"/>
          <w:color w:val="010000"/>
        </w:rPr>
      </w:pPr>
      <w:r>
        <w:rPr>
          <w:rFonts w:ascii="Arial" w:cs="Arial" w:eastAsia="Arial" w:hAnsi="Arial"/>
          <w:sz w:val="19"/>
          <w:szCs w:val="19"/>
          <w:color w:val="auto"/>
        </w:rPr>
        <w:t>transactions on terms and conditions not materially less favorable to the Borrower or such Subsidiary than could be obtained on an arm’s-length basis from a Person that is not an Affiliate for a comparable transaction;</w:t>
      </w:r>
    </w:p>
    <w:p>
      <w:pPr>
        <w:spacing w:after="0" w:line="151" w:lineRule="exact"/>
        <w:rPr>
          <w:rFonts w:ascii="Arial" w:cs="Arial" w:eastAsia="Arial" w:hAnsi="Arial"/>
          <w:sz w:val="19"/>
          <w:szCs w:val="19"/>
          <w:color w:val="010000"/>
        </w:rPr>
      </w:pPr>
    </w:p>
    <w:p>
      <w:pPr>
        <w:ind w:firstLine="1278"/>
        <w:spacing w:after="0" w:line="237" w:lineRule="auto"/>
        <w:tabs>
          <w:tab w:leader="none" w:pos="1896" w:val="left"/>
        </w:tabs>
        <w:numPr>
          <w:ilvl w:val="0"/>
          <w:numId w:val="130"/>
        </w:numPr>
        <w:rPr>
          <w:rFonts w:ascii="Arial" w:cs="Arial" w:eastAsia="Arial" w:hAnsi="Arial"/>
          <w:sz w:val="19"/>
          <w:szCs w:val="19"/>
          <w:color w:val="010000"/>
        </w:rPr>
      </w:pPr>
      <w:r>
        <w:rPr>
          <w:rFonts w:ascii="Arial" w:cs="Arial" w:eastAsia="Arial" w:hAnsi="Arial"/>
          <w:sz w:val="19"/>
          <w:szCs w:val="19"/>
          <w:color w:val="auto"/>
        </w:rPr>
        <w:t>transactions between or among the Borrower and its Subsidiaries (or an entity that becomes a Subsidiary of the Borrower as a result of such transaction) (or any combination thereof);</w:t>
      </w:r>
    </w:p>
    <w:p>
      <w:pPr>
        <w:spacing w:after="0" w:line="151" w:lineRule="exact"/>
        <w:rPr>
          <w:rFonts w:ascii="Arial" w:cs="Arial" w:eastAsia="Arial" w:hAnsi="Arial"/>
          <w:sz w:val="19"/>
          <w:szCs w:val="19"/>
          <w:color w:val="010000"/>
        </w:rPr>
      </w:pPr>
    </w:p>
    <w:p>
      <w:pPr>
        <w:jc w:val="both"/>
        <w:ind w:firstLine="1278"/>
        <w:spacing w:after="0" w:line="226" w:lineRule="auto"/>
        <w:tabs>
          <w:tab w:leader="none" w:pos="1898" w:val="left"/>
        </w:tabs>
        <w:numPr>
          <w:ilvl w:val="0"/>
          <w:numId w:val="130"/>
        </w:numPr>
        <w:rPr>
          <w:rFonts w:ascii="Arial" w:cs="Arial" w:eastAsia="Arial" w:hAnsi="Arial"/>
          <w:sz w:val="19"/>
          <w:szCs w:val="19"/>
          <w:color w:val="010000"/>
        </w:rPr>
      </w:pPr>
      <w:r>
        <w:rPr>
          <w:rFonts w:ascii="Arial" w:cs="Arial" w:eastAsia="Arial" w:hAnsi="Arial"/>
          <w:sz w:val="19"/>
          <w:szCs w:val="19"/>
          <w:color w:val="auto"/>
        </w:rPr>
        <w:t>the payment of customary fees to directors of the Borrower or any of its Subsidiaries, and customary compensation, reasonable out-of-pocket expense reimbursement and indemnification (including the provision of directors and officers insurance) of, and other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ectPr>
          <w:pgSz w:w="11900" w:h="16838" w:orient="portrait"/>
          <w:cols w:equalWidth="0" w:num="1">
            <w:col w:w="11240"/>
          </w:cols>
          <w:pgMar w:left="320" w:top="1381" w:right="339" w:bottom="1440" w:gutter="0" w:footer="0" w:header="0"/>
        </w:sectPr>
      </w:pPr>
    </w:p>
    <w:bookmarkStart w:id="111" w:name="page112"/>
    <w:bookmarkEnd w:id="111"/>
    <w:p>
      <w:pPr>
        <w:spacing w:after="0" w:line="237" w:lineRule="auto"/>
        <w:rPr>
          <w:sz w:val="20"/>
          <w:szCs w:val="20"/>
          <w:color w:val="auto"/>
        </w:rPr>
      </w:pPr>
      <w:r>
        <w:rPr>
          <w:rFonts w:ascii="Arial" w:cs="Arial" w:eastAsia="Arial" w:hAnsi="Arial"/>
          <w:sz w:val="19"/>
          <w:szCs w:val="19"/>
          <w:color w:val="auto"/>
        </w:rPr>
        <w:t>agreements and arrangements, employee benefit plans and stock incentive plans paid to, future, present or past directors, officers, managers and employees of the Borrower or any of its Subsidiaries;</w:t>
      </w:r>
    </w:p>
    <w:p>
      <w:pPr>
        <w:spacing w:after="0" w:line="146" w:lineRule="exact"/>
        <w:rPr>
          <w:sz w:val="20"/>
          <w:szCs w:val="20"/>
          <w:color w:val="auto"/>
        </w:rPr>
      </w:pPr>
    </w:p>
    <w:p>
      <w:pPr>
        <w:ind w:left="1900" w:hanging="622"/>
        <w:spacing w:after="0"/>
        <w:tabs>
          <w:tab w:leader="none" w:pos="1900" w:val="left"/>
        </w:tabs>
        <w:numPr>
          <w:ilvl w:val="0"/>
          <w:numId w:val="131"/>
        </w:numPr>
        <w:rPr>
          <w:rFonts w:ascii="Arial" w:cs="Arial" w:eastAsia="Arial" w:hAnsi="Arial"/>
          <w:sz w:val="18"/>
          <w:szCs w:val="18"/>
          <w:color w:val="010000"/>
        </w:rPr>
      </w:pPr>
      <w:r>
        <w:rPr>
          <w:rFonts w:ascii="Arial" w:cs="Arial" w:eastAsia="Arial" w:hAnsi="Arial"/>
          <w:sz w:val="18"/>
          <w:szCs w:val="18"/>
          <w:color w:val="auto"/>
        </w:rPr>
        <w:t>transactions undertaken in good faith for the purpose of improving the consolidated tax efficiency of the Borrower and</w:t>
      </w:r>
    </w:p>
    <w:p>
      <w:pPr>
        <w:spacing w:after="0"/>
        <w:rPr>
          <w:sz w:val="20"/>
          <w:szCs w:val="20"/>
          <w:color w:val="auto"/>
        </w:rPr>
      </w:pPr>
      <w:r>
        <w:rPr>
          <w:rFonts w:ascii="Arial" w:cs="Arial" w:eastAsia="Arial" w:hAnsi="Arial"/>
          <w:sz w:val="19"/>
          <w:szCs w:val="19"/>
          <w:color w:val="auto"/>
        </w:rPr>
        <w:t>its Subsidiaries;</w:t>
      </w:r>
    </w:p>
    <w:p>
      <w:pPr>
        <w:spacing w:after="0" w:line="163" w:lineRule="exact"/>
        <w:rPr>
          <w:sz w:val="20"/>
          <w:szCs w:val="20"/>
          <w:color w:val="auto"/>
        </w:rPr>
      </w:pPr>
    </w:p>
    <w:p>
      <w:pPr>
        <w:ind w:firstLine="1278"/>
        <w:spacing w:after="0" w:line="237" w:lineRule="auto"/>
        <w:tabs>
          <w:tab w:leader="none" w:pos="1898" w:val="left"/>
        </w:tabs>
        <w:numPr>
          <w:ilvl w:val="0"/>
          <w:numId w:val="132"/>
        </w:numPr>
        <w:rPr>
          <w:rFonts w:ascii="Arial" w:cs="Arial" w:eastAsia="Arial" w:hAnsi="Arial"/>
          <w:sz w:val="19"/>
          <w:szCs w:val="19"/>
          <w:color w:val="010000"/>
        </w:rPr>
      </w:pPr>
      <w:r>
        <w:rPr>
          <w:rFonts w:ascii="Arial" w:cs="Arial" w:eastAsia="Arial" w:hAnsi="Arial"/>
          <w:sz w:val="19"/>
          <w:szCs w:val="19"/>
          <w:color w:val="auto"/>
        </w:rPr>
        <w:t>loans, advances and other transactions to the extent permitted by the terms of this Agreement, including without limitation any Restricted Payment permitted by Section 6.08 and transactions permitted by Section 6.03;</w:t>
      </w:r>
    </w:p>
    <w:p>
      <w:pPr>
        <w:spacing w:after="0" w:line="151" w:lineRule="exact"/>
        <w:rPr>
          <w:rFonts w:ascii="Arial" w:cs="Arial" w:eastAsia="Arial" w:hAnsi="Arial"/>
          <w:sz w:val="19"/>
          <w:szCs w:val="19"/>
          <w:color w:val="010000"/>
        </w:rPr>
      </w:pPr>
    </w:p>
    <w:p>
      <w:pPr>
        <w:ind w:left="1900" w:hanging="622"/>
        <w:spacing w:after="0"/>
        <w:tabs>
          <w:tab w:leader="none" w:pos="1900" w:val="left"/>
        </w:tabs>
        <w:numPr>
          <w:ilvl w:val="0"/>
          <w:numId w:val="132"/>
        </w:numPr>
        <w:rPr>
          <w:rFonts w:ascii="Arial" w:cs="Arial" w:eastAsia="Arial" w:hAnsi="Arial"/>
          <w:sz w:val="19"/>
          <w:szCs w:val="19"/>
          <w:color w:val="010000"/>
        </w:rPr>
      </w:pPr>
      <w:r>
        <w:rPr>
          <w:rFonts w:ascii="Arial" w:cs="Arial" w:eastAsia="Arial" w:hAnsi="Arial"/>
          <w:sz w:val="19"/>
          <w:szCs w:val="19"/>
          <w:color w:val="auto"/>
        </w:rPr>
        <w:t>issuances of Equity Interests to Affiliates and the registration rights associated therewith;</w:t>
      </w:r>
    </w:p>
    <w:p>
      <w:pPr>
        <w:spacing w:after="0" w:line="179" w:lineRule="exact"/>
        <w:rPr>
          <w:rFonts w:ascii="Arial" w:cs="Arial" w:eastAsia="Arial" w:hAnsi="Arial"/>
          <w:sz w:val="19"/>
          <w:szCs w:val="19"/>
          <w:color w:val="010000"/>
        </w:rPr>
      </w:pPr>
    </w:p>
    <w:p>
      <w:pPr>
        <w:ind w:firstLine="1278"/>
        <w:spacing w:after="0" w:line="261" w:lineRule="auto"/>
        <w:tabs>
          <w:tab w:leader="none" w:pos="1896"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 xml:space="preserve">transactions with Affiliates as set forth on </w:t>
      </w:r>
      <w:r>
        <w:rPr>
          <w:rFonts w:ascii="Arial" w:cs="Arial" w:eastAsia="Arial" w:hAnsi="Arial"/>
          <w:sz w:val="18"/>
          <w:szCs w:val="18"/>
          <w:u w:val="single" w:color="auto"/>
          <w:color w:val="auto"/>
        </w:rPr>
        <w:t>Schedule 6.07</w:t>
      </w:r>
      <w:r>
        <w:rPr>
          <w:rFonts w:ascii="Arial" w:cs="Arial" w:eastAsia="Arial" w:hAnsi="Arial"/>
          <w:sz w:val="18"/>
          <w:szCs w:val="18"/>
          <w:color w:val="auto"/>
        </w:rPr>
        <w:t xml:space="preserve"> (together with any amendments, restatements, extensions, replacements or other modifications thereto that are not materially adverse to the interests of the Lenders in their capacities as such);</w:t>
      </w:r>
    </w:p>
    <w:p>
      <w:pPr>
        <w:spacing w:after="0" w:line="132" w:lineRule="exact"/>
        <w:rPr>
          <w:rFonts w:ascii="Arial" w:cs="Arial" w:eastAsia="Arial" w:hAnsi="Arial"/>
          <w:sz w:val="18"/>
          <w:szCs w:val="18"/>
          <w:color w:val="010000"/>
        </w:rPr>
      </w:pPr>
    </w:p>
    <w:p>
      <w:pPr>
        <w:jc w:val="both"/>
        <w:ind w:firstLine="1278"/>
        <w:spacing w:after="0" w:line="226" w:lineRule="auto"/>
        <w:tabs>
          <w:tab w:leader="none" w:pos="1896" w:val="left"/>
        </w:tabs>
        <w:numPr>
          <w:ilvl w:val="0"/>
          <w:numId w:val="132"/>
        </w:numPr>
        <w:rPr>
          <w:rFonts w:ascii="Arial" w:cs="Arial" w:eastAsia="Arial" w:hAnsi="Arial"/>
          <w:sz w:val="19"/>
          <w:szCs w:val="19"/>
          <w:color w:val="010000"/>
        </w:rPr>
      </w:pPr>
      <w:r>
        <w:rPr>
          <w:rFonts w:ascii="Arial" w:cs="Arial" w:eastAsia="Arial" w:hAnsi="Arial"/>
          <w:sz w:val="19"/>
          <w:szCs w:val="19"/>
          <w:color w:val="auto"/>
        </w:rPr>
        <w:t>any license, sublicense, lease or sublease (1) in existence on the Effective Date (together with any amendments, restatements, extensions, replacements or other modifications thereto that are not materially adverse to the interests of the Lenders in their capacities as such), (2) in the ordinary course of business or (3) substantially consistent with past practices;</w:t>
      </w:r>
    </w:p>
    <w:p>
      <w:pPr>
        <w:spacing w:after="0" w:line="151" w:lineRule="exact"/>
        <w:rPr>
          <w:rFonts w:ascii="Arial" w:cs="Arial" w:eastAsia="Arial" w:hAnsi="Arial"/>
          <w:sz w:val="19"/>
          <w:szCs w:val="19"/>
          <w:color w:val="010000"/>
        </w:rPr>
      </w:pPr>
    </w:p>
    <w:p>
      <w:pPr>
        <w:ind w:right="20" w:firstLine="1278"/>
        <w:spacing w:after="0" w:line="237" w:lineRule="auto"/>
        <w:tabs>
          <w:tab w:leader="none" w:pos="1906" w:val="left"/>
        </w:tabs>
        <w:numPr>
          <w:ilvl w:val="0"/>
          <w:numId w:val="132"/>
        </w:numPr>
        <w:rPr>
          <w:rFonts w:ascii="Arial" w:cs="Arial" w:eastAsia="Arial" w:hAnsi="Arial"/>
          <w:sz w:val="19"/>
          <w:szCs w:val="19"/>
          <w:color w:val="010000"/>
        </w:rPr>
      </w:pPr>
      <w:r>
        <w:rPr>
          <w:rFonts w:ascii="Arial" w:cs="Arial" w:eastAsia="Arial" w:hAnsi="Arial"/>
          <w:sz w:val="19"/>
          <w:szCs w:val="19"/>
          <w:color w:val="auto"/>
        </w:rPr>
        <w:t>transactions with joint ventures for the purchase or sale of property or other assets and services entered into in the ordinary course of business and Investments permitted by Section 6.05 in joint ventures; and</w:t>
      </w:r>
    </w:p>
    <w:p>
      <w:pPr>
        <w:spacing w:after="0" w:line="151" w:lineRule="exact"/>
        <w:rPr>
          <w:rFonts w:ascii="Arial" w:cs="Arial" w:eastAsia="Arial" w:hAnsi="Arial"/>
          <w:sz w:val="19"/>
          <w:szCs w:val="19"/>
          <w:color w:val="010000"/>
        </w:rPr>
      </w:pPr>
    </w:p>
    <w:p>
      <w:pPr>
        <w:ind w:firstLine="1278"/>
        <w:spacing w:after="0" w:line="237" w:lineRule="auto"/>
        <w:tabs>
          <w:tab w:leader="none" w:pos="1906" w:val="left"/>
        </w:tabs>
        <w:numPr>
          <w:ilvl w:val="0"/>
          <w:numId w:val="132"/>
        </w:numPr>
        <w:rPr>
          <w:rFonts w:ascii="Arial" w:cs="Arial" w:eastAsia="Arial" w:hAnsi="Arial"/>
          <w:sz w:val="19"/>
          <w:szCs w:val="19"/>
          <w:color w:val="010000"/>
        </w:rPr>
      </w:pPr>
      <w:r>
        <w:rPr>
          <w:rFonts w:ascii="Arial" w:cs="Arial" w:eastAsia="Arial" w:hAnsi="Arial"/>
          <w:sz w:val="19"/>
          <w:szCs w:val="19"/>
          <w:color w:val="auto"/>
        </w:rPr>
        <w:t>any transactions or series of related transactions with respect to which the aggregate consideration paid, or fair market value of property sold or disposed of, by the Borrower and its Subsidiaries is less than $5,000,000.</w:t>
      </w:r>
    </w:p>
    <w:p>
      <w:pPr>
        <w:spacing w:after="0" w:line="151" w:lineRule="exact"/>
        <w:rPr>
          <w:sz w:val="20"/>
          <w:szCs w:val="20"/>
          <w:color w:val="auto"/>
        </w:rPr>
      </w:pPr>
    </w:p>
    <w:p>
      <w:pPr>
        <w:ind w:firstLine="1272"/>
        <w:spacing w:after="0" w:line="237" w:lineRule="auto"/>
        <w:rPr>
          <w:sz w:val="20"/>
          <w:szCs w:val="20"/>
          <w:color w:val="auto"/>
        </w:rPr>
      </w:pPr>
      <w:r>
        <w:rPr>
          <w:rFonts w:ascii="Arial" w:cs="Arial" w:eastAsia="Arial" w:hAnsi="Arial"/>
          <w:sz w:val="19"/>
          <w:szCs w:val="19"/>
          <w:color w:val="010000"/>
        </w:rPr>
        <w:t xml:space="preserve">SECTION 1.08. </w:t>
      </w:r>
      <w:r>
        <w:rPr>
          <w:rFonts w:ascii="Arial" w:cs="Arial" w:eastAsia="Arial" w:hAnsi="Arial"/>
          <w:sz w:val="19"/>
          <w:szCs w:val="19"/>
          <w:u w:val="single" w:color="auto"/>
          <w:color w:val="000000"/>
        </w:rPr>
        <w:t>Restricted Payments</w:t>
      </w:r>
      <w:r>
        <w:rPr>
          <w:rFonts w:ascii="Arial" w:cs="Arial" w:eastAsia="Arial" w:hAnsi="Arial"/>
          <w:sz w:val="19"/>
          <w:szCs w:val="19"/>
          <w:color w:val="000000"/>
        </w:rPr>
        <w:t>. The Borrower will not, and will not permit any of its Subsidiaries to, declare or make, or</w:t>
      </w:r>
      <w:r>
        <w:rPr>
          <w:rFonts w:ascii="Arial" w:cs="Arial" w:eastAsia="Arial" w:hAnsi="Arial"/>
          <w:sz w:val="19"/>
          <w:szCs w:val="19"/>
          <w:color w:val="010000"/>
        </w:rPr>
        <w:t xml:space="preserve"> </w:t>
      </w:r>
      <w:r>
        <w:rPr>
          <w:rFonts w:ascii="Arial" w:cs="Arial" w:eastAsia="Arial" w:hAnsi="Arial"/>
          <w:sz w:val="19"/>
          <w:szCs w:val="19"/>
          <w:color w:val="000000"/>
        </w:rPr>
        <w:t>agree to pay or make, directly or indirectly, any Restricted Payment, except:</w:t>
      </w:r>
    </w:p>
    <w:p>
      <w:pPr>
        <w:spacing w:after="0" w:line="151" w:lineRule="exact"/>
        <w:rPr>
          <w:sz w:val="20"/>
          <w:szCs w:val="20"/>
          <w:color w:val="auto"/>
        </w:rPr>
      </w:pPr>
    </w:p>
    <w:p>
      <w:pPr>
        <w:ind w:firstLine="1278"/>
        <w:spacing w:after="0" w:line="237" w:lineRule="auto"/>
        <w:tabs>
          <w:tab w:leader="none" w:pos="1898"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the Borrower may declare and pay dividends or make other Restricted Payments with respect to its Equity Interests payable solely in additional Equity Interests;</w:t>
      </w:r>
    </w:p>
    <w:p>
      <w:pPr>
        <w:spacing w:after="0" w:line="151" w:lineRule="exact"/>
        <w:rPr>
          <w:rFonts w:ascii="Arial" w:cs="Arial" w:eastAsia="Arial" w:hAnsi="Arial"/>
          <w:sz w:val="19"/>
          <w:szCs w:val="19"/>
          <w:color w:val="010000"/>
        </w:rPr>
      </w:pPr>
    </w:p>
    <w:p>
      <w:pPr>
        <w:jc w:val="both"/>
        <w:ind w:firstLine="1278"/>
        <w:spacing w:after="0" w:line="215" w:lineRule="auto"/>
        <w:tabs>
          <w:tab w:leader="none" w:pos="1896"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Subsidiaries may (i) make dividends or other distributions to their respective equityholders with respect to their Equity Interests (which distributions shall be (x) made on at least a ratable basis to any such equityholders that are Loan Parties and (y) in the case of a Subsidiary that is not a wholly-owned Subsidiary, made on at least a ratable basis to any such equityholders that are the Borrower or a Subsidiary), (ii) make other Restricted Payments to any Loan Party (either directly or indirectly through one or more Subsidiaries that are not Loan Parties) and (iii) make any Restricted Payments that the Borrower would have otherwise been permitted to make pursuant to this Section 6.08;</w:t>
      </w:r>
    </w:p>
    <w:p>
      <w:pPr>
        <w:spacing w:after="0" w:line="150" w:lineRule="exact"/>
        <w:rPr>
          <w:rFonts w:ascii="Arial" w:cs="Arial" w:eastAsia="Arial" w:hAnsi="Arial"/>
          <w:sz w:val="19"/>
          <w:szCs w:val="19"/>
          <w:color w:val="010000"/>
        </w:rPr>
      </w:pPr>
    </w:p>
    <w:p>
      <w:pPr>
        <w:ind w:firstLine="1278"/>
        <w:spacing w:after="0" w:line="237" w:lineRule="auto"/>
        <w:tabs>
          <w:tab w:leader="none" w:pos="1898"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the Borrower may make Restricted Payments pursuant to and in accordance with stock option plans or other benefit plans for management or employees of the Borrower and its Subsidiaries;</w:t>
      </w:r>
    </w:p>
    <w:p>
      <w:pPr>
        <w:spacing w:after="0" w:line="151" w:lineRule="exact"/>
        <w:rPr>
          <w:rFonts w:ascii="Arial" w:cs="Arial" w:eastAsia="Arial" w:hAnsi="Arial"/>
          <w:sz w:val="19"/>
          <w:szCs w:val="19"/>
          <w:color w:val="010000"/>
        </w:rPr>
      </w:pPr>
    </w:p>
    <w:p>
      <w:pPr>
        <w:jc w:val="both"/>
        <w:ind w:firstLine="1278"/>
        <w:spacing w:after="0" w:line="220" w:lineRule="auto"/>
        <w:tabs>
          <w:tab w:leader="none" w:pos="1896"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so long as no Event of Default shall have occurred and be continuing or would result therefrom, the Borrower may purchase the Borrower’s common stock or common stock options from present or former officers or employees of the Borrower or its Subsidiaries upon the death, disability or termination of employment of such officer or employee or in connection with any stock incentive plan; and</w:t>
      </w:r>
    </w:p>
    <w:p>
      <w:pPr>
        <w:spacing w:after="0" w:line="152" w:lineRule="exact"/>
        <w:rPr>
          <w:rFonts w:ascii="Arial" w:cs="Arial" w:eastAsia="Arial" w:hAnsi="Arial"/>
          <w:sz w:val="19"/>
          <w:szCs w:val="19"/>
          <w:color w:val="010000"/>
        </w:rPr>
      </w:pPr>
    </w:p>
    <w:p>
      <w:pPr>
        <w:ind w:firstLine="1278"/>
        <w:spacing w:after="0" w:line="237" w:lineRule="auto"/>
        <w:tabs>
          <w:tab w:leader="none" w:pos="1898"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the Borrower and its Subsidiaries may make any other Restricted Payment so long as (i) no Event of Default has occurred and is continuing prior to making such Restricted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ectPr>
          <w:pgSz w:w="11900" w:h="16838" w:orient="portrait"/>
          <w:cols w:equalWidth="0" w:num="1">
            <w:col w:w="11240"/>
          </w:cols>
          <w:pgMar w:left="320" w:top="1381" w:right="339" w:bottom="1440" w:gutter="0" w:footer="0" w:header="0"/>
        </w:sectPr>
      </w:pPr>
    </w:p>
    <w:bookmarkStart w:id="112" w:name="page113"/>
    <w:bookmarkEnd w:id="112"/>
    <w:p>
      <w:pPr>
        <w:jc w:val="both"/>
        <w:spacing w:after="0" w:line="232" w:lineRule="auto"/>
        <w:rPr>
          <w:sz w:val="20"/>
          <w:szCs w:val="20"/>
          <w:color w:val="auto"/>
        </w:rPr>
      </w:pPr>
      <w:r>
        <w:rPr>
          <w:rFonts w:ascii="Arial" w:cs="Arial" w:eastAsia="Arial" w:hAnsi="Arial"/>
          <w:sz w:val="18"/>
          <w:szCs w:val="18"/>
          <w:color w:val="auto"/>
        </w:rPr>
        <w:t>would arise after giving effect (including giving effect on a pro forma basis) thereto (or, in lieu of satisfying the foregoing test on the date of making such Restricted Payment, such test may be satisfied on the date of the declaration thereof so long as such Restricted Payment is made within 60 days of such date of declaration) and (ii) the Leverage Ratio of the Borrower does not exceed 2.50 to 1.00 on a pro forma basis immediately after giving effect to such Restricted Payment in accordance with the provisions set forth in Section 1.04(b).</w:t>
      </w:r>
    </w:p>
    <w:p>
      <w:pPr>
        <w:spacing w:after="0" w:line="15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 xml:space="preserve">Notwithstanding the foregoing, and for the avoidance of doubt, (i) the conversion by holders of (including any cash payment upon conversion), or required payment of any principal or premium on, or required payment of any interest with respect to, any Permitted Convertible Indebtedness, in each case, in accordance with the terms of the indenture governing such Permitted Convertible Indebtedness, shall not constitute a Restricted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both (x) the aggregate amount of cash payable upon conversion or payment of any Permitted Convertible Indebtedness (excluding any required payment of interest with respect to such Permitted Convertible Indebtedness and excluding any payment of cash in lieu of a fractional share due upon conversion thereof) exceeds the aggregate principal amount thereof and (y) such conversion or payment is not offset by an exercise or early unwind or settlement of a corresponding portion of the Permitted Bond Hedge Transactions relating to such Permitted Convertible Indebtedness (including, for the avoidance of doubt, the case where there is no Permitted Bond Hedge Transaction relating to such Permitted Convertible Indebtedness), the payment of such excess cash shall constitute a Restricted Payment notwithstanding this clause (i); and (ii) any required payment with respect to, or required early unwind or settlement of, any Permitted Bond Hedge Transaction or Permitted Warrant Transaction, in each case, in accordance with the terms of the agreement governing such Permitted Bond Hedge Transaction or Permitted Warrant Transaction shall not constitute a Restricted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cash is required to be paid under a Permitted Warrant Transaction as a result of the election of “cash settlement” (or substantially equivalent term) as the “settlement method” (or substantially equivalent term) thereunder by the Borrower (or its Affiliate) (including in connection with the exercise and/or early unwind or settlement thereof), the payment of such cash shall constitute a Restricted Payment notwithstanding this clause (ii).</w:t>
      </w:r>
    </w:p>
    <w:p>
      <w:pPr>
        <w:spacing w:after="0" w:line="15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Notwithstanding the foregoing, the Borrower may repurchase, exchange or induce the conversion of Permitted Convertible Indebtedness by delivery of ordinary shares of the Borrower and/or a different series of Permitted Convertible Indebtedness (which series (x) matures after, and does not require any scheduled amortization or other scheduled payments of principal prior to, the analogous date under the indenture governing the Permitted Convertible Indebtedness that is so repurchased, exchanged or converted and (y) has terms, conditions and covenants that are no less favorable to the Borrower than the Permitted Convertible Indebtedness that is so repurchased, exchanged or converted (as determined by the board of directors of the Borrower, or a committee thereof, in good faith)) (any such series of Permitted Convertible Indebtedness, “</w:t>
      </w:r>
      <w:r>
        <w:rPr>
          <w:rFonts w:ascii="Arial" w:cs="Arial" w:eastAsia="Arial" w:hAnsi="Arial"/>
          <w:sz w:val="18"/>
          <w:szCs w:val="18"/>
          <w:u w:val="single" w:color="auto"/>
          <w:color w:val="auto"/>
        </w:rPr>
        <w:t>Refinancing Convertible Notes</w:t>
      </w:r>
      <w:r>
        <w:rPr>
          <w:rFonts w:ascii="Arial" w:cs="Arial" w:eastAsia="Arial" w:hAnsi="Arial"/>
          <w:sz w:val="18"/>
          <w:szCs w:val="18"/>
          <w:color w:val="auto"/>
        </w:rPr>
        <w:t xml:space="preserve">”) and/or by payment of cash (in an amount that does not exceed the proceeds received by the Borrower from the substantially concurrent issuance of ordinary shares of the Borrower and/or Refinancing Convertible Notes plus the net cash proceeds, if any, received by the Borrower pursuant to the related exercise or early unwind or termination of the related Permitted Bond Hedge Transactions and Permitted Warrant Transactions, if any, pursuant to the immediately following proviso);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substantially concurrently with, or a commercially reasonable period of time before or after, the related settlement date for the Permitted Convertible Indebtedness that are so repurchased, exchanged or converted, the Borrower shall (and, for the avoidance of doubt, shall be permitted under this Section 6.08 to) exercise or unwind or terminate early (whether in cash, shares or any combination thereof) the portion of the Permitted Bond Hedge Transactions and Permitted Warrant Transactions, if any, corresponding to such Permitted Convertible Indebtedness that is so repurchased, exchanged or converted.</w:t>
      </w:r>
    </w:p>
    <w:p>
      <w:pPr>
        <w:spacing w:after="0" w:line="161"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8"/>
          <w:szCs w:val="18"/>
          <w:color w:val="010000"/>
        </w:rPr>
        <w:t>SECTION 1.09.</w:t>
      </w:r>
      <w:r>
        <w:rPr>
          <w:rFonts w:ascii="Arial" w:cs="Arial" w:eastAsia="Arial" w:hAnsi="Arial"/>
          <w:sz w:val="18"/>
          <w:szCs w:val="18"/>
          <w:u w:val="single" w:color="auto"/>
          <w:color w:val="000000"/>
        </w:rPr>
        <w:t>Restrictive Agreements</w:t>
      </w:r>
      <w:r>
        <w:rPr>
          <w:rFonts w:ascii="Arial" w:cs="Arial" w:eastAsia="Arial" w:hAnsi="Arial"/>
          <w:sz w:val="18"/>
          <w:szCs w:val="18"/>
          <w:color w:val="000000"/>
        </w:rPr>
        <w:t>. The Borrower will not, and will not permit any of its Subsidiaries to, directly or</w:t>
      </w:r>
      <w:r>
        <w:rPr>
          <w:rFonts w:ascii="Arial" w:cs="Arial" w:eastAsia="Arial" w:hAnsi="Arial"/>
          <w:sz w:val="18"/>
          <w:szCs w:val="18"/>
          <w:color w:val="010000"/>
        </w:rPr>
        <w:t xml:space="preserve"> </w:t>
      </w:r>
      <w:r>
        <w:rPr>
          <w:rFonts w:ascii="Arial" w:cs="Arial" w:eastAsia="Arial" w:hAnsi="Arial"/>
          <w:sz w:val="18"/>
          <w:szCs w:val="18"/>
          <w:color w:val="000000"/>
        </w:rPr>
        <w:t xml:space="preserve">indirectly, enter into, incur or permit to exist any agreement or other arrangement that prohibits, restricts or imposes any condition upon (a) the ability of the Borrower or any Subsidiary to create, incur or permit to exist any Lien upon any of its property or assets to secure the Secured Obligations (to the extent required by the Loan Documents) or (b) the ability of any Subsidiary to pay dividends or other distributions with respect to holders of its Equity Interests or to make or repay loans or advances to the Borrower or any other Subsidiary, to the extent required by the Loan Documents, to Guarantee the Secured Obligations;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 this Section 6.09 shall not apply to (A)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74</w:t>
      </w:r>
    </w:p>
    <w:p>
      <w:pPr>
        <w:sectPr>
          <w:pgSz w:w="11900" w:h="16838" w:orient="portrait"/>
          <w:cols w:equalWidth="0" w:num="1">
            <w:col w:w="11240"/>
          </w:cols>
          <w:pgMar w:left="320" w:top="1381" w:right="339" w:bottom="1440" w:gutter="0" w:footer="0" w:header="0"/>
        </w:sectPr>
      </w:pPr>
    </w:p>
    <w:bookmarkStart w:id="113" w:name="page114"/>
    <w:bookmarkEnd w:id="113"/>
    <w:p>
      <w:pPr>
        <w:jc w:val="both"/>
        <w:spacing w:after="0" w:line="232" w:lineRule="auto"/>
        <w:rPr>
          <w:sz w:val="20"/>
          <w:szCs w:val="20"/>
          <w:color w:val="auto"/>
        </w:rPr>
      </w:pPr>
      <w:r>
        <w:rPr>
          <w:rFonts w:ascii="Arial" w:cs="Arial" w:eastAsia="Arial" w:hAnsi="Arial"/>
          <w:sz w:val="17"/>
          <w:szCs w:val="17"/>
          <w:color w:val="auto"/>
        </w:rPr>
        <w:t xml:space="preserve">and conditions imposed by law or by any Loan Document, (B) restrictions and conditions existing on the Effective Date identified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6.09</w:t>
      </w:r>
      <w:r>
        <w:rPr>
          <w:rFonts w:ascii="Arial" w:cs="Arial" w:eastAsia="Arial" w:hAnsi="Arial"/>
          <w:sz w:val="17"/>
          <w:szCs w:val="17"/>
          <w:color w:val="auto"/>
        </w:rPr>
        <w:t xml:space="preserve"> and any amendment, modification, refinancing, replacement, renewal or extension thereof that does not materially expand the scope of any such restriction or condition taken as a whole, (C) restrictions and conditions imposed on any Subsidiary or asset by any agreements in existence at the time such Subsidiary became a Subsidiary or such asset was acquired and any amendment, modification, refinancing, replacement, renewal or extension thereof that does not materially expand the scope of any such restriction or condition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and conditions apply only to such Subsidiary or asset, (D) customary restrictions and conditions contained in agreements relating to the sale of a Subsidiary pending such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and conditions apply only to the Subsidiary that is to be sold, (E) customary restrictions and conditions contained in any agreement relating to the disposition of any property pending the consummation of such disposition, (F) restrictions in the transfers of assets encumbered by a Lien permitted by Section 6.02, (G) restrictions or conditions set forth in any agreement governing Indebtedness permitted by Section 6.01;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and conditions are customary for such Indebtedness as determined in the good faith judgment of the board of directors of the Borrower, (H) customary provisions restricting assignment of any agreement entered into in the ordinary course of business and (I) customary restrictions on cash or other deposits (including escrowed funds) or net worth imposed under contracts;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and conditions apply only to such Subsidiary and to any Equity Interests in such Subsidiary, (ii) clause (a) of this Section 6.09 shall not apply to restrictions or conditions imposed by any agreement relating to secured Indebtedness permitted by this Agreement if such restrictions or conditions apply only to the property or assets securing such Indebtedness, (iii) clause (a) of this Section 6.09 shall not apply to customary provisions in leases and other contracts restricting the assignment thereof and (iv) this Section 6.09 shall not apply to customary restrictions and conditions with respect to joint ventures.</w:t>
      </w:r>
    </w:p>
    <w:p>
      <w:pPr>
        <w:spacing w:after="0" w:line="153" w:lineRule="exact"/>
        <w:rPr>
          <w:sz w:val="20"/>
          <w:szCs w:val="20"/>
          <w:color w:val="auto"/>
        </w:rPr>
      </w:pPr>
    </w:p>
    <w:p>
      <w:pPr>
        <w:jc w:val="both"/>
        <w:ind w:firstLine="1272"/>
        <w:spacing w:after="0" w:line="224" w:lineRule="auto"/>
        <w:rPr>
          <w:sz w:val="20"/>
          <w:szCs w:val="20"/>
          <w:color w:val="auto"/>
        </w:rPr>
      </w:pPr>
      <w:r>
        <w:rPr>
          <w:rFonts w:ascii="Arial" w:cs="Arial" w:eastAsia="Arial" w:hAnsi="Arial"/>
          <w:sz w:val="18"/>
          <w:szCs w:val="18"/>
          <w:color w:val="010000"/>
        </w:rPr>
        <w:t>SECTION 1.10.</w:t>
      </w:r>
      <w:r>
        <w:rPr>
          <w:rFonts w:ascii="Arial" w:cs="Arial" w:eastAsia="Arial" w:hAnsi="Arial"/>
          <w:sz w:val="18"/>
          <w:szCs w:val="18"/>
          <w:u w:val="single" w:color="auto"/>
          <w:color w:val="000000"/>
        </w:rPr>
        <w:t>Subordinated Indebtedness and Amendments to Subordinated Indebtedness Documents</w:t>
      </w:r>
      <w:r>
        <w:rPr>
          <w:rFonts w:ascii="Arial" w:cs="Arial" w:eastAsia="Arial" w:hAnsi="Arial"/>
          <w:sz w:val="18"/>
          <w:szCs w:val="18"/>
          <w:color w:val="000000"/>
        </w:rPr>
        <w:t>. The Borrower will not,</w:t>
      </w:r>
      <w:r>
        <w:rPr>
          <w:rFonts w:ascii="Arial" w:cs="Arial" w:eastAsia="Arial" w:hAnsi="Arial"/>
          <w:sz w:val="18"/>
          <w:szCs w:val="18"/>
          <w:color w:val="010000"/>
        </w:rPr>
        <w:t xml:space="preserve"> </w:t>
      </w:r>
      <w:r>
        <w:rPr>
          <w:rFonts w:ascii="Arial" w:cs="Arial" w:eastAsia="Arial" w:hAnsi="Arial"/>
          <w:sz w:val="18"/>
          <w:szCs w:val="18"/>
          <w:color w:val="000000"/>
        </w:rPr>
        <w:t>and will not permit any Subsidiary to, directly or indirectly voluntarily prepay, defease or in substance defease, purchase, redeem, retire or otherwise acquire, any Subordinated Indebtedness or any Indebtedness from time to time outstanding under the Subordinated Indebtedness Documents (other than pursuant to any refinancings, renewals or replacements of such Indebtedness to the extent permitted by Section 6.01). Furthermore, the Borrower will not, and will not permit any Subsidiary to, amend the Subordinated Indebtedness Documents or any document, agreement or instrument evidencing any Indebtedness incurred pursuant to the Subordinated Indebtedness Documents (or any replacements, substitutions, extensions or renewals thereof) or pursuant to which such Indebtedness is issued where such amendment, modification or supplement provides for the following or which has any of the following effects:</w:t>
      </w:r>
    </w:p>
    <w:p>
      <w:pPr>
        <w:spacing w:after="0" w:line="151" w:lineRule="exact"/>
        <w:rPr>
          <w:sz w:val="20"/>
          <w:szCs w:val="20"/>
          <w:color w:val="auto"/>
        </w:rPr>
      </w:pPr>
    </w:p>
    <w:p>
      <w:pPr>
        <w:ind w:left="640" w:firstLine="638"/>
        <w:spacing w:after="0" w:line="237" w:lineRule="auto"/>
        <w:tabs>
          <w:tab w:leader="none" w:pos="1902"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increases the overall principal amount of any such Indebtedness or increases the amount of any single scheduled installment of principal or interest;</w:t>
      </w:r>
    </w:p>
    <w:p>
      <w:pPr>
        <w:spacing w:after="0" w:line="151" w:lineRule="exact"/>
        <w:rPr>
          <w:rFonts w:ascii="Arial" w:cs="Arial" w:eastAsia="Arial" w:hAnsi="Arial"/>
          <w:sz w:val="19"/>
          <w:szCs w:val="19"/>
          <w:color w:val="010000"/>
        </w:rPr>
      </w:pPr>
    </w:p>
    <w:p>
      <w:pPr>
        <w:ind w:left="640" w:right="20" w:firstLine="638"/>
        <w:spacing w:after="0" w:line="237" w:lineRule="auto"/>
        <w:tabs>
          <w:tab w:leader="none" w:pos="1900"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shortens or accelerates the date upon which any installment of principal or interest becomes due or adds any additional mandatory redemption provisions;</w:t>
      </w:r>
    </w:p>
    <w:p>
      <w:pPr>
        <w:spacing w:after="0" w:line="151" w:lineRule="exact"/>
        <w:rPr>
          <w:rFonts w:ascii="Arial" w:cs="Arial" w:eastAsia="Arial" w:hAnsi="Arial"/>
          <w:sz w:val="19"/>
          <w:szCs w:val="19"/>
          <w:color w:val="010000"/>
        </w:rPr>
      </w:pPr>
    </w:p>
    <w:p>
      <w:pPr>
        <w:ind w:left="640" w:firstLine="638"/>
        <w:spacing w:after="0" w:line="237" w:lineRule="auto"/>
        <w:tabs>
          <w:tab w:leader="none" w:pos="1902"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shortens the final maturity date of such Indebtedness or otherwise accelerates the amortization schedule with respect to such Indebtedness;</w:t>
      </w:r>
    </w:p>
    <w:p>
      <w:pPr>
        <w:spacing w:after="0" w:line="151" w:lineRule="exact"/>
        <w:rPr>
          <w:rFonts w:ascii="Arial" w:cs="Arial" w:eastAsia="Arial" w:hAnsi="Arial"/>
          <w:sz w:val="19"/>
          <w:szCs w:val="19"/>
          <w:color w:val="010000"/>
        </w:rPr>
      </w:pPr>
    </w:p>
    <w:p>
      <w:pPr>
        <w:ind w:left="1900" w:hanging="622"/>
        <w:spacing w:after="0"/>
        <w:tabs>
          <w:tab w:leader="none" w:pos="1900"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increases the rate of interest accruing on such Indebtedness;</w:t>
      </w:r>
    </w:p>
    <w:p>
      <w:pPr>
        <w:spacing w:after="0" w:line="179" w:lineRule="exact"/>
        <w:rPr>
          <w:rFonts w:ascii="Arial" w:cs="Arial" w:eastAsia="Arial" w:hAnsi="Arial"/>
          <w:sz w:val="19"/>
          <w:szCs w:val="19"/>
          <w:color w:val="010000"/>
        </w:rPr>
      </w:pPr>
    </w:p>
    <w:p>
      <w:pPr>
        <w:ind w:left="1900" w:hanging="622"/>
        <w:spacing w:after="0"/>
        <w:tabs>
          <w:tab w:leader="none" w:pos="1900"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provides for the payment of additional fees or increases existing fees;</w:t>
      </w:r>
    </w:p>
    <w:p>
      <w:pPr>
        <w:spacing w:after="0" w:line="179" w:lineRule="exact"/>
        <w:rPr>
          <w:rFonts w:ascii="Arial" w:cs="Arial" w:eastAsia="Arial" w:hAnsi="Arial"/>
          <w:sz w:val="19"/>
          <w:szCs w:val="19"/>
          <w:color w:val="010000"/>
        </w:rPr>
      </w:pPr>
    </w:p>
    <w:p>
      <w:pPr>
        <w:jc w:val="both"/>
        <w:ind w:left="640" w:firstLine="638"/>
        <w:spacing w:after="0" w:line="215" w:lineRule="auto"/>
        <w:tabs>
          <w:tab w:leader="none" w:pos="1907"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amends or modifies any financial or negative covenant (or covenant which prohibits or restricts the Borrower or any Subsidiary from taking certain actions) in a manner which is more onerous or more restrictive in any material respect to the Borrower or such Subsidiary or which is otherwise materially adverse to the Borrower, any Subsidiary and/or the Lenders or, in the case of any such covenant, which places material additional restrictions on the Borrower or such Subsidiary or which requires the Borrower or such Subsidiary to comply with more restrictive financial ratios or which requires the Borrower to better its financial performance, in each case from that set forth in the existing applicable covenants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ectPr>
          <w:pgSz w:w="11900" w:h="16838" w:orient="portrait"/>
          <w:cols w:equalWidth="0" w:num="1">
            <w:col w:w="11240"/>
          </w:cols>
          <w:pgMar w:left="320" w:top="1381" w:right="339" w:bottom="1440" w:gutter="0" w:footer="0" w:header="0"/>
        </w:sectPr>
      </w:pPr>
    </w:p>
    <w:bookmarkStart w:id="114" w:name="page115"/>
    <w:bookmarkEnd w:id="114"/>
    <w:p>
      <w:pPr>
        <w:ind w:left="640"/>
        <w:spacing w:after="0" w:line="237" w:lineRule="auto"/>
        <w:rPr>
          <w:sz w:val="20"/>
          <w:szCs w:val="20"/>
          <w:color w:val="auto"/>
        </w:rPr>
      </w:pPr>
      <w:r>
        <w:rPr>
          <w:rFonts w:ascii="Arial" w:cs="Arial" w:eastAsia="Arial" w:hAnsi="Arial"/>
          <w:sz w:val="19"/>
          <w:szCs w:val="19"/>
          <w:color w:val="auto"/>
        </w:rPr>
        <w:t>Subordinated Indebtedness Documents or the applicable covenants in this Agreement unless such modification is made to this Agreement; or</w:t>
      </w:r>
    </w:p>
    <w:p>
      <w:pPr>
        <w:spacing w:after="0" w:line="151" w:lineRule="exact"/>
        <w:rPr>
          <w:sz w:val="20"/>
          <w:szCs w:val="20"/>
          <w:color w:val="auto"/>
        </w:rPr>
      </w:pPr>
    </w:p>
    <w:p>
      <w:pPr>
        <w:jc w:val="both"/>
        <w:ind w:left="640" w:firstLine="638"/>
        <w:spacing w:after="0" w:line="259" w:lineRule="auto"/>
        <w:tabs>
          <w:tab w:leader="none" w:pos="1900" w:val="left"/>
        </w:tabs>
        <w:numPr>
          <w:ilvl w:val="0"/>
          <w:numId w:val="135"/>
        </w:numPr>
        <w:rPr>
          <w:rFonts w:ascii="Arial" w:cs="Arial" w:eastAsia="Arial" w:hAnsi="Arial"/>
          <w:sz w:val="17"/>
          <w:szCs w:val="17"/>
          <w:color w:val="010000"/>
        </w:rPr>
      </w:pPr>
      <w:r>
        <w:rPr>
          <w:rFonts w:ascii="Arial" w:cs="Arial" w:eastAsia="Arial" w:hAnsi="Arial"/>
          <w:sz w:val="17"/>
          <w:szCs w:val="17"/>
          <w:color w:val="auto"/>
        </w:rPr>
        <w:t>amends, modifies or adds any affirmative covenant in a manner which (i) when taken as a whole, is materially adverse to the Borrower, any Subsidiary and/or the Lenders or (ii) is more onerous than the existing applicable covenant in the Subordinated Indebtedness Documents or the applicable covenant in this Agreement unless such modification is made to this Agreement.</w:t>
      </w:r>
    </w:p>
    <w:p>
      <w:pPr>
        <w:spacing w:after="0" w:line="136"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010000"/>
        </w:rPr>
        <w:t>SECTION 1.11.</w:t>
      </w:r>
      <w:r>
        <w:rPr>
          <w:rFonts w:ascii="Arial" w:cs="Arial" w:eastAsia="Arial" w:hAnsi="Arial"/>
          <w:sz w:val="19"/>
          <w:szCs w:val="19"/>
          <w:u w:val="single" w:color="auto"/>
          <w:color w:val="000000"/>
        </w:rPr>
        <w:t>Sale and Leaseback Transactions</w:t>
      </w:r>
      <w:r>
        <w:rPr>
          <w:rFonts w:ascii="Arial" w:cs="Arial" w:eastAsia="Arial" w:hAnsi="Arial"/>
          <w:sz w:val="19"/>
          <w:szCs w:val="19"/>
          <w:color w:val="000000"/>
        </w:rPr>
        <w:t>. The Borrower will not, nor will it permit any Subsidiary to, enter into any</w:t>
      </w:r>
      <w:r>
        <w:rPr>
          <w:rFonts w:ascii="Arial" w:cs="Arial" w:eastAsia="Arial" w:hAnsi="Arial"/>
          <w:sz w:val="19"/>
          <w:szCs w:val="19"/>
          <w:color w:val="010000"/>
        </w:rPr>
        <w:t xml:space="preserve"> </w:t>
      </w:r>
      <w:r>
        <w:rPr>
          <w:rFonts w:ascii="Arial" w:cs="Arial" w:eastAsia="Arial" w:hAnsi="Arial"/>
          <w:sz w:val="19"/>
          <w:szCs w:val="19"/>
          <w:color w:val="000000"/>
        </w:rPr>
        <w:t>Sale and Leaseback Transaction, except that the Borrower may enter into a Sale and Leaseback Transaction of the Borrower’s headquarters located at 1 Commvault Way, Tinton Falls, NJ.</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1.12.</w:t>
      </w:r>
      <w:r>
        <w:rPr>
          <w:rFonts w:ascii="Arial" w:cs="Arial" w:eastAsia="Arial" w:hAnsi="Arial"/>
          <w:sz w:val="19"/>
          <w:szCs w:val="19"/>
          <w:u w:val="single" w:color="auto"/>
          <w:color w:val="000000"/>
        </w:rPr>
        <w:t>Financial Covenants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20" w:lineRule="auto"/>
        <w:tabs>
          <w:tab w:leader="none" w:pos="1898" w:val="left"/>
        </w:tabs>
        <w:numPr>
          <w:ilvl w:val="0"/>
          <w:numId w:val="136"/>
        </w:numPr>
        <w:rPr>
          <w:rFonts w:ascii="Arial" w:cs="Arial" w:eastAsia="Arial" w:hAnsi="Arial"/>
          <w:sz w:val="19"/>
          <w:szCs w:val="19"/>
          <w:color w:val="010000"/>
        </w:rPr>
      </w:pPr>
      <w:r>
        <w:rPr>
          <w:rFonts w:ascii="Arial" w:cs="Arial" w:eastAsia="Arial" w:hAnsi="Arial"/>
          <w:sz w:val="19"/>
          <w:szCs w:val="19"/>
          <w:u w:val="single" w:color="auto"/>
          <w:color w:val="auto"/>
        </w:rPr>
        <w:t>Maximum Leverage Ratio</w:t>
      </w:r>
      <w:r>
        <w:rPr>
          <w:rFonts w:ascii="Arial" w:cs="Arial" w:eastAsia="Arial" w:hAnsi="Arial"/>
          <w:sz w:val="19"/>
          <w:szCs w:val="19"/>
          <w:color w:val="auto"/>
        </w:rPr>
        <w:t>. The Borrower will not permit the ratio (the “</w:t>
      </w:r>
      <w:r>
        <w:rPr>
          <w:rFonts w:ascii="Arial" w:cs="Arial" w:eastAsia="Arial" w:hAnsi="Arial"/>
          <w:sz w:val="19"/>
          <w:szCs w:val="19"/>
          <w:u w:val="single" w:color="auto"/>
          <w:color w:val="auto"/>
        </w:rPr>
        <w:t>Leverage Ratio</w:t>
      </w:r>
      <w:r>
        <w:rPr>
          <w:rFonts w:ascii="Arial" w:cs="Arial" w:eastAsia="Arial" w:hAnsi="Arial"/>
          <w:sz w:val="19"/>
          <w:szCs w:val="19"/>
          <w:color w:val="auto"/>
        </w:rPr>
        <w:t>”), determined as of the end of each of its fiscal quarters ending on and after December 31, 2021, of (i) Consolidated Total Indebtedness to (ii) Consolidated EBITDA for the period of four (4) consecutive fiscal quarters ending with the end of such fiscal quarter, all calculated for the Borrower and its Subsidiaries on a consolidated basis, to be greater than 3.00 to 1.00.</w:t>
      </w:r>
    </w:p>
    <w:p>
      <w:pPr>
        <w:spacing w:after="0" w:line="152" w:lineRule="exact"/>
        <w:rPr>
          <w:rFonts w:ascii="Arial" w:cs="Arial" w:eastAsia="Arial" w:hAnsi="Arial"/>
          <w:sz w:val="19"/>
          <w:szCs w:val="19"/>
          <w:color w:val="010000"/>
        </w:rPr>
      </w:pPr>
    </w:p>
    <w:p>
      <w:pPr>
        <w:jc w:val="both"/>
        <w:ind w:firstLine="1278"/>
        <w:spacing w:after="0" w:line="220" w:lineRule="auto"/>
        <w:tabs>
          <w:tab w:leader="none" w:pos="1896" w:val="left"/>
        </w:tabs>
        <w:numPr>
          <w:ilvl w:val="0"/>
          <w:numId w:val="136"/>
        </w:numPr>
        <w:rPr>
          <w:rFonts w:ascii="Arial" w:cs="Arial" w:eastAsia="Arial" w:hAnsi="Arial"/>
          <w:sz w:val="19"/>
          <w:szCs w:val="19"/>
          <w:color w:val="010000"/>
        </w:rPr>
      </w:pPr>
      <w:r>
        <w:rPr>
          <w:rFonts w:ascii="Arial" w:cs="Arial" w:eastAsia="Arial" w:hAnsi="Arial"/>
          <w:sz w:val="19"/>
          <w:szCs w:val="19"/>
          <w:u w:val="single" w:color="auto"/>
          <w:color w:val="auto"/>
        </w:rPr>
        <w:t>Minimum Interest Coverage Ratio</w:t>
      </w:r>
      <w:r>
        <w:rPr>
          <w:rFonts w:ascii="Arial" w:cs="Arial" w:eastAsia="Arial" w:hAnsi="Arial"/>
          <w:sz w:val="19"/>
          <w:szCs w:val="19"/>
          <w:color w:val="auto"/>
        </w:rPr>
        <w:t>. The Borrower will not permit the ratio (the “</w:t>
      </w:r>
      <w:r>
        <w:rPr>
          <w:rFonts w:ascii="Arial" w:cs="Arial" w:eastAsia="Arial" w:hAnsi="Arial"/>
          <w:sz w:val="19"/>
          <w:szCs w:val="19"/>
          <w:u w:val="single" w:color="auto"/>
          <w:color w:val="auto"/>
        </w:rPr>
        <w:t>Interest Coverage Ratio</w:t>
      </w:r>
      <w:r>
        <w:rPr>
          <w:rFonts w:ascii="Arial" w:cs="Arial" w:eastAsia="Arial" w:hAnsi="Arial"/>
          <w:sz w:val="19"/>
          <w:szCs w:val="19"/>
          <w:color w:val="auto"/>
        </w:rPr>
        <w:t>”), determined as of the end of each of its fiscal quarters ending on and after December 31, 2021, of (i) Consolidated EBITDA to (ii) Consolidated Interest Expense, in each case for the period of four (4) consecutive fiscal quarters ending with the end of such fiscal quarter, all calculated for the Borrower and its Subsidiaries on a consolidated basis, to be less than 3.50 to 1.00.</w:t>
      </w:r>
    </w:p>
    <w:p>
      <w:pPr>
        <w:spacing w:after="0" w:line="285" w:lineRule="exact"/>
        <w:rPr>
          <w:sz w:val="20"/>
          <w:szCs w:val="20"/>
          <w:color w:val="auto"/>
        </w:rPr>
      </w:pPr>
    </w:p>
    <w:p>
      <w:pPr>
        <w:ind w:left="5000"/>
        <w:spacing w:after="0"/>
        <w:rPr>
          <w:sz w:val="20"/>
          <w:szCs w:val="20"/>
          <w:color w:val="auto"/>
        </w:rPr>
      </w:pPr>
      <w:r>
        <w:rPr>
          <w:rFonts w:ascii="Arial" w:cs="Arial" w:eastAsia="Arial" w:hAnsi="Arial"/>
          <w:sz w:val="19"/>
          <w:szCs w:val="19"/>
          <w:color w:val="010000"/>
        </w:rPr>
        <w:t>Article VII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Events of Default</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1.01.</w:t>
      </w:r>
      <w:r>
        <w:rPr>
          <w:rFonts w:ascii="Arial" w:cs="Arial" w:eastAsia="Arial" w:hAnsi="Arial"/>
          <w:sz w:val="19"/>
          <w:szCs w:val="19"/>
          <w:u w:val="single" w:color="auto"/>
          <w:color w:val="000000"/>
        </w:rPr>
        <w:t>Events of Default</w:t>
      </w:r>
      <w:r>
        <w:rPr>
          <w:rFonts w:ascii="Arial" w:cs="Arial" w:eastAsia="Arial" w:hAnsi="Arial"/>
          <w:sz w:val="19"/>
          <w:szCs w:val="19"/>
          <w:color w:val="000000"/>
        </w:rPr>
        <w:t>. If any of the following events (“Events of Default”) shall occur:</w:t>
      </w:r>
    </w:p>
    <w:p>
      <w:pPr>
        <w:spacing w:after="0" w:line="179" w:lineRule="exact"/>
        <w:rPr>
          <w:sz w:val="20"/>
          <w:szCs w:val="20"/>
          <w:color w:val="auto"/>
        </w:rPr>
      </w:pPr>
    </w:p>
    <w:p>
      <w:pPr>
        <w:jc w:val="both"/>
        <w:ind w:firstLine="1278"/>
        <w:spacing w:after="0" w:line="226" w:lineRule="auto"/>
        <w:tabs>
          <w:tab w:leader="none" w:pos="1898" w:val="left"/>
        </w:tabs>
        <w:numPr>
          <w:ilvl w:val="0"/>
          <w:numId w:val="137"/>
        </w:numPr>
        <w:rPr>
          <w:rFonts w:ascii="Arial" w:cs="Arial" w:eastAsia="Arial" w:hAnsi="Arial"/>
          <w:sz w:val="19"/>
          <w:szCs w:val="19"/>
          <w:color w:val="010000"/>
        </w:rPr>
      </w:pPr>
      <w:r>
        <w:rPr>
          <w:rFonts w:ascii="Arial" w:cs="Arial" w:eastAsia="Arial" w:hAnsi="Arial"/>
          <w:sz w:val="19"/>
          <w:szCs w:val="19"/>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51" w:lineRule="exact"/>
        <w:rPr>
          <w:rFonts w:ascii="Arial" w:cs="Arial" w:eastAsia="Arial" w:hAnsi="Arial"/>
          <w:sz w:val="19"/>
          <w:szCs w:val="19"/>
          <w:color w:val="010000"/>
        </w:rPr>
      </w:pPr>
    </w:p>
    <w:p>
      <w:pPr>
        <w:jc w:val="both"/>
        <w:ind w:firstLine="1278"/>
        <w:spacing w:after="0" w:line="226" w:lineRule="auto"/>
        <w:tabs>
          <w:tab w:leader="none" w:pos="1896" w:val="left"/>
        </w:tabs>
        <w:numPr>
          <w:ilvl w:val="0"/>
          <w:numId w:val="137"/>
        </w:numPr>
        <w:rPr>
          <w:rFonts w:ascii="Arial" w:cs="Arial" w:eastAsia="Arial" w:hAnsi="Arial"/>
          <w:sz w:val="19"/>
          <w:szCs w:val="19"/>
          <w:color w:val="010000"/>
        </w:rPr>
      </w:pPr>
      <w:r>
        <w:rPr>
          <w:rFonts w:ascii="Arial" w:cs="Arial" w:eastAsia="Arial" w:hAnsi="Arial"/>
          <w:sz w:val="19"/>
          <w:szCs w:val="19"/>
          <w:color w:val="auto"/>
        </w:rPr>
        <w:t>the Borrower shall fail to pay any interest on any Loan or any fee or any other amount (other than an amount referred to in Section 7.01(a)) payable under this Agreement or any other Loan Document, when and as the same shall become due and payable, and such failure shall continue unremedied for a period of five (5) Business Days;</w:t>
      </w:r>
    </w:p>
    <w:p>
      <w:pPr>
        <w:spacing w:after="0" w:line="151" w:lineRule="exact"/>
        <w:rPr>
          <w:rFonts w:ascii="Arial" w:cs="Arial" w:eastAsia="Arial" w:hAnsi="Arial"/>
          <w:sz w:val="19"/>
          <w:szCs w:val="19"/>
          <w:color w:val="010000"/>
        </w:rPr>
      </w:pPr>
    </w:p>
    <w:p>
      <w:pPr>
        <w:jc w:val="both"/>
        <w:ind w:firstLine="1278"/>
        <w:spacing w:after="0" w:line="217" w:lineRule="auto"/>
        <w:tabs>
          <w:tab w:leader="none" w:pos="1898" w:val="left"/>
        </w:tabs>
        <w:numPr>
          <w:ilvl w:val="0"/>
          <w:numId w:val="137"/>
        </w:numPr>
        <w:rPr>
          <w:rFonts w:ascii="Arial" w:cs="Arial" w:eastAsia="Arial" w:hAnsi="Arial"/>
          <w:sz w:val="19"/>
          <w:szCs w:val="19"/>
          <w:color w:val="010000"/>
        </w:rPr>
      </w:pPr>
      <w:r>
        <w:rPr>
          <w:rFonts w:ascii="Arial" w:cs="Arial" w:eastAsia="Arial" w:hAnsi="Arial"/>
          <w:sz w:val="19"/>
          <w:szCs w:val="19"/>
          <w:color w:val="auto"/>
        </w:rPr>
        <w:t>any representation or warranty made or deemed made by or on behalf of the Borrower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incorrect in any material respect when made or deemed made;</w:t>
      </w:r>
    </w:p>
    <w:p>
      <w:pPr>
        <w:spacing w:after="0" w:line="151" w:lineRule="exact"/>
        <w:rPr>
          <w:rFonts w:ascii="Arial" w:cs="Arial" w:eastAsia="Arial" w:hAnsi="Arial"/>
          <w:sz w:val="19"/>
          <w:szCs w:val="19"/>
          <w:color w:val="010000"/>
        </w:rPr>
      </w:pPr>
    </w:p>
    <w:p>
      <w:pPr>
        <w:jc w:val="both"/>
        <w:ind w:firstLine="1278"/>
        <w:spacing w:after="0" w:line="226" w:lineRule="auto"/>
        <w:tabs>
          <w:tab w:leader="none" w:pos="1896" w:val="left"/>
        </w:tabs>
        <w:numPr>
          <w:ilvl w:val="0"/>
          <w:numId w:val="137"/>
        </w:numPr>
        <w:rPr>
          <w:rFonts w:ascii="Arial" w:cs="Arial" w:eastAsia="Arial" w:hAnsi="Arial"/>
          <w:sz w:val="19"/>
          <w:szCs w:val="19"/>
          <w:color w:val="010000"/>
        </w:rPr>
      </w:pPr>
      <w:r>
        <w:rPr>
          <w:rFonts w:ascii="Arial" w:cs="Arial" w:eastAsia="Arial" w:hAnsi="Arial"/>
          <w:sz w:val="19"/>
          <w:szCs w:val="19"/>
          <w:color w:val="auto"/>
        </w:rPr>
        <w:t xml:space="preserve">the Borrower shall fail to observe or perform any covenant, condition or agreement applicable to it (or its Subsidiaries, to the extent applicable) contained in Section 5.02(a), 5.03 (solely with respect to the Borrower’s existence), 5.08, 5.09 or 5.10,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Article X</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ectPr>
          <w:pgSz w:w="11900" w:h="16838" w:orient="portrait"/>
          <w:cols w:equalWidth="0" w:num="1">
            <w:col w:w="11240"/>
          </w:cols>
          <w:pgMar w:left="320" w:top="1381" w:right="339" w:bottom="1440" w:gutter="0" w:footer="0" w:header="0"/>
        </w:sectPr>
      </w:pPr>
    </w:p>
    <w:bookmarkStart w:id="115" w:name="page116"/>
    <w:bookmarkEnd w:id="115"/>
    <w:p>
      <w:pPr>
        <w:jc w:val="both"/>
        <w:ind w:firstLine="1278"/>
        <w:spacing w:after="0" w:line="220" w:lineRule="auto"/>
        <w:tabs>
          <w:tab w:leader="none" w:pos="1898" w:val="left"/>
        </w:tabs>
        <w:numPr>
          <w:ilvl w:val="0"/>
          <w:numId w:val="138"/>
        </w:numPr>
        <w:rPr>
          <w:rFonts w:ascii="Arial" w:cs="Arial" w:eastAsia="Arial" w:hAnsi="Arial"/>
          <w:sz w:val="19"/>
          <w:szCs w:val="19"/>
          <w:color w:val="010000"/>
        </w:rPr>
      </w:pPr>
      <w:r>
        <w:rPr>
          <w:rFonts w:ascii="Arial" w:cs="Arial" w:eastAsia="Arial" w:hAnsi="Arial"/>
          <w:sz w:val="19"/>
          <w:szCs w:val="19"/>
          <w:color w:val="auto"/>
        </w:rPr>
        <w:t>the Borrower or any Subsidiary Guarantor, as applicable, shall fail to observe or perform any covenant, condition or agreement applicable to it contained in this Agreement (other than those specified in Section 7.01(a), (b) or (d)) or any other Loan Document, and such failure shall continue unremedied for a period of thirty (30) days after notice thereof from the Administrative Agent to the Borrower (which notice will be given at the request of any Lender);</w:t>
      </w:r>
    </w:p>
    <w:p>
      <w:pPr>
        <w:spacing w:after="0" w:line="152" w:lineRule="exact"/>
        <w:rPr>
          <w:rFonts w:ascii="Arial" w:cs="Arial" w:eastAsia="Arial" w:hAnsi="Arial"/>
          <w:sz w:val="19"/>
          <w:szCs w:val="19"/>
          <w:color w:val="010000"/>
        </w:rPr>
      </w:pPr>
    </w:p>
    <w:p>
      <w:pPr>
        <w:jc w:val="both"/>
        <w:ind w:firstLine="1278"/>
        <w:spacing w:after="0" w:line="220" w:lineRule="auto"/>
        <w:tabs>
          <w:tab w:leader="none" w:pos="1903" w:val="left"/>
        </w:tabs>
        <w:numPr>
          <w:ilvl w:val="0"/>
          <w:numId w:val="138"/>
        </w:numPr>
        <w:rPr>
          <w:rFonts w:ascii="Arial" w:cs="Arial" w:eastAsia="Arial" w:hAnsi="Arial"/>
          <w:sz w:val="19"/>
          <w:szCs w:val="19"/>
          <w:color w:val="010000"/>
        </w:rPr>
      </w:pPr>
      <w:r>
        <w:rPr>
          <w:rFonts w:ascii="Arial" w:cs="Arial" w:eastAsia="Arial" w:hAnsi="Arial"/>
          <w:sz w:val="19"/>
          <w:szCs w:val="19"/>
          <w:color w:val="auto"/>
        </w:rPr>
        <w:t>the Borrower or any Subsidiary shall fail to make any payment (whether of principal or interest and regardless of amount) in respect of any Material Indebtedness of the Borrower or such Subsidiary, as applicable, when and as the same shall become due and payable, which is not cured within any applicable grace period provided for in the applicable agreement or instrument under which such Indebtedness was created;</w:t>
      </w:r>
    </w:p>
    <w:p>
      <w:pPr>
        <w:spacing w:after="0" w:line="152" w:lineRule="exact"/>
        <w:rPr>
          <w:rFonts w:ascii="Arial" w:cs="Arial" w:eastAsia="Arial" w:hAnsi="Arial"/>
          <w:sz w:val="19"/>
          <w:szCs w:val="19"/>
          <w:color w:val="010000"/>
        </w:rPr>
      </w:pPr>
    </w:p>
    <w:p>
      <w:pPr>
        <w:jc w:val="both"/>
        <w:ind w:firstLine="1278"/>
        <w:spacing w:after="0"/>
        <w:tabs>
          <w:tab w:leader="none" w:pos="1896" w:val="left"/>
        </w:tabs>
        <w:numPr>
          <w:ilvl w:val="0"/>
          <w:numId w:val="138"/>
        </w:numPr>
        <w:rPr>
          <w:rFonts w:ascii="Arial" w:cs="Arial" w:eastAsia="Arial" w:hAnsi="Arial"/>
          <w:sz w:val="17"/>
          <w:szCs w:val="17"/>
          <w:color w:val="010000"/>
        </w:rPr>
      </w:pPr>
      <w:r>
        <w:rPr>
          <w:rFonts w:ascii="Arial" w:cs="Arial" w:eastAsia="Arial" w:hAnsi="Arial"/>
          <w:sz w:val="17"/>
          <w:szCs w:val="17"/>
          <w:color w:val="auto"/>
        </w:rPr>
        <w:t xml:space="preserve">any event or condition occurs that results in (x) any Material Indebtedness becoming due prior to its scheduled maturity or that enables or permits, after the expiration of any applicable grace period, and delivery of any applicable required notice, provided in the applicable agreement or instrument under which such Indebtedness was created, the holder or holders of any Material Indebtedness or any trustee or agent on its or their behalf to cause any Material Indebtedness to become due, or to require the prepayment, repurchase, redemption or defeasance thereof, prior to its scheduled maturity or (y) or any early cash payment being required or unwinding or termination occurring with respect to any Permitted Bond Hedge Transaction or Permitted Warrant Transaction, in each case, with respect to which the Borrower or its Affiliate is the “affected party” or “defaulting party” under the terms of such Permitted Bond Hedge Transaction or Permitted Warrant Transaction, as a result of which Borrower would be required to make cash payments or otherwise settle any such unwind or termination in cash;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(g) shall not apply to (i) secured Indebtedness that becomes due as a result of the voluntary sale or transfer of the property or assets securing such Indebtedness (to the extent such sale or transfer is not prohibited under this Agreement), (ii) any Material Indebtedness that becomes due as a result of a refinancing thereof permitted by Section 6.01, (iii) any reimbursement obligation in respect of a letter of credit, bankers’ acceptance or 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or (v) any redemption, exchange, repurchase, conversion or settlement with respect to any Permitted Convertible Indebtedness, or satisfaction of any condition giving rise to or permitting the foregoing, pursuant to their terms unless such redemption, repurchase, conversion or settlement results from a default thereunder or an event of the type that constitutes an Event of Default;</w:t>
      </w:r>
    </w:p>
    <w:p>
      <w:pPr>
        <w:spacing w:after="0" w:line="217" w:lineRule="exact"/>
        <w:rPr>
          <w:rFonts w:ascii="Arial" w:cs="Arial" w:eastAsia="Arial" w:hAnsi="Arial"/>
          <w:sz w:val="17"/>
          <w:szCs w:val="17"/>
          <w:color w:val="010000"/>
        </w:rPr>
      </w:pPr>
    </w:p>
    <w:p>
      <w:pPr>
        <w:jc w:val="both"/>
        <w:ind w:firstLine="1278"/>
        <w:spacing w:after="0" w:line="215" w:lineRule="auto"/>
        <w:tabs>
          <w:tab w:leader="none" w:pos="1896" w:val="left"/>
        </w:tabs>
        <w:numPr>
          <w:ilvl w:val="0"/>
          <w:numId w:val="138"/>
        </w:numPr>
        <w:rPr>
          <w:rFonts w:ascii="Arial" w:cs="Arial" w:eastAsia="Arial" w:hAnsi="Arial"/>
          <w:sz w:val="19"/>
          <w:szCs w:val="19"/>
          <w:color w:val="010000"/>
        </w:rPr>
      </w:pPr>
      <w:r>
        <w:rPr>
          <w:rFonts w:ascii="Arial" w:cs="Arial" w:eastAsia="Arial" w:hAnsi="Arial"/>
          <w:sz w:val="19"/>
          <w:szCs w:val="19"/>
          <w:color w:val="auto"/>
        </w:rPr>
        <w:t>an involuntary proceeding shall be commenced or an involuntary petition shall be filed seeking (i) liquidation, reorganization or other relief in respect of the Borrower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Material Subsidiary or for a substantial part of its assets, and, in any such case, such proceeding or petition shall continue undismissed for sixty (60) days or an order or decree approving or ordering any of the foregoing shall be entered;</w:t>
      </w:r>
    </w:p>
    <w:p>
      <w:pPr>
        <w:spacing w:after="0" w:line="150" w:lineRule="exact"/>
        <w:rPr>
          <w:rFonts w:ascii="Arial" w:cs="Arial" w:eastAsia="Arial" w:hAnsi="Arial"/>
          <w:sz w:val="19"/>
          <w:szCs w:val="19"/>
          <w:color w:val="010000"/>
        </w:rPr>
      </w:pPr>
    </w:p>
    <w:p>
      <w:pPr>
        <w:jc w:val="both"/>
        <w:ind w:firstLine="1278"/>
        <w:spacing w:after="0" w:line="213" w:lineRule="auto"/>
        <w:tabs>
          <w:tab w:leader="none" w:pos="1906" w:val="left"/>
        </w:tabs>
        <w:numPr>
          <w:ilvl w:val="0"/>
          <w:numId w:val="138"/>
        </w:numPr>
        <w:rPr>
          <w:rFonts w:ascii="Arial" w:cs="Arial" w:eastAsia="Arial" w:hAnsi="Arial"/>
          <w:sz w:val="19"/>
          <w:szCs w:val="19"/>
          <w:color w:val="010000"/>
        </w:rPr>
      </w:pPr>
      <w:r>
        <w:rPr>
          <w:rFonts w:ascii="Arial" w:cs="Arial" w:eastAsia="Arial" w:hAnsi="Arial"/>
          <w:sz w:val="19"/>
          <w:szCs w:val="19"/>
          <w:color w:val="auto"/>
        </w:rPr>
        <w:t>the Borrower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Section 7.01(h), (iii) apply for or consent to the appointment of a receiver, trustee, custodian, sequestrator, conservator or similar official for the Borrower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ectPr>
          <w:pgSz w:w="11900" w:h="16838" w:orient="portrait"/>
          <w:cols w:equalWidth="0" w:num="1">
            <w:col w:w="11240"/>
          </w:cols>
          <w:pgMar w:left="320" w:top="1381" w:right="339" w:bottom="1440" w:gutter="0" w:footer="0" w:header="0"/>
        </w:sectPr>
      </w:pPr>
    </w:p>
    <w:bookmarkStart w:id="116" w:name="page117"/>
    <w:bookmarkEnd w:id="116"/>
    <w:p>
      <w:pPr>
        <w:ind w:firstLine="1278"/>
        <w:spacing w:after="0" w:line="237" w:lineRule="auto"/>
        <w:tabs>
          <w:tab w:leader="none" w:pos="1906" w:val="left"/>
        </w:tabs>
        <w:numPr>
          <w:ilvl w:val="0"/>
          <w:numId w:val="139"/>
        </w:numPr>
        <w:rPr>
          <w:rFonts w:ascii="Arial" w:cs="Arial" w:eastAsia="Arial" w:hAnsi="Arial"/>
          <w:sz w:val="19"/>
          <w:szCs w:val="19"/>
          <w:color w:val="010000"/>
        </w:rPr>
      </w:pPr>
      <w:r>
        <w:rPr>
          <w:rFonts w:ascii="Arial" w:cs="Arial" w:eastAsia="Arial" w:hAnsi="Arial"/>
          <w:sz w:val="19"/>
          <w:szCs w:val="19"/>
          <w:color w:val="auto"/>
        </w:rPr>
        <w:t>the Borrower or any Material Subsidiary shall become unable, admit in writing its inability or fail generally to pay its debts as they become due;</w:t>
      </w:r>
    </w:p>
    <w:p>
      <w:pPr>
        <w:spacing w:after="0" w:line="151" w:lineRule="exact"/>
        <w:rPr>
          <w:rFonts w:ascii="Arial" w:cs="Arial" w:eastAsia="Arial" w:hAnsi="Arial"/>
          <w:sz w:val="19"/>
          <w:szCs w:val="19"/>
          <w:color w:val="010000"/>
        </w:rPr>
      </w:pPr>
    </w:p>
    <w:p>
      <w:pPr>
        <w:jc w:val="both"/>
        <w:ind w:firstLine="1278"/>
        <w:spacing w:after="0" w:line="217" w:lineRule="auto"/>
        <w:tabs>
          <w:tab w:leader="none" w:pos="1896" w:val="left"/>
        </w:tabs>
        <w:numPr>
          <w:ilvl w:val="0"/>
          <w:numId w:val="139"/>
        </w:numPr>
        <w:rPr>
          <w:rFonts w:ascii="Arial" w:cs="Arial" w:eastAsia="Arial" w:hAnsi="Arial"/>
          <w:sz w:val="19"/>
          <w:szCs w:val="19"/>
          <w:color w:val="010000"/>
        </w:rPr>
      </w:pPr>
      <w:r>
        <w:rPr>
          <w:rFonts w:ascii="Arial" w:cs="Arial" w:eastAsia="Arial" w:hAnsi="Arial"/>
          <w:sz w:val="19"/>
          <w:szCs w:val="19"/>
          <w:color w:val="auto"/>
        </w:rPr>
        <w:t>one or more judgments for the payment of money in an aggregate amount in excess of $25,000,000 (to the extent not paid, fully bonded or covered by a solvent and unaffiliated insurer that has not denied coverage) shall be rendered against the Borrower, any Subsidiary or any combination thereof and the same shall remain undischarged, unvacated or undismissed for a period of sixty (60) consecutive days during which execution shall not be effectively stayed, or any action shall be legally taken by a judgment creditor to attach or levy upon any assets of the Borrower or any Subsidiary to enforce any such judgment;</w:t>
      </w:r>
    </w:p>
    <w:p>
      <w:pPr>
        <w:spacing w:after="0" w:line="151" w:lineRule="exact"/>
        <w:rPr>
          <w:rFonts w:ascii="Arial" w:cs="Arial" w:eastAsia="Arial" w:hAnsi="Arial"/>
          <w:sz w:val="19"/>
          <w:szCs w:val="19"/>
          <w:color w:val="010000"/>
        </w:rPr>
      </w:pPr>
    </w:p>
    <w:p>
      <w:pPr>
        <w:ind w:right="20" w:firstLine="1278"/>
        <w:spacing w:after="0" w:line="237" w:lineRule="auto"/>
        <w:tabs>
          <w:tab w:leader="none" w:pos="1906" w:val="left"/>
        </w:tabs>
        <w:numPr>
          <w:ilvl w:val="0"/>
          <w:numId w:val="139"/>
        </w:numPr>
        <w:rPr>
          <w:rFonts w:ascii="Arial" w:cs="Arial" w:eastAsia="Arial" w:hAnsi="Arial"/>
          <w:sz w:val="19"/>
          <w:szCs w:val="19"/>
          <w:color w:val="010000"/>
        </w:rPr>
      </w:pPr>
      <w:r>
        <w:rPr>
          <w:rFonts w:ascii="Arial" w:cs="Arial" w:eastAsia="Arial" w:hAnsi="Arial"/>
          <w:sz w:val="19"/>
          <w:szCs w:val="19"/>
          <w:color w:val="auto"/>
        </w:rPr>
        <w:t>an ERISA Event shall have occurred that, when taken together with all other ERISA Events that have occurred, could reasonably be expected to result in a Material Adverse Effect;</w:t>
      </w:r>
    </w:p>
    <w:p>
      <w:pPr>
        <w:spacing w:after="0" w:line="151" w:lineRule="exact"/>
        <w:rPr>
          <w:rFonts w:ascii="Arial" w:cs="Arial" w:eastAsia="Arial" w:hAnsi="Arial"/>
          <w:sz w:val="19"/>
          <w:szCs w:val="19"/>
          <w:color w:val="010000"/>
        </w:rPr>
      </w:pPr>
    </w:p>
    <w:p>
      <w:pPr>
        <w:ind w:left="1900" w:hanging="622"/>
        <w:spacing w:after="0"/>
        <w:tabs>
          <w:tab w:leader="none" w:pos="1900" w:val="left"/>
        </w:tabs>
        <w:numPr>
          <w:ilvl w:val="0"/>
          <w:numId w:val="139"/>
        </w:numPr>
        <w:rPr>
          <w:rFonts w:ascii="Arial" w:cs="Arial" w:eastAsia="Arial" w:hAnsi="Arial"/>
          <w:sz w:val="19"/>
          <w:szCs w:val="19"/>
          <w:color w:val="010000"/>
        </w:rPr>
      </w:pPr>
      <w:r>
        <w:rPr>
          <w:rFonts w:ascii="Arial" w:cs="Arial" w:eastAsia="Arial" w:hAnsi="Arial"/>
          <w:sz w:val="19"/>
          <w:szCs w:val="19"/>
          <w:color w:val="auto"/>
        </w:rPr>
        <w:t>a Change of Control shall occur;</w:t>
      </w:r>
    </w:p>
    <w:p>
      <w:pPr>
        <w:spacing w:after="0" w:line="179" w:lineRule="exact"/>
        <w:rPr>
          <w:rFonts w:ascii="Arial" w:cs="Arial" w:eastAsia="Arial" w:hAnsi="Arial"/>
          <w:sz w:val="19"/>
          <w:szCs w:val="19"/>
          <w:color w:val="010000"/>
        </w:rPr>
      </w:pPr>
    </w:p>
    <w:p>
      <w:pPr>
        <w:jc w:val="both"/>
        <w:ind w:firstLine="1278"/>
        <w:spacing w:after="0" w:line="226" w:lineRule="auto"/>
        <w:tabs>
          <w:tab w:leader="none" w:pos="1896" w:val="left"/>
        </w:tabs>
        <w:numPr>
          <w:ilvl w:val="0"/>
          <w:numId w:val="139"/>
        </w:numPr>
        <w:rPr>
          <w:rFonts w:ascii="Arial" w:cs="Arial" w:eastAsia="Arial" w:hAnsi="Arial"/>
          <w:sz w:val="19"/>
          <w:szCs w:val="19"/>
          <w:color w:val="010000"/>
        </w:rPr>
      </w:pPr>
      <w:r>
        <w:rPr>
          <w:rFonts w:ascii="Arial" w:cs="Arial" w:eastAsia="Arial" w:hAnsi="Arial"/>
          <w:sz w:val="19"/>
          <w:szCs w:val="19"/>
          <w:color w:val="auto"/>
        </w:rPr>
        <w:t>the occurrence of any “default”, as defined in any Loan Document (other than this Agreement) or the breach of any of the terms or provisions of any Loan Document (other than this Agreement), which default or breach continues beyond any period of grace therein provided;</w:t>
      </w:r>
    </w:p>
    <w:p>
      <w:pPr>
        <w:spacing w:after="0" w:line="151" w:lineRule="exact"/>
        <w:rPr>
          <w:rFonts w:ascii="Arial" w:cs="Arial" w:eastAsia="Arial" w:hAnsi="Arial"/>
          <w:sz w:val="19"/>
          <w:szCs w:val="19"/>
          <w:color w:val="010000"/>
        </w:rPr>
      </w:pPr>
    </w:p>
    <w:p>
      <w:pPr>
        <w:jc w:val="both"/>
        <w:ind w:firstLine="1278"/>
        <w:spacing w:after="0" w:line="217" w:lineRule="auto"/>
        <w:tabs>
          <w:tab w:leader="none" w:pos="1896" w:val="left"/>
        </w:tabs>
        <w:numPr>
          <w:ilvl w:val="0"/>
          <w:numId w:val="139"/>
        </w:numPr>
        <w:rPr>
          <w:rFonts w:ascii="Arial" w:cs="Arial" w:eastAsia="Arial" w:hAnsi="Arial"/>
          <w:sz w:val="19"/>
          <w:szCs w:val="19"/>
          <w:color w:val="010000"/>
        </w:rPr>
      </w:pPr>
      <w:r>
        <w:rPr>
          <w:rFonts w:ascii="Arial" w:cs="Arial" w:eastAsia="Arial" w:hAnsi="Arial"/>
          <w:sz w:val="19"/>
          <w:szCs w:val="19"/>
          <w:color w:val="auto"/>
        </w:rPr>
        <w:t>any material provision of any Loan Document, at any time after its execution and delivery and for any reason other than as expressly permitted hereunder or thereunder or satisfaction in full of all Secured Obligations, ceases to be in full force and effect; or a Loan Party or any other Person contests in writing the validity or enforceability of any provision of any Loan Document; or a Loan Party denies in writing that it has any or further liability or obligation under any Loan Document, or purports in writing to revoke, terminate or rescind any Loan Document; or</w:t>
      </w:r>
    </w:p>
    <w:p>
      <w:pPr>
        <w:spacing w:after="0" w:line="151" w:lineRule="exact"/>
        <w:rPr>
          <w:rFonts w:ascii="Arial" w:cs="Arial" w:eastAsia="Arial" w:hAnsi="Arial"/>
          <w:sz w:val="19"/>
          <w:szCs w:val="19"/>
          <w:color w:val="010000"/>
        </w:rPr>
      </w:pPr>
    </w:p>
    <w:p>
      <w:pPr>
        <w:ind w:firstLine="1278"/>
        <w:spacing w:after="0" w:line="237" w:lineRule="auto"/>
        <w:tabs>
          <w:tab w:leader="none" w:pos="1896" w:val="left"/>
        </w:tabs>
        <w:numPr>
          <w:ilvl w:val="0"/>
          <w:numId w:val="139"/>
        </w:numPr>
        <w:rPr>
          <w:rFonts w:ascii="Arial" w:cs="Arial" w:eastAsia="Arial" w:hAnsi="Arial"/>
          <w:sz w:val="19"/>
          <w:szCs w:val="19"/>
          <w:color w:val="010000"/>
        </w:rPr>
      </w:pPr>
      <w:r>
        <w:rPr>
          <w:rFonts w:ascii="Arial" w:cs="Arial" w:eastAsia="Arial" w:hAnsi="Arial"/>
          <w:sz w:val="19"/>
          <w:szCs w:val="19"/>
          <w:color w:val="auto"/>
        </w:rPr>
        <w:t>any Collateral Document shall for any reason fail to create a valid and perfected first priority security interest in any material portion of the Collateral purported to be covered thereby, except as permitted by the terms of any Loan Document.</w:t>
      </w:r>
    </w:p>
    <w:p>
      <w:pPr>
        <w:spacing w:after="0" w:line="151"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010000"/>
        </w:rPr>
        <w:t xml:space="preserve">SECTION 1.02. </w:t>
      </w:r>
      <w:r>
        <w:rPr>
          <w:rFonts w:ascii="Arial" w:cs="Arial" w:eastAsia="Arial" w:hAnsi="Arial"/>
          <w:sz w:val="19"/>
          <w:szCs w:val="19"/>
          <w:u w:val="single" w:color="auto"/>
          <w:color w:val="000000"/>
        </w:rPr>
        <w:t>Remedies Upon an Event of Default</w:t>
      </w:r>
      <w:r>
        <w:rPr>
          <w:rFonts w:ascii="Arial" w:cs="Arial" w:eastAsia="Arial" w:hAnsi="Arial"/>
          <w:sz w:val="19"/>
          <w:szCs w:val="19"/>
          <w:color w:val="000000"/>
        </w:rPr>
        <w:t>. If an Event of Default occurs (other than an event with respect to the</w:t>
      </w:r>
      <w:r>
        <w:rPr>
          <w:rFonts w:ascii="Arial" w:cs="Arial" w:eastAsia="Arial" w:hAnsi="Arial"/>
          <w:sz w:val="19"/>
          <w:szCs w:val="19"/>
          <w:color w:val="010000"/>
        </w:rPr>
        <w:t xml:space="preserve"> </w:t>
      </w:r>
      <w:r>
        <w:rPr>
          <w:rFonts w:ascii="Arial" w:cs="Arial" w:eastAsia="Arial" w:hAnsi="Arial"/>
          <w:sz w:val="19"/>
          <w:szCs w:val="19"/>
          <w:color w:val="000000"/>
        </w:rPr>
        <w:t>Borrower described in Section 7.01(h) or 7.01(i)), and at any time thereafter during the continuance of such Event of Default, the Administrative Agent may with the consent of the Required Lenders, and shall at the request of the Required Lenders, by notice to the Borrower, take any or all of the following actions, at the same or different times:</w:t>
      </w:r>
    </w:p>
    <w:p>
      <w:pPr>
        <w:spacing w:after="0" w:line="153" w:lineRule="exact"/>
        <w:rPr>
          <w:sz w:val="20"/>
          <w:szCs w:val="20"/>
          <w:color w:val="auto"/>
        </w:rPr>
      </w:pPr>
    </w:p>
    <w:p>
      <w:pPr>
        <w:ind w:left="1900" w:hanging="622"/>
        <w:spacing w:after="0"/>
        <w:tabs>
          <w:tab w:leader="none" w:pos="1900" w:val="left"/>
        </w:tabs>
        <w:numPr>
          <w:ilvl w:val="0"/>
          <w:numId w:val="140"/>
        </w:numPr>
        <w:rPr>
          <w:rFonts w:ascii="Arial" w:cs="Arial" w:eastAsia="Arial" w:hAnsi="Arial"/>
          <w:sz w:val="19"/>
          <w:szCs w:val="19"/>
          <w:color w:val="010000"/>
        </w:rPr>
      </w:pPr>
      <w:r>
        <w:rPr>
          <w:rFonts w:ascii="Arial" w:cs="Arial" w:eastAsia="Arial" w:hAnsi="Arial"/>
          <w:sz w:val="19"/>
          <w:szCs w:val="19"/>
          <w:color w:val="auto"/>
        </w:rPr>
        <w:t>terminate the Commitments, and thereupon the Commitments shall terminate immediately;</w:t>
      </w:r>
    </w:p>
    <w:p>
      <w:pPr>
        <w:spacing w:after="0" w:line="179" w:lineRule="exact"/>
        <w:rPr>
          <w:rFonts w:ascii="Arial" w:cs="Arial" w:eastAsia="Arial" w:hAnsi="Arial"/>
          <w:sz w:val="19"/>
          <w:szCs w:val="19"/>
          <w:color w:val="010000"/>
        </w:rPr>
      </w:pPr>
    </w:p>
    <w:p>
      <w:pPr>
        <w:jc w:val="both"/>
        <w:ind w:firstLine="1278"/>
        <w:spacing w:after="0" w:line="217" w:lineRule="auto"/>
        <w:tabs>
          <w:tab w:leader="none" w:pos="1896" w:val="left"/>
        </w:tabs>
        <w:numPr>
          <w:ilvl w:val="0"/>
          <w:numId w:val="140"/>
        </w:numPr>
        <w:rPr>
          <w:rFonts w:ascii="Arial" w:cs="Arial" w:eastAsia="Arial" w:hAnsi="Arial"/>
          <w:sz w:val="19"/>
          <w:szCs w:val="19"/>
          <w:color w:val="010000"/>
        </w:rPr>
      </w:pPr>
      <w:r>
        <w:rPr>
          <w:rFonts w:ascii="Arial" w:cs="Arial" w:eastAsia="Arial" w:hAnsi="Arial"/>
          <w:sz w:val="19"/>
          <w:szCs w:val="19"/>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accrued hereunder and under any other Loan Document, shall become due and payable immediately, without presentment, demand, protest or other notice of any kind, all of which are hereby waived by the Borrower and the other Loan Parties;</w:t>
      </w:r>
    </w:p>
    <w:p>
      <w:pPr>
        <w:spacing w:after="0" w:line="151" w:lineRule="exact"/>
        <w:rPr>
          <w:rFonts w:ascii="Arial" w:cs="Arial" w:eastAsia="Arial" w:hAnsi="Arial"/>
          <w:sz w:val="19"/>
          <w:szCs w:val="19"/>
          <w:color w:val="010000"/>
        </w:rPr>
      </w:pPr>
    </w:p>
    <w:p>
      <w:pPr>
        <w:ind w:left="1900" w:hanging="622"/>
        <w:spacing w:after="0"/>
        <w:tabs>
          <w:tab w:leader="none" w:pos="1900" w:val="left"/>
        </w:tabs>
        <w:numPr>
          <w:ilvl w:val="0"/>
          <w:numId w:val="140"/>
        </w:numPr>
        <w:rPr>
          <w:rFonts w:ascii="Arial" w:cs="Arial" w:eastAsia="Arial" w:hAnsi="Arial"/>
          <w:sz w:val="19"/>
          <w:szCs w:val="19"/>
          <w:color w:val="010000"/>
        </w:rPr>
      </w:pPr>
      <w:r>
        <w:rPr>
          <w:rFonts w:ascii="Arial" w:cs="Arial" w:eastAsia="Arial" w:hAnsi="Arial"/>
          <w:sz w:val="19"/>
          <w:szCs w:val="19"/>
          <w:color w:val="auto"/>
        </w:rPr>
        <w:t>require that the Borrower provide cash collateral as required in Section 2.06(j); and</w:t>
      </w:r>
    </w:p>
    <w:p>
      <w:pPr>
        <w:spacing w:after="0" w:line="179" w:lineRule="exact"/>
        <w:rPr>
          <w:rFonts w:ascii="Arial" w:cs="Arial" w:eastAsia="Arial" w:hAnsi="Arial"/>
          <w:sz w:val="19"/>
          <w:szCs w:val="19"/>
          <w:color w:val="010000"/>
        </w:rPr>
      </w:pPr>
    </w:p>
    <w:p>
      <w:pPr>
        <w:ind w:firstLine="1278"/>
        <w:spacing w:after="0" w:line="237" w:lineRule="auto"/>
        <w:tabs>
          <w:tab w:leader="none" w:pos="1896" w:val="left"/>
        </w:tabs>
        <w:numPr>
          <w:ilvl w:val="0"/>
          <w:numId w:val="140"/>
        </w:numPr>
        <w:rPr>
          <w:rFonts w:ascii="Arial" w:cs="Arial" w:eastAsia="Arial" w:hAnsi="Arial"/>
          <w:sz w:val="19"/>
          <w:szCs w:val="19"/>
          <w:color w:val="010000"/>
        </w:rPr>
      </w:pPr>
      <w:r>
        <w:rPr>
          <w:rFonts w:ascii="Arial" w:cs="Arial" w:eastAsia="Arial" w:hAnsi="Arial"/>
          <w:sz w:val="19"/>
          <w:szCs w:val="19"/>
          <w:color w:val="auto"/>
        </w:rPr>
        <w:t>exercise on behalf of itself, the Lenders and the Issuing Bank all rights and remedies available to it, the Lenders and the Issuing Bank under the Loan Documents and applicable law.</w:t>
      </w:r>
    </w:p>
    <w:p>
      <w:pPr>
        <w:spacing w:after="0" w:line="151" w:lineRule="exact"/>
        <w:rPr>
          <w:sz w:val="20"/>
          <w:szCs w:val="20"/>
          <w:color w:val="auto"/>
        </w:rPr>
      </w:pPr>
    </w:p>
    <w:p>
      <w:pPr>
        <w:jc w:val="both"/>
        <w:ind w:firstLine="1272"/>
        <w:spacing w:after="0" w:line="259" w:lineRule="auto"/>
        <w:rPr>
          <w:sz w:val="20"/>
          <w:szCs w:val="20"/>
          <w:color w:val="auto"/>
        </w:rPr>
      </w:pPr>
      <w:r>
        <w:rPr>
          <w:rFonts w:ascii="Arial" w:cs="Arial" w:eastAsia="Arial" w:hAnsi="Arial"/>
          <w:sz w:val="17"/>
          <w:szCs w:val="17"/>
          <w:color w:val="auto"/>
        </w:rPr>
        <w:t>If an Event of Default described in Section 7.01(h) or 7.01(i) occurs with respect to the Borrower, the Commitments shall automatically terminate and the principal of the Loans then outstanding and cash collateral for the LC Exposure, together with accrued interest thereon and all fees and other Secured Obligations accrued hereunder and under any other Loan Document, shall automatically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ectPr>
          <w:pgSz w:w="11900" w:h="16838" w:orient="portrait"/>
          <w:cols w:equalWidth="0" w:num="1">
            <w:col w:w="11240"/>
          </w:cols>
          <w:pgMar w:left="320" w:top="1381" w:right="339" w:bottom="1440" w:gutter="0" w:footer="0" w:header="0"/>
        </w:sectPr>
      </w:pPr>
    </w:p>
    <w:bookmarkStart w:id="117" w:name="page118"/>
    <w:bookmarkEnd w:id="117"/>
    <w:p>
      <w:pPr>
        <w:jc w:val="both"/>
        <w:spacing w:after="0" w:line="226" w:lineRule="auto"/>
        <w:rPr>
          <w:sz w:val="20"/>
          <w:szCs w:val="20"/>
          <w:color w:val="auto"/>
        </w:rPr>
      </w:pPr>
      <w:r>
        <w:rPr>
          <w:rFonts w:ascii="Arial" w:cs="Arial" w:eastAsia="Arial" w:hAnsi="Arial"/>
          <w:sz w:val="19"/>
          <w:szCs w:val="19"/>
          <w:color w:val="auto"/>
        </w:rPr>
        <w:t>due and payable, and the obligation of the Borrower to cash collateralize the LC Exposure as provided in clause (c) above shall automatically become effective, in each case, without presentment, demand, protest or other notice of any kind, all of which are hereby waived by the Borrower.</w:t>
      </w:r>
    </w:p>
    <w:p>
      <w:pPr>
        <w:spacing w:after="0" w:line="151"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8"/>
          <w:szCs w:val="18"/>
          <w:color w:val="auto"/>
        </w:rPr>
        <w:t xml:space="preserve">In addition to any other rights and remedies granted to the Administrative Agent and the Lenders in the Loan Documents, the Administrative Agent on behalf of the Lenders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Secured Parties,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Subsidiaries. The Borrower further agrees on behalf of itself and its Subsidiaries, at the Administrative Agent’s request, to assemble the Collateral and make it available to the Administrative Agent at places which the Administrative Agent shall reasonably select, whether at the premises of the Borrower, another Loan Party or elsewhere. The Administrative Agent shall apply the net proceeds of any action taken by it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Secured Obligations, in such order as set forth in Section 7.03, and only after such application and after the payment by the Administrative Agent of any other amount required by any provision of law, including Section 9-615(a)(3) of the New York Uniform Commercial Code, need the Administrative Agent account for the surplus, if any, to any Loan Party. To the extent permitted by applicable law, the Borrower on behalf of itself and its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169" w:lineRule="exact"/>
        <w:rPr>
          <w:sz w:val="20"/>
          <w:szCs w:val="20"/>
          <w:color w:val="auto"/>
        </w:rPr>
      </w:pPr>
    </w:p>
    <w:p>
      <w:pPr>
        <w:jc w:val="both"/>
        <w:ind w:firstLine="1272"/>
        <w:spacing w:after="0" w:line="261" w:lineRule="auto"/>
        <w:rPr>
          <w:sz w:val="20"/>
          <w:szCs w:val="20"/>
          <w:color w:val="auto"/>
        </w:rPr>
      </w:pPr>
      <w:r>
        <w:rPr>
          <w:rFonts w:ascii="Arial" w:cs="Arial" w:eastAsia="Arial" w:hAnsi="Arial"/>
          <w:sz w:val="18"/>
          <w:szCs w:val="18"/>
          <w:color w:val="010000"/>
        </w:rPr>
        <w:t>SECTION 1.03.</w:t>
      </w:r>
      <w:r>
        <w:rPr>
          <w:rFonts w:ascii="Arial" w:cs="Arial" w:eastAsia="Arial" w:hAnsi="Arial"/>
          <w:sz w:val="18"/>
          <w:szCs w:val="18"/>
          <w:u w:val="single" w:color="auto"/>
          <w:color w:val="000000"/>
        </w:rPr>
        <w:t>Application of Payments</w:t>
      </w:r>
      <w:r>
        <w:rPr>
          <w:rFonts w:ascii="Arial" w:cs="Arial" w:eastAsia="Arial" w:hAnsi="Arial"/>
          <w:sz w:val="18"/>
          <w:szCs w:val="18"/>
          <w:color w:val="000000"/>
        </w:rPr>
        <w:t>. Notwithstanding anything herein to the contrary, following the occurrence and during</w:t>
      </w:r>
      <w:r>
        <w:rPr>
          <w:rFonts w:ascii="Arial" w:cs="Arial" w:eastAsia="Arial" w:hAnsi="Arial"/>
          <w:sz w:val="18"/>
          <w:szCs w:val="18"/>
          <w:color w:val="010000"/>
        </w:rPr>
        <w:t xml:space="preserve"> </w:t>
      </w:r>
      <w:r>
        <w:rPr>
          <w:rFonts w:ascii="Arial" w:cs="Arial" w:eastAsia="Arial" w:hAnsi="Arial"/>
          <w:sz w:val="18"/>
          <w:szCs w:val="18"/>
          <w:color w:val="000000"/>
        </w:rPr>
        <w:t>the continuance of an Event of Default, and notice thereof to the Administrative Agent by the Borrower or the Required Lenders:</w:t>
      </w:r>
    </w:p>
    <w:p>
      <w:pPr>
        <w:spacing w:after="0" w:line="133" w:lineRule="exact"/>
        <w:rPr>
          <w:sz w:val="20"/>
          <w:szCs w:val="20"/>
          <w:color w:val="auto"/>
        </w:rPr>
      </w:pPr>
    </w:p>
    <w:p>
      <w:pPr>
        <w:ind w:firstLine="1278"/>
        <w:spacing w:after="0" w:line="237" w:lineRule="auto"/>
        <w:tabs>
          <w:tab w:leader="none" w:pos="1898" w:val="left"/>
        </w:tabs>
        <w:numPr>
          <w:ilvl w:val="0"/>
          <w:numId w:val="141"/>
        </w:numPr>
        <w:rPr>
          <w:rFonts w:ascii="Arial" w:cs="Arial" w:eastAsia="Arial" w:hAnsi="Arial"/>
          <w:sz w:val="19"/>
          <w:szCs w:val="19"/>
          <w:color w:val="010000"/>
        </w:rPr>
      </w:pPr>
      <w:r>
        <w:rPr>
          <w:rFonts w:ascii="Arial" w:cs="Arial" w:eastAsia="Arial" w:hAnsi="Arial"/>
          <w:sz w:val="19"/>
          <w:szCs w:val="19"/>
          <w:color w:val="auto"/>
        </w:rPr>
        <w:t>all payments received on account of the Secured Obligations shall, subject to Section 2.21, be applied by the Administrative Agent as follows:</w:t>
      </w:r>
    </w:p>
    <w:p>
      <w:pPr>
        <w:spacing w:after="0" w:line="151" w:lineRule="exact"/>
        <w:rPr>
          <w:sz w:val="20"/>
          <w:szCs w:val="20"/>
          <w:color w:val="auto"/>
        </w:rPr>
      </w:pPr>
    </w:p>
    <w:p>
      <w:pPr>
        <w:jc w:val="both"/>
        <w:ind w:left="640" w:firstLine="638"/>
        <w:spacing w:after="0" w:line="259" w:lineRule="auto"/>
        <w:tabs>
          <w:tab w:leader="none" w:pos="1910" w:val="left"/>
        </w:tabs>
        <w:numPr>
          <w:ilvl w:val="0"/>
          <w:numId w:val="142"/>
        </w:numPr>
        <w:rPr>
          <w:rFonts w:ascii="Arial" w:cs="Arial" w:eastAsia="Arial" w:hAnsi="Arial"/>
          <w:sz w:val="17"/>
          <w:szCs w:val="17"/>
          <w:color w:val="010000"/>
        </w:rPr>
      </w:pPr>
      <w:r>
        <w:rPr>
          <w:rFonts w:ascii="Arial" w:cs="Arial" w:eastAsia="Arial" w:hAnsi="Arial"/>
          <w:sz w:val="17"/>
          <w:szCs w:val="17"/>
          <w:u w:val="single" w:color="auto"/>
          <w:color w:val="auto"/>
        </w:rPr>
        <w:t>first</w:t>
      </w:r>
      <w:r>
        <w:rPr>
          <w:rFonts w:ascii="Arial" w:cs="Arial" w:eastAsia="Arial" w:hAnsi="Arial"/>
          <w:sz w:val="17"/>
          <w:szCs w:val="17"/>
          <w:color w:val="auto"/>
        </w:rPr>
        <w:t>, to payment of that portion of the Secured Obligations constituting fees, indemnities, expenses and other amounts payable to the Administrative Agent (including fees and disbursements and other charges of counsel to the Administrative Agent payable under Section 9.03 and amounts pursuant to Section 2.12(c) payable to the Administrative Agent in its capacity as such);</w:t>
      </w:r>
    </w:p>
    <w:p>
      <w:pPr>
        <w:spacing w:after="0" w:line="135" w:lineRule="exact"/>
        <w:rPr>
          <w:rFonts w:ascii="Arial" w:cs="Arial" w:eastAsia="Arial" w:hAnsi="Arial"/>
          <w:sz w:val="17"/>
          <w:szCs w:val="17"/>
          <w:color w:val="010000"/>
        </w:rPr>
      </w:pPr>
    </w:p>
    <w:p>
      <w:pPr>
        <w:jc w:val="both"/>
        <w:ind w:left="640" w:firstLine="638"/>
        <w:spacing w:after="0" w:line="220" w:lineRule="auto"/>
        <w:tabs>
          <w:tab w:leader="none" w:pos="1911" w:val="left"/>
        </w:tabs>
        <w:numPr>
          <w:ilvl w:val="0"/>
          <w:numId w:val="142"/>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to payment of that portion of the Secured Obligations constituting fees, expenses, indemnities and other amounts (other than principal, reimbursement obligations in respect of LC Disbursements, interest and Letter of Credit fees) payable to the Lenders, the Issuing Bank and the other Secured Parties (including fees and disbursements and other charges of counsel to the Lenders and the Issuing Bank payable under Section 9.03) arising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ectPr>
          <w:pgSz w:w="11900" w:h="16838" w:orient="portrait"/>
          <w:cols w:equalWidth="0" w:num="1">
            <w:col w:w="11240"/>
          </w:cols>
          <w:pgMar w:left="320" w:top="1381" w:right="339" w:bottom="1440" w:gutter="0" w:footer="0" w:header="0"/>
        </w:sectPr>
      </w:pPr>
    </w:p>
    <w:bookmarkStart w:id="118" w:name="page119"/>
    <w:bookmarkEnd w:id="118"/>
    <w:p>
      <w:pPr>
        <w:ind w:left="640"/>
        <w:spacing w:after="0"/>
        <w:rPr>
          <w:sz w:val="20"/>
          <w:szCs w:val="20"/>
          <w:color w:val="auto"/>
        </w:rPr>
      </w:pPr>
      <w:r>
        <w:rPr>
          <w:rFonts w:ascii="Arial" w:cs="Arial" w:eastAsia="Arial" w:hAnsi="Arial"/>
          <w:sz w:val="19"/>
          <w:szCs w:val="19"/>
          <w:color w:val="auto"/>
        </w:rPr>
        <w:t>Loan Documents, ratably among them in proportion to the respective amounts described in this clause (ii) payable to them;</w:t>
      </w:r>
    </w:p>
    <w:p>
      <w:pPr>
        <w:spacing w:after="0" w:line="179" w:lineRule="exact"/>
        <w:rPr>
          <w:sz w:val="20"/>
          <w:szCs w:val="20"/>
          <w:color w:val="auto"/>
        </w:rPr>
      </w:pPr>
    </w:p>
    <w:p>
      <w:pPr>
        <w:jc w:val="both"/>
        <w:ind w:left="640" w:firstLine="638"/>
        <w:spacing w:after="0" w:line="226" w:lineRule="auto"/>
        <w:tabs>
          <w:tab w:leader="none" w:pos="1912" w:val="left"/>
        </w:tabs>
        <w:numPr>
          <w:ilvl w:val="0"/>
          <w:numId w:val="143"/>
        </w:numPr>
        <w:rPr>
          <w:rFonts w:ascii="Arial" w:cs="Arial" w:eastAsia="Arial" w:hAnsi="Arial"/>
          <w:sz w:val="19"/>
          <w:szCs w:val="19"/>
          <w:color w:val="010000"/>
        </w:rPr>
      </w:pPr>
      <w:r>
        <w:rPr>
          <w:rFonts w:ascii="Arial" w:cs="Arial" w:eastAsia="Arial" w:hAnsi="Arial"/>
          <w:sz w:val="19"/>
          <w:szCs w:val="19"/>
          <w:u w:val="single" w:color="auto"/>
          <w:color w:val="auto"/>
        </w:rPr>
        <w:t>third</w:t>
      </w:r>
      <w:r>
        <w:rPr>
          <w:rFonts w:ascii="Arial" w:cs="Arial" w:eastAsia="Arial" w:hAnsi="Arial"/>
          <w:sz w:val="19"/>
          <w:szCs w:val="19"/>
          <w:color w:val="auto"/>
        </w:rPr>
        <w:t>, to payment of that portion of the Secured Obligations constituting accrued and unpaid Letter of Credit fees and charges and interest on the Loans and unreimbursed LC Disbursements, ratably among the Lenders and the Issuing Bank in proportion to the respective amounts described in this clause (iii) payable to them;</w:t>
      </w:r>
    </w:p>
    <w:p>
      <w:pPr>
        <w:spacing w:after="0" w:line="151" w:lineRule="exact"/>
        <w:rPr>
          <w:rFonts w:ascii="Arial" w:cs="Arial" w:eastAsia="Arial" w:hAnsi="Arial"/>
          <w:sz w:val="19"/>
          <w:szCs w:val="19"/>
          <w:color w:val="010000"/>
        </w:rPr>
      </w:pPr>
    </w:p>
    <w:p>
      <w:pPr>
        <w:jc w:val="both"/>
        <w:ind w:left="640" w:firstLine="638"/>
        <w:spacing w:after="0" w:line="235" w:lineRule="auto"/>
        <w:tabs>
          <w:tab w:leader="none" w:pos="1901" w:val="left"/>
        </w:tabs>
        <w:numPr>
          <w:ilvl w:val="0"/>
          <w:numId w:val="143"/>
        </w:numPr>
        <w:rPr>
          <w:rFonts w:ascii="Arial" w:cs="Arial" w:eastAsia="Arial" w:hAnsi="Arial"/>
          <w:sz w:val="17"/>
          <w:szCs w:val="17"/>
          <w:color w:val="010000"/>
        </w:rPr>
      </w:pPr>
      <w:r>
        <w:rPr>
          <w:rFonts w:ascii="Arial" w:cs="Arial" w:eastAsia="Arial" w:hAnsi="Arial"/>
          <w:sz w:val="17"/>
          <w:szCs w:val="17"/>
          <w:u w:val="single" w:color="auto"/>
          <w:color w:val="auto"/>
        </w:rPr>
        <w:t>fourth</w:t>
      </w:r>
      <w:r>
        <w:rPr>
          <w:rFonts w:ascii="Arial" w:cs="Arial" w:eastAsia="Arial" w:hAnsi="Arial"/>
          <w:sz w:val="17"/>
          <w:szCs w:val="17"/>
          <w:color w:val="auto"/>
        </w:rPr>
        <w:t xml:space="preserve">, (A) to payment of that portion of the Secured Obligations constituting unpaid principal of the Loans and unreimbursed LC Disbursements, (B) to cash collateralize that portion of LC Exposure comprising the undrawn amount of Letters of Credit to the extent not otherwise cash collateralized by the Borrower pursuant to Section 2.06 or 2.21;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any such amounts applied pursuant to subclause (B) above shall be paid to the Administrative Agent for the account of the Issuing Bank to cash collateralize Secured Obligations in respect of Letters of Credit, (y) subject to Section 2.06 or 2.21, amounts used to cash collateralize the aggregate amount of Letters of Credit pursuant to this clause (iv) shall be used to satisfy drawings under such Letters of Credit as they occur and (z) upon the expiration of any Letter of Credit (without any pending drawings), the pro rata share of cash collateral shall be distributed to the other Secured Obligations, if any, in the order set forth in this Section 7.03 and (C) to any other amounts owing with respect to Banking Services Obligations and Swap Obligations, in each case, ratably among the Lenders and the Issuing Bank and any other applicable Secured Parties in proportion to the respective amounts described in this clause (iv) payable to them;</w:t>
      </w:r>
    </w:p>
    <w:p>
      <w:pPr>
        <w:spacing w:after="0" w:line="152" w:lineRule="exact"/>
        <w:rPr>
          <w:rFonts w:ascii="Arial" w:cs="Arial" w:eastAsia="Arial" w:hAnsi="Arial"/>
          <w:sz w:val="17"/>
          <w:szCs w:val="17"/>
          <w:color w:val="010000"/>
        </w:rPr>
      </w:pPr>
    </w:p>
    <w:p>
      <w:pPr>
        <w:jc w:val="both"/>
        <w:ind w:left="640" w:firstLine="638"/>
        <w:spacing w:after="0" w:line="226" w:lineRule="auto"/>
        <w:tabs>
          <w:tab w:leader="none" w:pos="1900" w:val="left"/>
        </w:tabs>
        <w:numPr>
          <w:ilvl w:val="0"/>
          <w:numId w:val="143"/>
        </w:numPr>
        <w:rPr>
          <w:rFonts w:ascii="Arial" w:cs="Arial" w:eastAsia="Arial" w:hAnsi="Arial"/>
          <w:sz w:val="19"/>
          <w:szCs w:val="19"/>
          <w:color w:val="010000"/>
        </w:rPr>
      </w:pPr>
      <w:r>
        <w:rPr>
          <w:rFonts w:ascii="Arial" w:cs="Arial" w:eastAsia="Arial" w:hAnsi="Arial"/>
          <w:sz w:val="19"/>
          <w:szCs w:val="19"/>
          <w:u w:val="single" w:color="auto"/>
          <w:color w:val="auto"/>
        </w:rPr>
        <w:t>fifth</w:t>
      </w:r>
      <w:r>
        <w:rPr>
          <w:rFonts w:ascii="Arial" w:cs="Arial" w:eastAsia="Arial" w:hAnsi="Arial"/>
          <w:sz w:val="19"/>
          <w:szCs w:val="19"/>
          <w:color w:val="auto"/>
        </w:rPr>
        <w:t>, to the payment in full of all other Secured Obligations, in each case ratably among the Administrative Agent, the Lenders, the Issuing Bank and the other Secured Parties based upon the respective aggregate amounts of all such Secured Obligations owing to them in accordance with the respective amounts thereof then due and payable; and</w:t>
      </w:r>
    </w:p>
    <w:p>
      <w:pPr>
        <w:spacing w:after="0" w:line="151" w:lineRule="exact"/>
        <w:rPr>
          <w:rFonts w:ascii="Arial" w:cs="Arial" w:eastAsia="Arial" w:hAnsi="Arial"/>
          <w:sz w:val="19"/>
          <w:szCs w:val="19"/>
          <w:color w:val="010000"/>
        </w:rPr>
      </w:pPr>
    </w:p>
    <w:p>
      <w:pPr>
        <w:ind w:left="640" w:firstLine="638"/>
        <w:spacing w:after="0" w:line="237" w:lineRule="auto"/>
        <w:tabs>
          <w:tab w:leader="none" w:pos="1901" w:val="left"/>
        </w:tabs>
        <w:numPr>
          <w:ilvl w:val="0"/>
          <w:numId w:val="143"/>
        </w:numPr>
        <w:rPr>
          <w:rFonts w:ascii="Arial" w:cs="Arial" w:eastAsia="Arial" w:hAnsi="Arial"/>
          <w:sz w:val="19"/>
          <w:szCs w:val="19"/>
          <w:color w:val="010000"/>
        </w:rPr>
      </w:pPr>
      <w:r>
        <w:rPr>
          <w:rFonts w:ascii="Arial" w:cs="Arial" w:eastAsia="Arial" w:hAnsi="Arial"/>
          <w:sz w:val="19"/>
          <w:szCs w:val="19"/>
          <w:u w:val="single" w:color="auto"/>
          <w:color w:val="auto"/>
        </w:rPr>
        <w:t>finally</w:t>
      </w:r>
      <w:r>
        <w:rPr>
          <w:rFonts w:ascii="Arial" w:cs="Arial" w:eastAsia="Arial" w:hAnsi="Arial"/>
          <w:sz w:val="19"/>
          <w:szCs w:val="19"/>
          <w:color w:val="auto"/>
        </w:rPr>
        <w:t>, the balance, if any, after all Secured Obligations have been indefeasibly paid in full, to the Borrower or as otherwise required by law; and</w:t>
      </w:r>
    </w:p>
    <w:p>
      <w:pPr>
        <w:spacing w:after="0" w:line="151" w:lineRule="exact"/>
        <w:rPr>
          <w:sz w:val="20"/>
          <w:szCs w:val="20"/>
          <w:color w:val="auto"/>
        </w:rPr>
      </w:pPr>
    </w:p>
    <w:p>
      <w:pPr>
        <w:ind w:firstLine="1278"/>
        <w:spacing w:after="0" w:line="261" w:lineRule="auto"/>
        <w:tabs>
          <w:tab w:leader="none" w:pos="1896"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if any amount remains on deposit as cash collateral after all Letters of Credit have either been fully drawn or expired (without any pending drawings), such remaining amount shall be applied to the other Secured Obligations, if any, in the order set forth above.</w:t>
      </w:r>
    </w:p>
    <w:p>
      <w:pPr>
        <w:spacing w:after="0" w:line="265" w:lineRule="exact"/>
        <w:rPr>
          <w:sz w:val="20"/>
          <w:szCs w:val="20"/>
          <w:color w:val="auto"/>
        </w:rPr>
      </w:pPr>
    </w:p>
    <w:p>
      <w:pPr>
        <w:jc w:val="center"/>
        <w:ind w:right="340"/>
        <w:spacing w:after="0"/>
        <w:rPr>
          <w:sz w:val="20"/>
          <w:szCs w:val="20"/>
          <w:color w:val="auto"/>
        </w:rPr>
      </w:pPr>
      <w:r>
        <w:rPr>
          <w:rFonts w:ascii="Arial" w:cs="Arial" w:eastAsia="Arial" w:hAnsi="Arial"/>
          <w:sz w:val="19"/>
          <w:szCs w:val="19"/>
          <w:color w:val="010000"/>
        </w:rPr>
        <w:t>Article VIII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The Administrative Agent</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1.01.</w:t>
      </w:r>
      <w:r>
        <w:rPr>
          <w:rFonts w:ascii="Arial" w:cs="Arial" w:eastAsia="Arial" w:hAnsi="Arial"/>
          <w:sz w:val="19"/>
          <w:szCs w:val="19"/>
          <w:u w:val="single" w:color="auto"/>
          <w:color w:val="000000"/>
        </w:rPr>
        <w:t>Authorization and Action</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34" w:lineRule="auto"/>
        <w:tabs>
          <w:tab w:leader="none" w:pos="1898" w:val="left"/>
        </w:tabs>
        <w:numPr>
          <w:ilvl w:val="0"/>
          <w:numId w:val="145"/>
        </w:numPr>
        <w:rPr>
          <w:rFonts w:ascii="Arial" w:cs="Arial" w:eastAsia="Arial" w:hAnsi="Arial"/>
          <w:sz w:val="17"/>
          <w:szCs w:val="17"/>
          <w:color w:val="010000"/>
        </w:rPr>
      </w:pPr>
      <w:r>
        <w:rPr>
          <w:rFonts w:ascii="Arial" w:cs="Arial" w:eastAsia="Arial" w:hAnsi="Arial"/>
          <w:sz w:val="17"/>
          <w:szCs w:val="17"/>
          <w:color w:val="auto"/>
        </w:rPr>
        <w:t>Each Lender and the Issuing Bank hereby irrevocably appoints the entity named as Administrative Agent in the heading of this Agreement and its successors and assigns to serve as the administrative agent and collateral agent under the Loan Documents and each Lender and the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Further, each of the Lenders and the Issuing Bank, on behalf of itself and any of its Affiliates that are Secured Parties, hereby irrevocably empower and authorize JPMorgan Chase Bank, N.A. (in its capacity as Administrative Agent) to execute and deliver the Collateral Documents and all related documents or instruments as shall be necessary or appropriate to effect the purposes of the Collateral Documents. In addition, to the extent required under the laws of any jurisdiction other than within the United States, each Lender and the Issuing Bank hereby grants to the Administrative Agent any required powers of attorney to execute and enforce any Collateral Document governed by the laws of such jurisdiction on such Lender’s or the Issuing Bank’s behalf. Without limiting the foregoing, each Lender and the Issuing Bank hereby authorizes the Administrative Agent to execute and deliver, and to perform its obligations under,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ectPr>
          <w:pgSz w:w="11900" w:h="16838" w:orient="portrait"/>
          <w:cols w:equalWidth="0" w:num="1">
            <w:col w:w="11240"/>
          </w:cols>
          <w:pgMar w:left="320" w:top="1381" w:right="339" w:bottom="1440" w:gutter="0" w:footer="0" w:header="0"/>
        </w:sectPr>
      </w:pPr>
    </w:p>
    <w:bookmarkStart w:id="119" w:name="page120"/>
    <w:bookmarkEnd w:id="119"/>
    <w:p>
      <w:pPr>
        <w:spacing w:after="0" w:line="237" w:lineRule="auto"/>
        <w:rPr>
          <w:sz w:val="20"/>
          <w:szCs w:val="20"/>
          <w:color w:val="auto"/>
        </w:rPr>
      </w:pPr>
      <w:r>
        <w:rPr>
          <w:rFonts w:ascii="Arial" w:cs="Arial" w:eastAsia="Arial" w:hAnsi="Arial"/>
          <w:sz w:val="19"/>
          <w:szCs w:val="19"/>
          <w:color w:val="auto"/>
        </w:rPr>
        <w:t>the Loan Documents to which the Administrative Agent is a party, and to exercise all rights, powers and remedies that the Administrative Agent may have under such Loan Documents.</w:t>
      </w:r>
    </w:p>
    <w:p>
      <w:pPr>
        <w:spacing w:after="0" w:line="151" w:lineRule="exact"/>
        <w:rPr>
          <w:sz w:val="20"/>
          <w:szCs w:val="20"/>
          <w:color w:val="auto"/>
        </w:rPr>
      </w:pPr>
    </w:p>
    <w:p>
      <w:pPr>
        <w:jc w:val="both"/>
        <w:ind w:firstLine="1278"/>
        <w:spacing w:after="0" w:line="230" w:lineRule="auto"/>
        <w:tabs>
          <w:tab w:leader="none" w:pos="1896" w:val="left"/>
        </w:tabs>
        <w:numPr>
          <w:ilvl w:val="1"/>
          <w:numId w:val="146"/>
        </w:numPr>
        <w:rPr>
          <w:rFonts w:ascii="Arial" w:cs="Arial" w:eastAsia="Arial" w:hAnsi="Arial"/>
          <w:sz w:val="17"/>
          <w:szCs w:val="17"/>
          <w:color w:val="010000"/>
        </w:rPr>
      </w:pPr>
      <w:r>
        <w:rPr>
          <w:rFonts w:ascii="Arial" w:cs="Arial" w:eastAsia="Arial" w:hAnsi="Arial"/>
          <w:sz w:val="17"/>
          <w:szCs w:val="17"/>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the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 with respect to such action or</w:t>
      </w:r>
    </w:p>
    <w:p>
      <w:pPr>
        <w:spacing w:after="0" w:line="3" w:lineRule="exact"/>
        <w:rPr>
          <w:rFonts w:ascii="Arial" w:cs="Arial" w:eastAsia="Arial" w:hAnsi="Arial"/>
          <w:sz w:val="17"/>
          <w:szCs w:val="17"/>
          <w:color w:val="010000"/>
        </w:rPr>
      </w:pPr>
    </w:p>
    <w:p>
      <w:pPr>
        <w:jc w:val="both"/>
        <w:ind w:firstLine="6"/>
        <w:spacing w:after="0" w:line="219" w:lineRule="auto"/>
        <w:tabs>
          <w:tab w:leader="none" w:pos="29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58" w:lineRule="exact"/>
        <w:rPr>
          <w:rFonts w:ascii="Arial" w:cs="Arial" w:eastAsia="Arial" w:hAnsi="Arial"/>
          <w:sz w:val="18"/>
          <w:szCs w:val="18"/>
          <w:color w:val="auto"/>
        </w:rPr>
      </w:pPr>
    </w:p>
    <w:p>
      <w:pPr>
        <w:jc w:val="both"/>
        <w:ind w:firstLine="1278"/>
        <w:spacing w:after="0" w:line="220" w:lineRule="auto"/>
        <w:tabs>
          <w:tab w:leader="none" w:pos="1898" w:val="left"/>
        </w:tabs>
        <w:numPr>
          <w:ilvl w:val="1"/>
          <w:numId w:val="147"/>
        </w:numPr>
        <w:rPr>
          <w:rFonts w:ascii="Arial" w:cs="Arial" w:eastAsia="Arial" w:hAnsi="Arial"/>
          <w:sz w:val="19"/>
          <w:szCs w:val="19"/>
          <w:color w:val="010000"/>
        </w:rPr>
      </w:pPr>
      <w:r>
        <w:rPr>
          <w:rFonts w:ascii="Arial" w:cs="Arial" w:eastAsia="Arial" w:hAnsi="Arial"/>
          <w:sz w:val="19"/>
          <w:szCs w:val="19"/>
          <w:color w:val="auto"/>
        </w:rPr>
        <w:t>In performing its functions and duties hereunder and under the other Loan Documents, the Administrative Agent is acting solely on behalf of the Lenders and the Issuing Bank (except in limited circumstances expressly provided for herein relating to the maintenance of the Register), and its duties are entirely mechanical and administrative in nature. Without limiting the generality of the foregoing:</w:t>
      </w:r>
    </w:p>
    <w:p>
      <w:pPr>
        <w:spacing w:after="0" w:line="152" w:lineRule="exact"/>
        <w:rPr>
          <w:rFonts w:ascii="Arial" w:cs="Arial" w:eastAsia="Arial" w:hAnsi="Arial"/>
          <w:sz w:val="19"/>
          <w:szCs w:val="19"/>
          <w:color w:val="010000"/>
        </w:rPr>
      </w:pPr>
    </w:p>
    <w:p>
      <w:pPr>
        <w:jc w:val="both"/>
        <w:ind w:left="640" w:firstLine="1274"/>
        <w:spacing w:after="0" w:line="223" w:lineRule="auto"/>
        <w:tabs>
          <w:tab w:leader="none" w:pos="2546" w:val="left"/>
        </w:tabs>
        <w:numPr>
          <w:ilvl w:val="2"/>
          <w:numId w:val="147"/>
        </w:numPr>
        <w:rPr>
          <w:rFonts w:ascii="Arial" w:cs="Arial" w:eastAsia="Arial" w:hAnsi="Arial"/>
          <w:sz w:val="18"/>
          <w:szCs w:val="18"/>
          <w:color w:val="010000"/>
        </w:rPr>
      </w:pPr>
      <w:r>
        <w:rPr>
          <w:rFonts w:ascii="Arial" w:cs="Arial" w:eastAsia="Arial" w:hAnsi="Arial"/>
          <w:sz w:val="18"/>
          <w:szCs w:val="18"/>
          <w:color w:val="auto"/>
        </w:rPr>
        <w:t>the Administrative Agent does not assume and shall not be deemed to have assumed any obligation or duty or any other relationship as the agent, fiduciary or trustee of or for any Lender, the Issuing Bank or any other Secured Party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w:t>
      </w:r>
    </w:p>
    <w:p>
      <w:pPr>
        <w:spacing w:after="0" w:line="150" w:lineRule="exact"/>
        <w:rPr>
          <w:rFonts w:ascii="Arial" w:cs="Arial" w:eastAsia="Arial" w:hAnsi="Arial"/>
          <w:sz w:val="18"/>
          <w:szCs w:val="18"/>
          <w:color w:val="010000"/>
        </w:rPr>
      </w:pPr>
    </w:p>
    <w:p>
      <w:pPr>
        <w:jc w:val="both"/>
        <w:ind w:left="640" w:firstLine="1274"/>
        <w:spacing w:after="0" w:line="217" w:lineRule="auto"/>
        <w:tabs>
          <w:tab w:leader="none" w:pos="2547" w:val="left"/>
        </w:tabs>
        <w:numPr>
          <w:ilvl w:val="2"/>
          <w:numId w:val="147"/>
        </w:numPr>
        <w:rPr>
          <w:rFonts w:ascii="Arial" w:cs="Arial" w:eastAsia="Arial" w:hAnsi="Arial"/>
          <w:sz w:val="19"/>
          <w:szCs w:val="19"/>
          <w:color w:val="010000"/>
        </w:rPr>
      </w:pPr>
      <w:r>
        <w:rPr>
          <w:rFonts w:ascii="Arial" w:cs="Arial" w:eastAsia="Arial" w:hAnsi="Arial"/>
          <w:sz w:val="19"/>
          <w:szCs w:val="19"/>
          <w:color w:val="auto"/>
        </w:rPr>
        <w:t>where the Administrative Agent is required or deemed to act as a trustee in respect of any Collateral over which a security interest has been created pursuant to a Loan Document expressed to be governed by the laws of any jurisdiction other than the United States of America, or is required or deemed to hold any Collateral “on trust” pursuant to the foregoing, the obligations and liabilities of the Administrative Agent to the Secured Parties in its capacity as trustee shall be excluded to the fullest extent permitted by applicable law; and</w:t>
      </w:r>
    </w:p>
    <w:p>
      <w:pPr>
        <w:spacing w:after="0" w:line="151" w:lineRule="exact"/>
        <w:rPr>
          <w:rFonts w:ascii="Arial" w:cs="Arial" w:eastAsia="Arial" w:hAnsi="Arial"/>
          <w:sz w:val="19"/>
          <w:szCs w:val="19"/>
          <w:color w:val="010000"/>
        </w:rPr>
      </w:pPr>
    </w:p>
    <w:p>
      <w:pPr>
        <w:ind w:left="640" w:firstLine="1274"/>
        <w:spacing w:after="0" w:line="237" w:lineRule="auto"/>
        <w:tabs>
          <w:tab w:leader="none" w:pos="2548" w:val="left"/>
        </w:tabs>
        <w:numPr>
          <w:ilvl w:val="2"/>
          <w:numId w:val="147"/>
        </w:numPr>
        <w:rPr>
          <w:rFonts w:ascii="Arial" w:cs="Arial" w:eastAsia="Arial" w:hAnsi="Arial"/>
          <w:sz w:val="19"/>
          <w:szCs w:val="19"/>
          <w:color w:val="010000"/>
        </w:rPr>
      </w:pPr>
      <w:r>
        <w:rPr>
          <w:rFonts w:ascii="Arial" w:cs="Arial" w:eastAsia="Arial" w:hAnsi="Arial"/>
          <w:sz w:val="19"/>
          <w:szCs w:val="19"/>
          <w:color w:val="auto"/>
        </w:rPr>
        <w:t>nothing in this Agreement or any Loan Document shall require the Administrative Agent to account to any Lender for any sum or the profit element of any sum received by the Administrative Agent for its own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ectPr>
          <w:pgSz w:w="11900" w:h="16838" w:orient="portrait"/>
          <w:cols w:equalWidth="0" w:num="1">
            <w:col w:w="11240"/>
          </w:cols>
          <w:pgMar w:left="320" w:top="1381" w:right="339" w:bottom="1440" w:gutter="0" w:footer="0" w:header="0"/>
        </w:sectPr>
      </w:pPr>
    </w:p>
    <w:bookmarkStart w:id="120" w:name="page121"/>
    <w:bookmarkEnd w:id="120"/>
    <w:p>
      <w:pPr>
        <w:jc w:val="both"/>
        <w:ind w:firstLine="1278"/>
        <w:spacing w:after="0" w:line="238" w:lineRule="auto"/>
        <w:tabs>
          <w:tab w:leader="none" w:pos="1896" w:val="left"/>
        </w:tabs>
        <w:numPr>
          <w:ilvl w:val="0"/>
          <w:numId w:val="148"/>
        </w:numPr>
        <w:rPr>
          <w:rFonts w:ascii="Arial" w:cs="Arial" w:eastAsia="Arial" w:hAnsi="Arial"/>
          <w:sz w:val="17"/>
          <w:szCs w:val="17"/>
          <w:color w:val="010000"/>
        </w:rPr>
      </w:pPr>
      <w:r>
        <w:rPr>
          <w:rFonts w:ascii="Arial" w:cs="Arial" w:eastAsia="Arial" w:hAnsi="Arial"/>
          <w:sz w:val="17"/>
          <w:szCs w:val="17"/>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53" w:lineRule="exact"/>
        <w:rPr>
          <w:rFonts w:ascii="Arial" w:cs="Arial" w:eastAsia="Arial" w:hAnsi="Arial"/>
          <w:sz w:val="17"/>
          <w:szCs w:val="17"/>
          <w:color w:val="010000"/>
        </w:rPr>
      </w:pPr>
    </w:p>
    <w:p>
      <w:pPr>
        <w:jc w:val="both"/>
        <w:ind w:firstLine="1278"/>
        <w:spacing w:after="0" w:line="226" w:lineRule="auto"/>
        <w:tabs>
          <w:tab w:leader="none" w:pos="1898" w:val="left"/>
        </w:tabs>
        <w:numPr>
          <w:ilvl w:val="0"/>
          <w:numId w:val="148"/>
        </w:numPr>
        <w:rPr>
          <w:rFonts w:ascii="Arial" w:cs="Arial" w:eastAsia="Arial" w:hAnsi="Arial"/>
          <w:sz w:val="19"/>
          <w:szCs w:val="19"/>
          <w:color w:val="010000"/>
        </w:rPr>
      </w:pPr>
      <w:r>
        <w:rPr>
          <w:rFonts w:ascii="Arial" w:cs="Arial" w:eastAsia="Arial" w:hAnsi="Arial"/>
          <w:sz w:val="19"/>
          <w:szCs w:val="19"/>
          <w:color w:val="auto"/>
        </w:rPr>
        <w:t>The Arranger shall not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51" w:lineRule="exact"/>
        <w:rPr>
          <w:rFonts w:ascii="Arial" w:cs="Arial" w:eastAsia="Arial" w:hAnsi="Arial"/>
          <w:sz w:val="19"/>
          <w:szCs w:val="19"/>
          <w:color w:val="010000"/>
        </w:rPr>
      </w:pPr>
    </w:p>
    <w:p>
      <w:pPr>
        <w:jc w:val="both"/>
        <w:ind w:firstLine="1278"/>
        <w:spacing w:after="0" w:line="217" w:lineRule="auto"/>
        <w:tabs>
          <w:tab w:leader="none" w:pos="1903" w:val="left"/>
        </w:tabs>
        <w:numPr>
          <w:ilvl w:val="0"/>
          <w:numId w:val="148"/>
        </w:numPr>
        <w:rPr>
          <w:rFonts w:ascii="Arial" w:cs="Arial" w:eastAsia="Arial" w:hAnsi="Arial"/>
          <w:sz w:val="19"/>
          <w:szCs w:val="19"/>
          <w:color w:val="010000"/>
        </w:rPr>
      </w:pPr>
      <w:r>
        <w:rPr>
          <w:rFonts w:ascii="Arial" w:cs="Arial" w:eastAsia="Arial" w:hAnsi="Arial"/>
          <w:sz w:val="19"/>
          <w:szCs w:val="19"/>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Loan Party) shall be entitled and empowered (but not obligated) by intervention in such proceeding or otherwise:</w:t>
      </w:r>
    </w:p>
    <w:p>
      <w:pPr>
        <w:spacing w:after="0" w:line="151" w:lineRule="exact"/>
        <w:rPr>
          <w:rFonts w:ascii="Arial" w:cs="Arial" w:eastAsia="Arial" w:hAnsi="Arial"/>
          <w:sz w:val="19"/>
          <w:szCs w:val="19"/>
          <w:color w:val="010000"/>
        </w:rPr>
      </w:pPr>
    </w:p>
    <w:p>
      <w:pPr>
        <w:jc w:val="both"/>
        <w:ind w:left="640" w:firstLine="1274"/>
        <w:spacing w:after="0" w:line="232" w:lineRule="auto"/>
        <w:tabs>
          <w:tab w:leader="none" w:pos="2546" w:val="left"/>
        </w:tabs>
        <w:numPr>
          <w:ilvl w:val="1"/>
          <w:numId w:val="148"/>
        </w:numPr>
        <w:rPr>
          <w:rFonts w:ascii="Arial" w:cs="Arial" w:eastAsia="Arial" w:hAnsi="Arial"/>
          <w:sz w:val="18"/>
          <w:szCs w:val="18"/>
          <w:color w:val="010000"/>
        </w:rPr>
      </w:pPr>
      <w:r>
        <w:rPr>
          <w:rFonts w:ascii="Arial" w:cs="Arial" w:eastAsia="Arial" w:hAnsi="Arial"/>
          <w:sz w:val="18"/>
          <w:szCs w:val="18"/>
          <w:color w:val="auto"/>
        </w:rPr>
        <w:t>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 and the Administrative Agent (including any claim under Sections 2.12, 2.13, 2.15, 2.17 and 9.03) allowed in such judicial proceeding; and</w:t>
      </w:r>
    </w:p>
    <w:p>
      <w:pPr>
        <w:spacing w:after="0" w:line="153" w:lineRule="exact"/>
        <w:rPr>
          <w:rFonts w:ascii="Arial" w:cs="Arial" w:eastAsia="Arial" w:hAnsi="Arial"/>
          <w:sz w:val="18"/>
          <w:szCs w:val="18"/>
          <w:color w:val="010000"/>
        </w:rPr>
      </w:pPr>
    </w:p>
    <w:p>
      <w:pPr>
        <w:ind w:left="2540" w:hanging="626"/>
        <w:spacing w:after="0"/>
        <w:tabs>
          <w:tab w:leader="none" w:pos="2540" w:val="left"/>
        </w:tabs>
        <w:numPr>
          <w:ilvl w:val="1"/>
          <w:numId w:val="148"/>
        </w:numPr>
        <w:rPr>
          <w:rFonts w:ascii="Arial" w:cs="Arial" w:eastAsia="Arial" w:hAnsi="Arial"/>
          <w:sz w:val="17"/>
          <w:szCs w:val="17"/>
          <w:color w:val="010000"/>
        </w:rPr>
      </w:pPr>
      <w:r>
        <w:rPr>
          <w:rFonts w:ascii="Arial" w:cs="Arial" w:eastAsia="Arial" w:hAnsi="Arial"/>
          <w:sz w:val="17"/>
          <w:szCs w:val="17"/>
          <w:color w:val="auto"/>
        </w:rPr>
        <w:t>to collect and receive any monies or other property payable or deliverable on any such claims and to distribute</w:t>
      </w:r>
    </w:p>
    <w:p>
      <w:pPr>
        <w:spacing w:after="0" w:line="6" w:lineRule="exact"/>
        <w:rPr>
          <w:rFonts w:ascii="Arial" w:cs="Arial" w:eastAsia="Arial" w:hAnsi="Arial"/>
          <w:sz w:val="17"/>
          <w:szCs w:val="17"/>
          <w:color w:val="010000"/>
        </w:rPr>
      </w:pPr>
    </w:p>
    <w:p>
      <w:pPr>
        <w:ind w:left="640"/>
        <w:spacing w:after="0"/>
        <w:rPr>
          <w:rFonts w:ascii="Arial" w:cs="Arial" w:eastAsia="Arial" w:hAnsi="Arial"/>
          <w:sz w:val="17"/>
          <w:szCs w:val="17"/>
          <w:color w:val="010000"/>
        </w:rPr>
      </w:pPr>
      <w:r>
        <w:rPr>
          <w:rFonts w:ascii="Arial" w:cs="Arial" w:eastAsia="Arial" w:hAnsi="Arial"/>
          <w:sz w:val="19"/>
          <w:szCs w:val="19"/>
          <w:color w:val="auto"/>
        </w:rPr>
        <w:t>the same;</w:t>
      </w:r>
    </w:p>
    <w:p>
      <w:pPr>
        <w:spacing w:after="0" w:line="163" w:lineRule="exact"/>
        <w:rPr>
          <w:sz w:val="20"/>
          <w:szCs w:val="20"/>
          <w:color w:val="auto"/>
        </w:rPr>
      </w:pPr>
    </w:p>
    <w:p>
      <w:pPr>
        <w:jc w:val="both"/>
        <w:spacing w:after="0" w:line="212" w:lineRule="auto"/>
        <w:rPr>
          <w:sz w:val="20"/>
          <w:szCs w:val="20"/>
          <w:color w:val="auto"/>
        </w:rPr>
      </w:pPr>
      <w:r>
        <w:rPr>
          <w:rFonts w:ascii="Arial" w:cs="Arial" w:eastAsia="Arial" w:hAnsi="Arial"/>
          <w:sz w:val="19"/>
          <w:szCs w:val="19"/>
          <w:color w:val="auto"/>
        </w:rPr>
        <w:t>and any custodian, receiver, assignee, trustee, liquidator, sequestrator or other similar official in any such proceeding is hereby authorized by each Lender, the Issuing Bank and each other Secured Party to make such payments to the Administrative Agent and, in the event that the Administrative Agent shall consent to the making of such payments directly to the Lenders, the Issuing Bank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the Issuing Bank any plan of reorganization, arrangement, adjustment or composition affecting the Secured Obligations or the rights of any Lender or the Issuing Bank or to authorize the Administrative Agent to vote in respect of the claim of any Lender or the Issuing Bank in any such proceeding.</w:t>
      </w:r>
    </w:p>
    <w:p>
      <w:pPr>
        <w:spacing w:after="0" w:line="179" w:lineRule="exact"/>
        <w:rPr>
          <w:sz w:val="20"/>
          <w:szCs w:val="20"/>
          <w:color w:val="auto"/>
        </w:rPr>
      </w:pPr>
    </w:p>
    <w:p>
      <w:pPr>
        <w:jc w:val="both"/>
        <w:ind w:firstLine="1278"/>
        <w:spacing w:after="0" w:line="229" w:lineRule="auto"/>
        <w:tabs>
          <w:tab w:leader="none" w:pos="1896" w:val="left"/>
        </w:tabs>
        <w:numPr>
          <w:ilvl w:val="0"/>
          <w:numId w:val="149"/>
        </w:numPr>
        <w:rPr>
          <w:rFonts w:ascii="Arial" w:cs="Arial" w:eastAsia="Arial" w:hAnsi="Arial"/>
          <w:sz w:val="18"/>
          <w:szCs w:val="18"/>
          <w:color w:val="010000"/>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are solely for the benefit of the Administrative Agent, the Lenders and the Issuing Bank, and, except solely to the extent of the Borrower’s rights to consent pursuant to and subject to the conditions set forth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1.02.</w:t>
      </w:r>
      <w:r>
        <w:rPr>
          <w:rFonts w:ascii="Arial" w:cs="Arial" w:eastAsia="Arial" w:hAnsi="Arial"/>
          <w:sz w:val="19"/>
          <w:szCs w:val="19"/>
          <w:u w:val="single" w:color="auto"/>
          <w:color w:val="000000"/>
        </w:rPr>
        <w:t>Administrative Agent’s Reliance, Limitation of Liability, Etc</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38" w:lineRule="auto"/>
        <w:tabs>
          <w:tab w:leader="none" w:pos="1898" w:val="left"/>
        </w:tabs>
        <w:numPr>
          <w:ilvl w:val="0"/>
          <w:numId w:val="150"/>
        </w:numPr>
        <w:rPr>
          <w:rFonts w:ascii="Arial" w:cs="Arial" w:eastAsia="Arial" w:hAnsi="Arial"/>
          <w:sz w:val="18"/>
          <w:szCs w:val="18"/>
          <w:color w:val="010000"/>
        </w:rPr>
      </w:pPr>
      <w:r>
        <w:rPr>
          <w:rFonts w:ascii="Arial" w:cs="Arial" w:eastAsia="Arial" w:hAnsi="Arial"/>
          <w:sz w:val="18"/>
          <w:szCs w:val="18"/>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ectPr>
          <w:pgSz w:w="11900" w:h="16838" w:orient="portrait"/>
          <w:cols w:equalWidth="0" w:num="1">
            <w:col w:w="11240"/>
          </w:cols>
          <w:pgMar w:left="320" w:top="1381" w:right="339" w:bottom="1440" w:gutter="0" w:footer="0" w:header="0"/>
        </w:sectPr>
      </w:pPr>
    </w:p>
    <w:bookmarkStart w:id="121" w:name="page122"/>
    <w:bookmarkEnd w:id="121"/>
    <w:p>
      <w:pPr>
        <w:jc w:val="both"/>
        <w:spacing w:after="0" w:line="236" w:lineRule="auto"/>
        <w:rPr>
          <w:sz w:val="20"/>
          <w:szCs w:val="20"/>
          <w:color w:val="auto"/>
        </w:rPr>
      </w:pPr>
      <w:r>
        <w:rPr>
          <w:rFonts w:ascii="Arial" w:cs="Arial" w:eastAsia="Arial" w:hAnsi="Arial"/>
          <w:sz w:val="17"/>
          <w:szCs w:val="17"/>
          <w:color w:val="auto"/>
        </w:rPr>
        <w:t>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52" w:lineRule="exact"/>
        <w:rPr>
          <w:sz w:val="20"/>
          <w:szCs w:val="20"/>
          <w:color w:val="auto"/>
        </w:rPr>
      </w:pPr>
    </w:p>
    <w:p>
      <w:pPr>
        <w:jc w:val="both"/>
        <w:ind w:firstLine="1278"/>
        <w:spacing w:after="0" w:line="219" w:lineRule="auto"/>
        <w:tabs>
          <w:tab w:leader="none" w:pos="1896" w:val="left"/>
        </w:tabs>
        <w:numPr>
          <w:ilvl w:val="0"/>
          <w:numId w:val="151"/>
        </w:numPr>
        <w:rPr>
          <w:rFonts w:ascii="Arial" w:cs="Arial" w:eastAsia="Arial" w:hAnsi="Arial"/>
          <w:sz w:val="18"/>
          <w:szCs w:val="18"/>
          <w:color w:val="010000"/>
        </w:rPr>
      </w:pPr>
      <w:r>
        <w:rPr>
          <w:rFonts w:ascii="Arial" w:cs="Arial" w:eastAsia="Arial" w:hAnsi="Arial"/>
          <w:sz w:val="18"/>
          <w:szCs w:val="18"/>
          <w:color w:val="auto"/>
        </w:rPr>
        <w:t xml:space="preserve">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the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or the existence of the Collateral. Notwithstanding anything herein to the contrary, the Administrative Agent shall not be liable for, or be responsible for any Liabilities, costs or expenses suffered by the Borrower, any Subsidiary, any Lender or the Issuing Bank as a result of, any determination of the Revolving Credit Exposure, any of the component amounts thereof or any portion thereof attributable to each Lender or the Issuing Bank or any Dollar amount thereof.</w:t>
      </w:r>
    </w:p>
    <w:p>
      <w:pPr>
        <w:spacing w:after="0" w:line="158" w:lineRule="exact"/>
        <w:rPr>
          <w:rFonts w:ascii="Arial" w:cs="Arial" w:eastAsia="Arial" w:hAnsi="Arial"/>
          <w:sz w:val="18"/>
          <w:szCs w:val="18"/>
          <w:color w:val="010000"/>
        </w:rPr>
      </w:pPr>
    </w:p>
    <w:p>
      <w:pPr>
        <w:jc w:val="both"/>
        <w:ind w:firstLine="1278"/>
        <w:spacing w:after="0" w:line="233" w:lineRule="auto"/>
        <w:tabs>
          <w:tab w:leader="none" w:pos="1898" w:val="left"/>
        </w:tabs>
        <w:numPr>
          <w:ilvl w:val="0"/>
          <w:numId w:val="151"/>
        </w:numPr>
        <w:rPr>
          <w:rFonts w:ascii="Arial" w:cs="Arial" w:eastAsia="Arial" w:hAnsi="Arial"/>
          <w:sz w:val="17"/>
          <w:szCs w:val="17"/>
          <w:color w:val="010000"/>
        </w:rPr>
      </w:pPr>
      <w:r>
        <w:rPr>
          <w:rFonts w:ascii="Arial" w:cs="Arial" w:eastAsia="Arial" w:hAnsi="Arial"/>
          <w:sz w:val="17"/>
          <w:szCs w:val="17"/>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the Issuing Bank and shall not be responsible to any Lender or the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the Issuing Bank, may presume that such condition is satisfactory to such Lender or the Issuing Bank unless the Administrative Agent shall have received notice to the contrary from such Lender or the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83</w:t>
      </w:r>
    </w:p>
    <w:p>
      <w:pPr>
        <w:sectPr>
          <w:pgSz w:w="11900" w:h="16838" w:orient="portrait"/>
          <w:cols w:equalWidth="0" w:num="1">
            <w:col w:w="11240"/>
          </w:cols>
          <w:pgMar w:left="320" w:top="1381" w:right="339" w:bottom="1440" w:gutter="0" w:footer="0" w:header="0"/>
        </w:sectPr>
      </w:pPr>
    </w:p>
    <w:bookmarkStart w:id="122" w:name="page123"/>
    <w:bookmarkEnd w:id="122"/>
    <w:p>
      <w:pPr>
        <w:ind w:left="1280"/>
        <w:spacing w:after="0"/>
        <w:rPr>
          <w:sz w:val="20"/>
          <w:szCs w:val="20"/>
          <w:color w:val="auto"/>
        </w:rPr>
      </w:pPr>
      <w:r>
        <w:rPr>
          <w:rFonts w:ascii="Arial" w:cs="Arial" w:eastAsia="Arial" w:hAnsi="Arial"/>
          <w:sz w:val="19"/>
          <w:szCs w:val="19"/>
          <w:color w:val="010000"/>
        </w:rPr>
        <w:t>SECTION 1.03.</w:t>
      </w:r>
      <w:r>
        <w:rPr>
          <w:rFonts w:ascii="Arial" w:cs="Arial" w:eastAsia="Arial" w:hAnsi="Arial"/>
          <w:sz w:val="19"/>
          <w:szCs w:val="19"/>
          <w:u w:val="single" w:color="auto"/>
          <w:color w:val="000000"/>
        </w:rPr>
        <w:t>Posting of Communications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38" w:lineRule="auto"/>
        <w:tabs>
          <w:tab w:leader="none" w:pos="1898" w:val="left"/>
        </w:tabs>
        <w:numPr>
          <w:ilvl w:val="0"/>
          <w:numId w:val="152"/>
        </w:numPr>
        <w:rPr>
          <w:rFonts w:ascii="Arial" w:cs="Arial" w:eastAsia="Arial" w:hAnsi="Arial"/>
          <w:sz w:val="18"/>
          <w:szCs w:val="18"/>
          <w:color w:val="010000"/>
        </w:rPr>
      </w:pPr>
      <w:r>
        <w:rPr>
          <w:rFonts w:ascii="Arial" w:cs="Arial" w:eastAsia="Arial" w:hAnsi="Arial"/>
          <w:sz w:val="18"/>
          <w:szCs w:val="18"/>
          <w:color w:val="auto"/>
        </w:rPr>
        <w:t>The Borrower agrees that the Administrative Agent may, but shall not be obligated to, make any Communications available to the Lenders and the Issuing Bank by posting the Communications on IntraLinks™, DebtDomain, SyndTrak, ClearPar or any other electronic platform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52" w:lineRule="exact"/>
        <w:rPr>
          <w:rFonts w:ascii="Arial" w:cs="Arial" w:eastAsia="Arial" w:hAnsi="Arial"/>
          <w:sz w:val="18"/>
          <w:szCs w:val="18"/>
          <w:color w:val="010000"/>
        </w:rPr>
      </w:pPr>
    </w:p>
    <w:p>
      <w:pPr>
        <w:jc w:val="both"/>
        <w:ind w:firstLine="1278"/>
        <w:spacing w:after="0" w:line="211" w:lineRule="auto"/>
        <w:tabs>
          <w:tab w:leader="none" w:pos="1896" w:val="left"/>
        </w:tabs>
        <w:numPr>
          <w:ilvl w:val="0"/>
          <w:numId w:val="152"/>
        </w:numPr>
        <w:rPr>
          <w:rFonts w:ascii="Arial" w:cs="Arial" w:eastAsia="Arial" w:hAnsi="Arial"/>
          <w:sz w:val="19"/>
          <w:szCs w:val="19"/>
          <w:color w:val="010000"/>
        </w:rPr>
      </w:pPr>
      <w:r>
        <w:rPr>
          <w:rFonts w:ascii="Arial" w:cs="Arial" w:eastAsia="Arial" w:hAnsi="Arial"/>
          <w:sz w:val="19"/>
          <w:szCs w:val="19"/>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 and the Borrower hereby approves distribution of the Communications through the Approved Electronic Platform and understands and assumes the risks of such distribution.</w:t>
      </w:r>
    </w:p>
    <w:p>
      <w:pPr>
        <w:spacing w:after="0" w:line="152" w:lineRule="exact"/>
        <w:rPr>
          <w:rFonts w:ascii="Arial" w:cs="Arial" w:eastAsia="Arial" w:hAnsi="Arial"/>
          <w:sz w:val="19"/>
          <w:szCs w:val="19"/>
          <w:color w:val="010000"/>
        </w:rPr>
      </w:pPr>
    </w:p>
    <w:p>
      <w:pPr>
        <w:jc w:val="both"/>
        <w:ind w:firstLine="1278"/>
        <w:spacing w:after="0" w:line="208" w:lineRule="auto"/>
        <w:tabs>
          <w:tab w:leader="none" w:pos="1898" w:val="left"/>
        </w:tabs>
        <w:numPr>
          <w:ilvl w:val="0"/>
          <w:numId w:val="152"/>
        </w:numPr>
        <w:rPr>
          <w:rFonts w:ascii="Arial" w:cs="Arial" w:eastAsia="Arial" w:hAnsi="Arial"/>
          <w:sz w:val="19"/>
          <w:szCs w:val="19"/>
          <w:color w:val="010000"/>
        </w:rPr>
      </w:pPr>
      <w:r>
        <w:rPr>
          <w:rFonts w:ascii="Arial" w:cs="Arial" w:eastAsia="Arial" w:hAnsi="Arial"/>
          <w:sz w:val="19"/>
          <w:szCs w:val="19"/>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ARRANGER OR ANY OF THEIR RESPECTIVE RELATED PARTIES (COLLECTIVELY, “</w:t>
      </w:r>
      <w:r>
        <w:rPr>
          <w:rFonts w:ascii="Arial" w:cs="Arial" w:eastAsia="Arial" w:hAnsi="Arial"/>
          <w:sz w:val="19"/>
          <w:szCs w:val="19"/>
          <w:u w:val="single" w:color="auto"/>
          <w:color w:val="auto"/>
        </w:rPr>
        <w:t>APPLICABLE PARTIES</w:t>
      </w:r>
      <w:r>
        <w:rPr>
          <w:rFonts w:ascii="Arial" w:cs="Arial" w:eastAsia="Arial" w:hAnsi="Arial"/>
          <w:sz w:val="19"/>
          <w:szCs w:val="19"/>
          <w:color w:val="auto"/>
        </w:rPr>
        <w:t>”) HAVE ANY LIABILITY TO ANY LOAN PARTY, ANY LENDER, THE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58" w:lineRule="exact"/>
        <w:rPr>
          <w:rFonts w:ascii="Arial" w:cs="Arial" w:eastAsia="Arial" w:hAnsi="Arial"/>
          <w:sz w:val="19"/>
          <w:szCs w:val="19"/>
          <w:color w:val="010000"/>
        </w:rPr>
      </w:pPr>
    </w:p>
    <w:p>
      <w:pPr>
        <w:jc w:val="both"/>
        <w:ind w:firstLine="1278"/>
        <w:spacing w:after="0" w:line="229" w:lineRule="auto"/>
        <w:tabs>
          <w:tab w:leader="none" w:pos="1896" w:val="left"/>
        </w:tabs>
        <w:numPr>
          <w:ilvl w:val="0"/>
          <w:numId w:val="152"/>
        </w:numPr>
        <w:rPr>
          <w:rFonts w:ascii="Arial" w:cs="Arial" w:eastAsia="Arial" w:hAnsi="Arial"/>
          <w:sz w:val="18"/>
          <w:szCs w:val="18"/>
          <w:color w:val="010000"/>
        </w:rPr>
      </w:pPr>
      <w:r>
        <w:rPr>
          <w:rFonts w:ascii="Arial" w:cs="Arial" w:eastAsia="Arial" w:hAnsi="Arial"/>
          <w:sz w:val="18"/>
          <w:szCs w:val="18"/>
          <w:color w:val="auto"/>
        </w:rPr>
        <w:t>Each Lender and the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the Issuing Bank agrees (i) to notify the Administrative Agent in writing (which could be in the form of electronic communication) from time to time of such Lender’s or the Issuing Bank’s (as applicable) email address to which the foregoing notice may be sent by electronic transmission and (ii) that the foregoing notice may be sent to such email address.</w:t>
      </w:r>
    </w:p>
    <w:p>
      <w:pPr>
        <w:spacing w:after="0" w:line="152" w:lineRule="exact"/>
        <w:rPr>
          <w:rFonts w:ascii="Arial" w:cs="Arial" w:eastAsia="Arial" w:hAnsi="Arial"/>
          <w:sz w:val="18"/>
          <w:szCs w:val="18"/>
          <w:color w:val="010000"/>
        </w:rPr>
      </w:pPr>
    </w:p>
    <w:p>
      <w:pPr>
        <w:jc w:val="both"/>
        <w:ind w:firstLine="1278"/>
        <w:spacing w:after="0" w:line="226" w:lineRule="auto"/>
        <w:tabs>
          <w:tab w:leader="none" w:pos="1898" w:val="left"/>
        </w:tabs>
        <w:numPr>
          <w:ilvl w:val="0"/>
          <w:numId w:val="152"/>
        </w:numPr>
        <w:rPr>
          <w:rFonts w:ascii="Arial" w:cs="Arial" w:eastAsia="Arial" w:hAnsi="Arial"/>
          <w:sz w:val="19"/>
          <w:szCs w:val="19"/>
          <w:color w:val="010000"/>
        </w:rPr>
      </w:pPr>
      <w:r>
        <w:rPr>
          <w:rFonts w:ascii="Arial" w:cs="Arial" w:eastAsia="Arial" w:hAnsi="Arial"/>
          <w:sz w:val="19"/>
          <w:szCs w:val="19"/>
          <w:color w:val="auto"/>
        </w:rPr>
        <w:t>Each of the Lenders, the Issuing Bank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51" w:lineRule="exact"/>
        <w:rPr>
          <w:rFonts w:ascii="Arial" w:cs="Arial" w:eastAsia="Arial" w:hAnsi="Arial"/>
          <w:sz w:val="19"/>
          <w:szCs w:val="19"/>
          <w:color w:val="010000"/>
        </w:rPr>
      </w:pPr>
    </w:p>
    <w:p>
      <w:pPr>
        <w:ind w:firstLine="1278"/>
        <w:spacing w:after="0" w:line="237" w:lineRule="auto"/>
        <w:tabs>
          <w:tab w:leader="none" w:pos="1903" w:val="left"/>
        </w:tabs>
        <w:numPr>
          <w:ilvl w:val="0"/>
          <w:numId w:val="152"/>
        </w:numPr>
        <w:rPr>
          <w:rFonts w:ascii="Arial" w:cs="Arial" w:eastAsia="Arial" w:hAnsi="Arial"/>
          <w:sz w:val="19"/>
          <w:szCs w:val="19"/>
          <w:color w:val="010000"/>
        </w:rPr>
      </w:pPr>
      <w:r>
        <w:rPr>
          <w:rFonts w:ascii="Arial" w:cs="Arial" w:eastAsia="Arial" w:hAnsi="Arial"/>
          <w:sz w:val="19"/>
          <w:szCs w:val="19"/>
          <w:color w:val="auto"/>
        </w:rPr>
        <w:t>Nothing herein shall prejudice the right of the Administrative Agent, any Lender or the Issuing Bank to give any notice or other communication pursuant to any Loan Document in any other manner specified in such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84</w:t>
      </w:r>
    </w:p>
    <w:p>
      <w:pPr>
        <w:sectPr>
          <w:pgSz w:w="11900" w:h="16838" w:orient="portrait"/>
          <w:cols w:equalWidth="0" w:num="1">
            <w:col w:w="11240"/>
          </w:cols>
          <w:pgMar w:left="320" w:top="1381" w:right="339" w:bottom="1440" w:gutter="0" w:footer="0" w:header="0"/>
        </w:sectPr>
      </w:pPr>
    </w:p>
    <w:bookmarkStart w:id="123" w:name="page124"/>
    <w:bookmarkEnd w:id="123"/>
    <w:p>
      <w:pPr>
        <w:jc w:val="both"/>
        <w:ind w:firstLine="1272"/>
        <w:spacing w:after="0" w:line="211" w:lineRule="auto"/>
        <w:rPr>
          <w:sz w:val="20"/>
          <w:szCs w:val="20"/>
          <w:color w:val="auto"/>
        </w:rPr>
      </w:pPr>
      <w:r>
        <w:rPr>
          <w:rFonts w:ascii="Arial" w:cs="Arial" w:eastAsia="Arial" w:hAnsi="Arial"/>
          <w:sz w:val="19"/>
          <w:szCs w:val="19"/>
          <w:color w:val="010000"/>
        </w:rPr>
        <w:t xml:space="preserve">SECTION 1.04. </w:t>
      </w:r>
      <w:r>
        <w:rPr>
          <w:rFonts w:ascii="Arial" w:cs="Arial" w:eastAsia="Arial" w:hAnsi="Arial"/>
          <w:sz w:val="19"/>
          <w:szCs w:val="19"/>
          <w:u w:val="single" w:color="auto"/>
          <w:color w:val="000000"/>
        </w:rPr>
        <w:t>The Administrative Agent Individually</w:t>
      </w:r>
      <w:r>
        <w:rPr>
          <w:rFonts w:ascii="Arial" w:cs="Arial" w:eastAsia="Arial" w:hAnsi="Arial"/>
          <w:sz w:val="19"/>
          <w:szCs w:val="19"/>
          <w:color w:val="000000"/>
        </w:rPr>
        <w:t>. With respect to its Commitment, Loans (including Swingline Loans)</w:t>
      </w:r>
      <w:r>
        <w:rPr>
          <w:rFonts w:ascii="Arial" w:cs="Arial" w:eastAsia="Arial" w:hAnsi="Arial"/>
          <w:sz w:val="19"/>
          <w:szCs w:val="19"/>
          <w:color w:val="010000"/>
        </w:rPr>
        <w:t xml:space="preserve"> </w:t>
      </w:r>
      <w:r>
        <w:rPr>
          <w:rFonts w:ascii="Arial" w:cs="Arial" w:eastAsia="Arial" w:hAnsi="Arial"/>
          <w:sz w:val="19"/>
          <w:szCs w:val="19"/>
          <w:color w:val="000000"/>
        </w:rPr>
        <w:t>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and any similar terms shall, unless the context clearly otherwise indicates, include the Administrative Agent in its individual capacity as a Lender, the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1.05.</w:t>
      </w:r>
      <w:r>
        <w:rPr>
          <w:rFonts w:ascii="Arial" w:cs="Arial" w:eastAsia="Arial" w:hAnsi="Arial"/>
          <w:sz w:val="19"/>
          <w:szCs w:val="19"/>
          <w:u w:val="single" w:color="auto"/>
          <w:color w:val="000000"/>
        </w:rPr>
        <w:t>Successor Administrative Agent</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33" w:lineRule="auto"/>
        <w:tabs>
          <w:tab w:leader="none" w:pos="1898" w:val="left"/>
        </w:tabs>
        <w:numPr>
          <w:ilvl w:val="0"/>
          <w:numId w:val="153"/>
        </w:numPr>
        <w:rPr>
          <w:rFonts w:ascii="Arial" w:cs="Arial" w:eastAsia="Arial" w:hAnsi="Arial"/>
          <w:sz w:val="17"/>
          <w:szCs w:val="17"/>
          <w:color w:val="010000"/>
        </w:rPr>
      </w:pPr>
      <w:r>
        <w:rPr>
          <w:rFonts w:ascii="Arial" w:cs="Arial" w:eastAsia="Arial" w:hAnsi="Arial"/>
          <w:sz w:val="17"/>
          <w:szCs w:val="17"/>
          <w:color w:val="auto"/>
        </w:rPr>
        <w:t>The Administrative Agent may resign at any time by giving 30 days’ prior written notice thereof to the Lenders, the Issuing Bank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56" w:lineRule="exact"/>
        <w:rPr>
          <w:rFonts w:ascii="Arial" w:cs="Arial" w:eastAsia="Arial" w:hAnsi="Arial"/>
          <w:sz w:val="17"/>
          <w:szCs w:val="17"/>
          <w:color w:val="010000"/>
        </w:rPr>
      </w:pPr>
    </w:p>
    <w:p>
      <w:pPr>
        <w:jc w:val="both"/>
        <w:ind w:firstLine="1278"/>
        <w:spacing w:after="0" w:line="219" w:lineRule="auto"/>
        <w:tabs>
          <w:tab w:leader="none" w:pos="1896" w:val="left"/>
        </w:tabs>
        <w:numPr>
          <w:ilvl w:val="0"/>
          <w:numId w:val="153"/>
        </w:numPr>
        <w:rPr>
          <w:rFonts w:ascii="Arial" w:cs="Arial" w:eastAsia="Arial" w:hAnsi="Arial"/>
          <w:sz w:val="18"/>
          <w:szCs w:val="18"/>
          <w:color w:val="010000"/>
        </w:rPr>
      </w:pPr>
      <w:r>
        <w:rPr>
          <w:rFonts w:ascii="Arial" w:cs="Arial" w:eastAsia="Arial" w:hAnsi="Arial"/>
          <w:sz w:val="18"/>
          <w:szCs w:val="18"/>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 and the Borrower, whereupon, on the date of effectiveness of such resignation stated in such notice, (i) the retiring Administrative Agent shall be discharged from its duties and obligations hereunder and under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the Issuing Bank. Following the effectiveness of the Administrative Agent’s resignation from its capacity as such,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Section 9.03, as well as any exculpatory, reimbursement and indemnification provisions set forth in any other Loan Document, shall continue in effect for the benefit of such retiring Administrative Agent,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85</w:t>
      </w:r>
    </w:p>
    <w:p>
      <w:pPr>
        <w:sectPr>
          <w:pgSz w:w="11900" w:h="16838" w:orient="portrait"/>
          <w:cols w:equalWidth="0" w:num="1">
            <w:col w:w="11240"/>
          </w:cols>
          <w:pgMar w:left="320" w:top="1381" w:right="339" w:bottom="1440" w:gutter="0" w:footer="0" w:header="0"/>
        </w:sectPr>
      </w:pPr>
    </w:p>
    <w:bookmarkStart w:id="124" w:name="page125"/>
    <w:bookmarkEnd w:id="124"/>
    <w:p>
      <w:pPr>
        <w:spacing w:after="0" w:line="261" w:lineRule="auto"/>
        <w:rPr>
          <w:sz w:val="20"/>
          <w:szCs w:val="20"/>
          <w:color w:val="auto"/>
        </w:rPr>
      </w:pPr>
      <w:r>
        <w:rPr>
          <w:rFonts w:ascii="Arial" w:cs="Arial" w:eastAsia="Arial" w:hAnsi="Arial"/>
          <w:sz w:val="18"/>
          <w:szCs w:val="18"/>
          <w:color w:val="auto"/>
        </w:rPr>
        <w:t>sub-agents and their respective Related Parties in respect of any actions taken or omitted to be taken by any of them while the retiring Administrative Agent was acting as Administrative Agent and in respect of the matters referred to in the proviso under clause (i) above.</w:t>
      </w:r>
    </w:p>
    <w:p>
      <w:pPr>
        <w:spacing w:after="0" w:line="133"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1.06.</w:t>
      </w:r>
      <w:r>
        <w:rPr>
          <w:rFonts w:ascii="Arial" w:cs="Arial" w:eastAsia="Arial" w:hAnsi="Arial"/>
          <w:sz w:val="19"/>
          <w:szCs w:val="19"/>
          <w:u w:val="single" w:color="auto"/>
          <w:color w:val="000000"/>
        </w:rPr>
        <w:t>Acknowledgements of Lenders and Issuing Bank</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19" w:lineRule="auto"/>
        <w:tabs>
          <w:tab w:leader="none" w:pos="1898"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Each Lender and the Issuing Bank represents and warrants that (i) the Loan Documents set forth the terms of a commercial lending facility, (ii) it is engaged in making, acquiring or holding commercial loans and in providing other facilities set forth herein as may be applicable to such Lender or the Issuing Bank, in each case in the ordinary course of business, and not for the purpose of purchasing, acquiring or holding any other type of financial instrument (and each Lender and the Issuing Bank agrees not to assert a claim in contravention of the foregoing), (iii) it has, independently and without reliance upon the Administrative Agent, the Arranger or any other Lender or the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the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the Issuing Bank also acknowledges that it will, independently and without reliance upon the Administrative Agent, the Arranger or any other Lender or the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8" w:lineRule="exact"/>
        <w:rPr>
          <w:rFonts w:ascii="Arial" w:cs="Arial" w:eastAsia="Arial" w:hAnsi="Arial"/>
          <w:sz w:val="18"/>
          <w:szCs w:val="18"/>
          <w:color w:val="010000"/>
        </w:rPr>
      </w:pPr>
    </w:p>
    <w:p>
      <w:pPr>
        <w:jc w:val="both"/>
        <w:ind w:firstLine="1278"/>
        <w:spacing w:after="0" w:line="232" w:lineRule="auto"/>
        <w:tabs>
          <w:tab w:leader="none" w:pos="1896"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(c)</w:t>
      </w:r>
    </w:p>
    <w:p>
      <w:pPr>
        <w:spacing w:after="0" w:line="179" w:lineRule="exact"/>
        <w:rPr>
          <w:sz w:val="20"/>
          <w:szCs w:val="20"/>
          <w:color w:val="auto"/>
        </w:rPr>
      </w:pPr>
    </w:p>
    <w:p>
      <w:pPr>
        <w:jc w:val="both"/>
        <w:ind w:left="640" w:firstLine="1274"/>
        <w:spacing w:after="0" w:line="220" w:lineRule="auto"/>
        <w:tabs>
          <w:tab w:leader="none" w:pos="2546" w:val="left"/>
        </w:tabs>
        <w:numPr>
          <w:ilvl w:val="0"/>
          <w:numId w:val="155"/>
        </w:numPr>
        <w:rPr>
          <w:rFonts w:ascii="Arial" w:cs="Arial" w:eastAsia="Arial" w:hAnsi="Arial"/>
          <w:sz w:val="18"/>
          <w:szCs w:val="18"/>
          <w:color w:val="010000"/>
        </w:rPr>
      </w:pPr>
      <w:r>
        <w:rPr>
          <w:rFonts w:ascii="Arial" w:cs="Arial" w:eastAsia="Arial" w:hAnsi="Arial"/>
          <w:sz w:val="18"/>
          <w:szCs w:val="18"/>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8"/>
          <w:szCs w:val="18"/>
          <w:u w:val="single" w:color="auto"/>
          <w:color w:val="auto"/>
        </w:rPr>
        <w:t>Payment</w:t>
      </w:r>
      <w:r>
        <w:rPr>
          <w:rFonts w:ascii="Arial" w:cs="Arial" w:eastAsia="Arial" w:hAnsi="Arial"/>
          <w:sz w:val="18"/>
          <w:szCs w:val="18"/>
          <w:color w:val="auto"/>
        </w:rPr>
        <w:t>”) were erroneously transmitted to such Lender (whether or not known to such Lender), and demands the return of such Payment (or a portion thereof), such Lender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spacing w:after="0" w:line="156" w:lineRule="exact"/>
        <w:rPr>
          <w:rFonts w:ascii="Arial" w:cs="Arial" w:eastAsia="Arial" w:hAnsi="Arial"/>
          <w:sz w:val="18"/>
          <w:szCs w:val="18"/>
          <w:color w:val="010000"/>
        </w:rPr>
      </w:pPr>
    </w:p>
    <w:p>
      <w:pPr>
        <w:jc w:val="both"/>
        <w:ind w:left="640" w:firstLine="1274"/>
        <w:spacing w:after="0" w:line="226" w:lineRule="auto"/>
        <w:tabs>
          <w:tab w:leader="none" w:pos="2547" w:val="left"/>
        </w:tabs>
        <w:numPr>
          <w:ilvl w:val="0"/>
          <w:numId w:val="155"/>
        </w:numPr>
        <w:rPr>
          <w:rFonts w:ascii="Arial" w:cs="Arial" w:eastAsia="Arial" w:hAnsi="Arial"/>
          <w:sz w:val="19"/>
          <w:szCs w:val="19"/>
          <w:color w:val="010000"/>
        </w:rPr>
      </w:pPr>
      <w:r>
        <w:rPr>
          <w:rFonts w:ascii="Arial" w:cs="Arial" w:eastAsia="Arial" w:hAnsi="Arial"/>
          <w:sz w:val="19"/>
          <w:szCs w:val="19"/>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86</w:t>
      </w:r>
    </w:p>
    <w:p>
      <w:pPr>
        <w:sectPr>
          <w:pgSz w:w="11900" w:h="16838" w:orient="portrait"/>
          <w:cols w:equalWidth="0" w:num="1">
            <w:col w:w="11240"/>
          </w:cols>
          <w:pgMar w:left="320" w:top="1381" w:right="339" w:bottom="1440" w:gutter="0" w:footer="0" w:header="0"/>
        </w:sectPr>
      </w:pPr>
    </w:p>
    <w:bookmarkStart w:id="125" w:name="page126"/>
    <w:bookmarkEnd w:id="125"/>
    <w:p>
      <w:pPr>
        <w:jc w:val="both"/>
        <w:ind w:left="640"/>
        <w:spacing w:after="0" w:line="223" w:lineRule="auto"/>
        <w:rPr>
          <w:sz w:val="20"/>
          <w:szCs w:val="20"/>
          <w:color w:val="auto"/>
        </w:rPr>
      </w:pPr>
      <w:r>
        <w:rPr>
          <w:rFonts w:ascii="Arial" w:cs="Arial" w:eastAsia="Arial" w:hAnsi="Arial"/>
          <w:sz w:val="18"/>
          <w:szCs w:val="18"/>
          <w:color w:val="auto"/>
        </w:rPr>
        <w:t>of its Affiliates) with respect to such Payment (a “</w:t>
      </w:r>
      <w:r>
        <w:rPr>
          <w:rFonts w:ascii="Arial" w:cs="Arial" w:eastAsia="Arial" w:hAnsi="Arial"/>
          <w:sz w:val="18"/>
          <w:szCs w:val="18"/>
          <w:u w:val="single" w:color="auto"/>
          <w:color w:val="auto"/>
        </w:rPr>
        <w:t>Payment Notice</w:t>
      </w:r>
      <w:r>
        <w:rPr>
          <w:rFonts w:ascii="Arial" w:cs="Arial" w:eastAsia="Arial" w:hAnsi="Arial"/>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51" w:lineRule="exact"/>
        <w:rPr>
          <w:sz w:val="20"/>
          <w:szCs w:val="20"/>
          <w:color w:val="auto"/>
        </w:rPr>
      </w:pPr>
    </w:p>
    <w:p>
      <w:pPr>
        <w:jc w:val="both"/>
        <w:ind w:left="640" w:firstLine="1274"/>
        <w:spacing w:after="0" w:line="217" w:lineRule="auto"/>
        <w:tabs>
          <w:tab w:leader="none" w:pos="2548" w:val="left"/>
        </w:tabs>
        <w:numPr>
          <w:ilvl w:val="0"/>
          <w:numId w:val="156"/>
        </w:numPr>
        <w:rPr>
          <w:rFonts w:ascii="Arial" w:cs="Arial" w:eastAsia="Arial" w:hAnsi="Arial"/>
          <w:sz w:val="19"/>
          <w:szCs w:val="19"/>
          <w:color w:val="010000"/>
        </w:rPr>
      </w:pPr>
      <w:r>
        <w:rPr>
          <w:rFonts w:ascii="Arial" w:cs="Arial" w:eastAsia="Arial" w:hAnsi="Arial"/>
          <w:sz w:val="19"/>
          <w:szCs w:val="19"/>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(or any other Secured Obligations) owed by the Borrower or any other Loan Party.</w:t>
      </w:r>
    </w:p>
    <w:p>
      <w:pPr>
        <w:spacing w:after="0" w:line="151" w:lineRule="exact"/>
        <w:rPr>
          <w:rFonts w:ascii="Arial" w:cs="Arial" w:eastAsia="Arial" w:hAnsi="Arial"/>
          <w:sz w:val="19"/>
          <w:szCs w:val="19"/>
          <w:color w:val="010000"/>
        </w:rPr>
      </w:pPr>
    </w:p>
    <w:p>
      <w:pPr>
        <w:jc w:val="both"/>
        <w:ind w:left="640" w:firstLine="1274"/>
        <w:spacing w:after="0" w:line="226" w:lineRule="auto"/>
        <w:tabs>
          <w:tab w:leader="none" w:pos="2537" w:val="left"/>
        </w:tabs>
        <w:numPr>
          <w:ilvl w:val="0"/>
          <w:numId w:val="156"/>
        </w:numPr>
        <w:rPr>
          <w:rFonts w:ascii="Arial" w:cs="Arial" w:eastAsia="Arial" w:hAnsi="Arial"/>
          <w:sz w:val="19"/>
          <w:szCs w:val="19"/>
          <w:color w:val="010000"/>
        </w:rPr>
      </w:pPr>
      <w:r>
        <w:rPr>
          <w:rFonts w:ascii="Arial" w:cs="Arial" w:eastAsia="Arial" w:hAnsi="Arial"/>
          <w:sz w:val="19"/>
          <w:szCs w:val="19"/>
          <w:color w:val="auto"/>
        </w:rPr>
        <w:t>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1.07.</w:t>
      </w:r>
      <w:r>
        <w:rPr>
          <w:rFonts w:ascii="Arial" w:cs="Arial" w:eastAsia="Arial" w:hAnsi="Arial"/>
          <w:sz w:val="19"/>
          <w:szCs w:val="19"/>
          <w:u w:val="single" w:color="auto"/>
          <w:color w:val="000000"/>
        </w:rPr>
        <w:t>Collateral Matters.</w:t>
      </w:r>
    </w:p>
    <w:p>
      <w:pPr>
        <w:spacing w:after="0" w:line="179" w:lineRule="exact"/>
        <w:rPr>
          <w:sz w:val="20"/>
          <w:szCs w:val="20"/>
          <w:color w:val="auto"/>
        </w:rPr>
      </w:pPr>
    </w:p>
    <w:p>
      <w:pPr>
        <w:jc w:val="both"/>
        <w:ind w:firstLine="1278"/>
        <w:spacing w:after="0" w:line="218" w:lineRule="auto"/>
        <w:tabs>
          <w:tab w:leader="none" w:pos="1898" w:val="left"/>
        </w:tabs>
        <w:numPr>
          <w:ilvl w:val="0"/>
          <w:numId w:val="157"/>
        </w:numPr>
        <w:rPr>
          <w:rFonts w:ascii="Arial" w:cs="Arial" w:eastAsia="Arial" w:hAnsi="Arial"/>
          <w:sz w:val="18"/>
          <w:szCs w:val="18"/>
          <w:color w:val="010000"/>
        </w:rPr>
      </w:pPr>
      <w:r>
        <w:rPr>
          <w:rFonts w:ascii="Arial" w:cs="Arial" w:eastAsia="Arial" w:hAnsi="Arial"/>
          <w:sz w:val="18"/>
          <w:szCs w:val="18"/>
          <w:color w:val="auto"/>
        </w:rPr>
        <w:t xml:space="preserve">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The Lenders hereby authorize the Administrative Agent, at its option and in its discretion, to release any Lien granted to or held by the Administrative Agent upon any Collateral (i) as described in Section 9.02(d);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upon at least five (5) Business Days’ prior written request by the Borrower to the Administrative Agent, the Administrative Agent shall (and is hereby irrevocably authorized by the Lenders to) execute such documents as may be necessary to evidence the release of the Liens granted to the Administrative Agent for the benefit of the Secured Parties herein or pursuant hereto upon the Collateral that was sold or transferred;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Administrative Agent shall not be required to execute any such document on terms which, in the Administrative Agent’s reasonable opinion, would expose the Administrative Agent to liability or create any obligation or entail any consequence other than the release of such Liens without recourse or warranty, and (ii) such release shall not in any manner discharge, affect or impair the Secured Obligations or any Liens upon (or obligations of the Loan Parties in respect of) all interests retained by any Loan Party, including (without limitation) the proceeds of the sale, all of which shall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87</w:t>
      </w:r>
    </w:p>
    <w:p>
      <w:pPr>
        <w:sectPr>
          <w:pgSz w:w="11900" w:h="16838" w:orient="portrait"/>
          <w:cols w:equalWidth="0" w:num="1">
            <w:col w:w="11240"/>
          </w:cols>
          <w:pgMar w:left="320" w:top="1381" w:right="339" w:bottom="1440" w:gutter="0" w:footer="0" w:header="0"/>
        </w:sectPr>
      </w:pPr>
    </w:p>
    <w:bookmarkStart w:id="126" w:name="page127"/>
    <w:bookmarkEnd w:id="126"/>
    <w:p>
      <w:pPr>
        <w:spacing w:after="0" w:line="237" w:lineRule="auto"/>
        <w:rPr>
          <w:sz w:val="20"/>
          <w:szCs w:val="20"/>
          <w:color w:val="auto"/>
        </w:rPr>
      </w:pPr>
      <w:r>
        <w:rPr>
          <w:rFonts w:ascii="Arial" w:cs="Arial" w:eastAsia="Arial" w:hAnsi="Arial"/>
          <w:sz w:val="19"/>
          <w:szCs w:val="19"/>
          <w:color w:val="auto"/>
        </w:rPr>
        <w:t>constitute part of the Collateral. Any execution and delivery by the Administrative Agent of documents in connection with any such release shall be without recourse to or warranty by the Administrative Agent.</w:t>
      </w:r>
    </w:p>
    <w:p>
      <w:pPr>
        <w:spacing w:after="0" w:line="151" w:lineRule="exact"/>
        <w:rPr>
          <w:sz w:val="20"/>
          <w:szCs w:val="20"/>
          <w:color w:val="auto"/>
        </w:rPr>
      </w:pPr>
    </w:p>
    <w:p>
      <w:pPr>
        <w:jc w:val="both"/>
        <w:ind w:firstLine="1278"/>
        <w:spacing w:after="0" w:line="226" w:lineRule="auto"/>
        <w:tabs>
          <w:tab w:leader="none" w:pos="1896" w:val="left"/>
        </w:tabs>
        <w:numPr>
          <w:ilvl w:val="0"/>
          <w:numId w:val="158"/>
        </w:numPr>
        <w:rPr>
          <w:rFonts w:ascii="Arial" w:cs="Arial" w:eastAsia="Arial" w:hAnsi="Arial"/>
          <w:sz w:val="18"/>
          <w:szCs w:val="18"/>
          <w:color w:val="010000"/>
        </w:rPr>
      </w:pPr>
      <w:r>
        <w:rPr>
          <w:rFonts w:ascii="Arial" w:cs="Arial" w:eastAsia="Arial" w:hAnsi="Arial"/>
          <w:sz w:val="18"/>
          <w:szCs w:val="18"/>
          <w:color w:val="auto"/>
        </w:rPr>
        <w:t>In furtherance of the foregoing and not in limitation thereof, no Banking Services Agreement or Swap Agreement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Banking Services Agreement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55" w:lineRule="exact"/>
        <w:rPr>
          <w:rFonts w:ascii="Arial" w:cs="Arial" w:eastAsia="Arial" w:hAnsi="Arial"/>
          <w:sz w:val="18"/>
          <w:szCs w:val="18"/>
          <w:color w:val="010000"/>
        </w:rPr>
      </w:pPr>
    </w:p>
    <w:p>
      <w:pPr>
        <w:jc w:val="both"/>
        <w:ind w:firstLine="1278"/>
        <w:spacing w:after="0" w:line="226" w:lineRule="auto"/>
        <w:tabs>
          <w:tab w:leader="none" w:pos="1898" w:val="left"/>
        </w:tabs>
        <w:numPr>
          <w:ilvl w:val="0"/>
          <w:numId w:val="158"/>
        </w:numPr>
        <w:rPr>
          <w:rFonts w:ascii="Arial" w:cs="Arial" w:eastAsia="Arial" w:hAnsi="Arial"/>
          <w:sz w:val="18"/>
          <w:szCs w:val="18"/>
          <w:color w:val="010000"/>
        </w:rPr>
      </w:pPr>
      <w:r>
        <w:rPr>
          <w:rFonts w:ascii="Arial" w:cs="Arial" w:eastAsia="Arial" w:hAnsi="Arial"/>
          <w:sz w:val="18"/>
          <w:szCs w:val="18"/>
          <w:color w:val="auto"/>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56" w:lineRule="exact"/>
        <w:rPr>
          <w:sz w:val="20"/>
          <w:szCs w:val="20"/>
          <w:color w:val="auto"/>
        </w:rPr>
      </w:pPr>
    </w:p>
    <w:p>
      <w:pPr>
        <w:jc w:val="both"/>
        <w:ind w:firstLine="1272"/>
        <w:spacing w:after="0" w:line="239" w:lineRule="auto"/>
        <w:rPr>
          <w:sz w:val="20"/>
          <w:szCs w:val="20"/>
          <w:color w:val="auto"/>
        </w:rPr>
      </w:pPr>
      <w:r>
        <w:rPr>
          <w:rFonts w:ascii="Arial" w:cs="Arial" w:eastAsia="Arial" w:hAnsi="Arial"/>
          <w:sz w:val="17"/>
          <w:szCs w:val="17"/>
          <w:color w:val="010000"/>
        </w:rPr>
        <w:t xml:space="preserve">SECTION 1.08. </w:t>
      </w:r>
      <w:r>
        <w:rPr>
          <w:rFonts w:ascii="Arial" w:cs="Arial" w:eastAsia="Arial" w:hAnsi="Arial"/>
          <w:sz w:val="17"/>
          <w:szCs w:val="17"/>
          <w:u w:val="single" w:color="auto"/>
          <w:color w:val="000000"/>
        </w:rPr>
        <w:t>Credit Bidding</w:t>
      </w:r>
      <w:r>
        <w:rPr>
          <w:rFonts w:ascii="Arial" w:cs="Arial" w:eastAsia="Arial" w:hAnsi="Arial"/>
          <w:sz w:val="17"/>
          <w:szCs w:val="17"/>
          <w:color w:val="000000"/>
        </w:rPr>
        <w:t>. The Secured Parties hereby irrevocably authorize the Administrative Agent, at the direction of</w:t>
      </w:r>
      <w:r>
        <w:rPr>
          <w:rFonts w:ascii="Arial" w:cs="Arial" w:eastAsia="Arial" w:hAnsi="Arial"/>
          <w:sz w:val="17"/>
          <w:szCs w:val="17"/>
          <w:color w:val="010000"/>
        </w:rPr>
        <w:t xml:space="preserve"> </w:t>
      </w:r>
      <w:r>
        <w:rPr>
          <w:rFonts w:ascii="Arial" w:cs="Arial" w:eastAsia="Arial" w:hAnsi="Arial"/>
          <w:sz w:val="17"/>
          <w:szCs w:val="17"/>
          <w:color w:val="000000"/>
        </w:rPr>
        <w:t>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Secured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88</w:t>
      </w:r>
    </w:p>
    <w:p>
      <w:pPr>
        <w:sectPr>
          <w:pgSz w:w="11900" w:h="16838" w:orient="portrait"/>
          <w:cols w:equalWidth="0" w:num="1">
            <w:col w:w="11240"/>
          </w:cols>
          <w:pgMar w:left="320" w:top="1381" w:right="339" w:bottom="1440" w:gutter="0" w:footer="0" w:header="0"/>
        </w:sectPr>
      </w:pPr>
    </w:p>
    <w:bookmarkStart w:id="127" w:name="page128"/>
    <w:bookmarkEnd w:id="127"/>
    <w:p>
      <w:pPr>
        <w:jc w:val="both"/>
        <w:spacing w:after="0" w:line="212" w:lineRule="auto"/>
        <w:rPr>
          <w:sz w:val="20"/>
          <w:szCs w:val="20"/>
          <w:color w:val="auto"/>
        </w:rPr>
      </w:pPr>
      <w:r>
        <w:rPr>
          <w:rFonts w:ascii="Arial" w:cs="Arial" w:eastAsia="Arial" w:hAnsi="Arial"/>
          <w:sz w:val="19"/>
          <w:szCs w:val="19"/>
          <w:color w:val="auto"/>
        </w:rPr>
        <w:t>Secured Obligations shall automatically be reassigned to the Secured Parties pro rata 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1.09.</w:t>
      </w:r>
      <w:r>
        <w:rPr>
          <w:rFonts w:ascii="Arial" w:cs="Arial" w:eastAsia="Arial" w:hAnsi="Arial"/>
          <w:sz w:val="19"/>
          <w:szCs w:val="19"/>
          <w:u w:val="single" w:color="auto"/>
          <w:color w:val="000000"/>
        </w:rPr>
        <w:t>Certain ERISA Matters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20" w:lineRule="auto"/>
        <w:tabs>
          <w:tab w:leader="none" w:pos="1898" w:val="left"/>
        </w:tabs>
        <w:numPr>
          <w:ilvl w:val="0"/>
          <w:numId w:val="159"/>
        </w:numPr>
        <w:rPr>
          <w:rFonts w:ascii="Arial" w:cs="Arial" w:eastAsia="Arial" w:hAnsi="Arial"/>
          <w:sz w:val="19"/>
          <w:szCs w:val="19"/>
          <w:color w:val="010000"/>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Loan Party, that at least one of the following is and will be true:</w:t>
      </w:r>
    </w:p>
    <w:p>
      <w:pPr>
        <w:spacing w:after="0" w:line="152" w:lineRule="exact"/>
        <w:rPr>
          <w:rFonts w:ascii="Arial" w:cs="Arial" w:eastAsia="Arial" w:hAnsi="Arial"/>
          <w:sz w:val="19"/>
          <w:szCs w:val="19"/>
          <w:color w:val="010000"/>
        </w:rPr>
      </w:pPr>
    </w:p>
    <w:p>
      <w:pPr>
        <w:ind w:left="640" w:firstLine="1274"/>
        <w:spacing w:after="0" w:line="237" w:lineRule="auto"/>
        <w:tabs>
          <w:tab w:leader="none" w:pos="2546" w:val="left"/>
        </w:tabs>
        <w:numPr>
          <w:ilvl w:val="1"/>
          <w:numId w:val="159"/>
        </w:numPr>
        <w:rPr>
          <w:rFonts w:ascii="Arial" w:cs="Arial" w:eastAsia="Arial" w:hAnsi="Arial"/>
          <w:sz w:val="19"/>
          <w:szCs w:val="19"/>
          <w:color w:val="010000"/>
        </w:rPr>
      </w:pPr>
      <w:r>
        <w:rPr>
          <w:rFonts w:ascii="Arial" w:cs="Arial" w:eastAsia="Arial" w:hAnsi="Arial"/>
          <w:sz w:val="19"/>
          <w:szCs w:val="19"/>
          <w:color w:val="auto"/>
        </w:rPr>
        <w:t>such Lender is not using “plan assets” (within the meaning of the Plan Asset Regulations) of one or more Benefit Plans in connection with the Loans, the Letters of Credit or the Commitments,</w:t>
      </w:r>
    </w:p>
    <w:p>
      <w:pPr>
        <w:spacing w:after="0" w:line="151" w:lineRule="exact"/>
        <w:rPr>
          <w:rFonts w:ascii="Arial" w:cs="Arial" w:eastAsia="Arial" w:hAnsi="Arial"/>
          <w:sz w:val="19"/>
          <w:szCs w:val="19"/>
          <w:color w:val="010000"/>
        </w:rPr>
      </w:pPr>
    </w:p>
    <w:p>
      <w:pPr>
        <w:jc w:val="both"/>
        <w:ind w:left="640" w:firstLine="1274"/>
        <w:spacing w:after="0" w:line="213" w:lineRule="auto"/>
        <w:tabs>
          <w:tab w:leader="none" w:pos="2547" w:val="left"/>
        </w:tabs>
        <w:numPr>
          <w:ilvl w:val="1"/>
          <w:numId w:val="159"/>
        </w:numPr>
        <w:rPr>
          <w:rFonts w:ascii="Arial" w:cs="Arial" w:eastAsia="Arial" w:hAnsi="Arial"/>
          <w:sz w:val="19"/>
          <w:szCs w:val="19"/>
          <w:color w:val="010000"/>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3" w:lineRule="exact"/>
        <w:rPr>
          <w:rFonts w:ascii="Arial" w:cs="Arial" w:eastAsia="Arial" w:hAnsi="Arial"/>
          <w:sz w:val="19"/>
          <w:szCs w:val="19"/>
          <w:color w:val="010000"/>
        </w:rPr>
      </w:pPr>
    </w:p>
    <w:p>
      <w:pPr>
        <w:jc w:val="both"/>
        <w:ind w:left="640" w:firstLine="1274"/>
        <w:spacing w:after="0" w:line="225" w:lineRule="auto"/>
        <w:tabs>
          <w:tab w:leader="none" w:pos="2548" w:val="left"/>
        </w:tabs>
        <w:numPr>
          <w:ilvl w:val="1"/>
          <w:numId w:val="159"/>
        </w:numPr>
        <w:rPr>
          <w:rFonts w:ascii="Arial" w:cs="Arial" w:eastAsia="Arial" w:hAnsi="Arial"/>
          <w:sz w:val="18"/>
          <w:szCs w:val="18"/>
          <w:color w:val="010000"/>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2" w:lineRule="exact"/>
        <w:rPr>
          <w:rFonts w:ascii="Arial" w:cs="Arial" w:eastAsia="Arial" w:hAnsi="Arial"/>
          <w:sz w:val="18"/>
          <w:szCs w:val="18"/>
          <w:color w:val="010000"/>
        </w:rPr>
      </w:pPr>
    </w:p>
    <w:p>
      <w:pPr>
        <w:ind w:left="640" w:firstLine="1274"/>
        <w:spacing w:after="0" w:line="237" w:lineRule="auto"/>
        <w:tabs>
          <w:tab w:leader="none" w:pos="2537" w:val="left"/>
        </w:tabs>
        <w:numPr>
          <w:ilvl w:val="1"/>
          <w:numId w:val="159"/>
        </w:numPr>
        <w:rPr>
          <w:rFonts w:ascii="Arial" w:cs="Arial" w:eastAsia="Arial" w:hAnsi="Arial"/>
          <w:sz w:val="19"/>
          <w:szCs w:val="19"/>
          <w:color w:val="010000"/>
        </w:rPr>
      </w:pPr>
      <w:r>
        <w:rPr>
          <w:rFonts w:ascii="Arial" w:cs="Arial" w:eastAsia="Arial" w:hAnsi="Arial"/>
          <w:sz w:val="19"/>
          <w:szCs w:val="19"/>
          <w:color w:val="auto"/>
        </w:rPr>
        <w:t>such other representation, warranty and covenant as may be agreed in writing between the Administrative Agent, in its sole discretion, and such Lender.</w:t>
      </w:r>
    </w:p>
    <w:p>
      <w:pPr>
        <w:spacing w:after="0" w:line="151" w:lineRule="exact"/>
        <w:rPr>
          <w:rFonts w:ascii="Arial" w:cs="Arial" w:eastAsia="Arial" w:hAnsi="Arial"/>
          <w:sz w:val="19"/>
          <w:szCs w:val="19"/>
          <w:color w:val="010000"/>
        </w:rPr>
      </w:pPr>
    </w:p>
    <w:p>
      <w:pPr>
        <w:jc w:val="both"/>
        <w:ind w:firstLine="1278"/>
        <w:spacing w:after="0" w:line="225" w:lineRule="auto"/>
        <w:tabs>
          <w:tab w:leader="none" w:pos="1896" w:val="left"/>
        </w:tabs>
        <w:numPr>
          <w:ilvl w:val="0"/>
          <w:numId w:val="159"/>
        </w:numPr>
        <w:rPr>
          <w:rFonts w:ascii="Arial" w:cs="Arial" w:eastAsia="Arial" w:hAnsi="Arial"/>
          <w:sz w:val="18"/>
          <w:szCs w:val="18"/>
          <w:color w:val="010000"/>
        </w:rPr>
      </w:pPr>
      <w:r>
        <w:rPr>
          <w:rFonts w:ascii="Arial" w:cs="Arial" w:eastAsia="Arial" w:hAnsi="Arial"/>
          <w:sz w:val="18"/>
          <w:szCs w:val="18"/>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 or any of their respective Affiliates, and not, for the avoidance of doubt, to or for the benefit of the Borrower or any other Loan Party, that none of the Administrative Agent, the Arranger or any of their respective Affiliates is a fiduciary with respect to the Collateral or the assets of such Lender (including in connection with the reservation or exercise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89</w:t>
      </w:r>
    </w:p>
    <w:p>
      <w:pPr>
        <w:sectPr>
          <w:pgSz w:w="11900" w:h="16838" w:orient="portrait"/>
          <w:cols w:equalWidth="0" w:num="1">
            <w:col w:w="11240"/>
          </w:cols>
          <w:pgMar w:left="320" w:top="1381" w:right="339" w:bottom="1440" w:gutter="0" w:footer="0" w:header="0"/>
        </w:sectPr>
      </w:pPr>
    </w:p>
    <w:bookmarkStart w:id="128" w:name="page129"/>
    <w:bookmarkEnd w:id="128"/>
    <w:p>
      <w:pPr>
        <w:spacing w:after="0"/>
        <w:rPr>
          <w:sz w:val="20"/>
          <w:szCs w:val="20"/>
          <w:color w:val="auto"/>
        </w:rPr>
      </w:pPr>
      <w:r>
        <w:rPr>
          <w:rFonts w:ascii="Arial" w:cs="Arial" w:eastAsia="Arial" w:hAnsi="Arial"/>
          <w:sz w:val="19"/>
          <w:szCs w:val="19"/>
          <w:color w:val="auto"/>
        </w:rPr>
        <w:t>rights by the Administrative Agent under this Agreement, any Loan Document or any documents related hereto or thereto).</w:t>
      </w:r>
    </w:p>
    <w:p>
      <w:pPr>
        <w:spacing w:after="0" w:line="179" w:lineRule="exact"/>
        <w:rPr>
          <w:sz w:val="20"/>
          <w:szCs w:val="20"/>
          <w:color w:val="auto"/>
        </w:rPr>
      </w:pPr>
    </w:p>
    <w:p>
      <w:pPr>
        <w:jc w:val="both"/>
        <w:ind w:firstLine="1278"/>
        <w:spacing w:after="0" w:line="232" w:lineRule="auto"/>
        <w:tabs>
          <w:tab w:leader="none" w:pos="1898" w:val="left"/>
        </w:tabs>
        <w:numPr>
          <w:ilvl w:val="1"/>
          <w:numId w:val="160"/>
        </w:numPr>
        <w:rPr>
          <w:rFonts w:ascii="Arial" w:cs="Arial" w:eastAsia="Arial" w:hAnsi="Arial"/>
          <w:sz w:val="17"/>
          <w:szCs w:val="17"/>
          <w:color w:val="010000"/>
        </w:rPr>
      </w:pPr>
      <w:r>
        <w:rPr>
          <w:rFonts w:ascii="Arial" w:cs="Arial" w:eastAsia="Arial" w:hAnsi="Arial"/>
          <w:sz w:val="17"/>
          <w:szCs w:val="17"/>
          <w:color w:val="auto"/>
        </w:rPr>
        <w:t>Each of the Administrative Agent and the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w:t>
      </w:r>
    </w:p>
    <w:p>
      <w:pPr>
        <w:spacing w:after="0" w:line="2" w:lineRule="exact"/>
        <w:rPr>
          <w:rFonts w:ascii="Arial" w:cs="Arial" w:eastAsia="Arial" w:hAnsi="Arial"/>
          <w:sz w:val="17"/>
          <w:szCs w:val="17"/>
          <w:color w:val="010000"/>
        </w:rPr>
      </w:pPr>
    </w:p>
    <w:p>
      <w:pPr>
        <w:jc w:val="both"/>
        <w:ind w:firstLine="6"/>
        <w:spacing w:after="0" w:line="223" w:lineRule="auto"/>
        <w:tabs>
          <w:tab w:leader="none" w:pos="29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fees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88"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010000"/>
        </w:rPr>
        <w:t>Article IX</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Miscellaneous</w:t>
      </w:r>
    </w:p>
    <w:p>
      <w:pPr>
        <w:spacing w:after="0" w:line="100"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1.01.</w:t>
      </w:r>
      <w:r>
        <w:rPr>
          <w:rFonts w:ascii="Arial" w:cs="Arial" w:eastAsia="Arial" w:hAnsi="Arial"/>
          <w:sz w:val="19"/>
          <w:szCs w:val="19"/>
          <w:u w:val="single" w:color="auto"/>
          <w:color w:val="000000"/>
        </w:rPr>
        <w:t>Notices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26" w:lineRule="auto"/>
        <w:tabs>
          <w:tab w:leader="none" w:pos="1898" w:val="left"/>
        </w:tabs>
        <w:numPr>
          <w:ilvl w:val="0"/>
          <w:numId w:val="162"/>
        </w:numPr>
        <w:rPr>
          <w:rFonts w:ascii="Arial" w:cs="Arial" w:eastAsia="Arial" w:hAnsi="Arial"/>
          <w:sz w:val="19"/>
          <w:szCs w:val="19"/>
          <w:color w:val="010000"/>
        </w:rPr>
      </w:pPr>
      <w:r>
        <w:rPr>
          <w:rFonts w:ascii="Arial" w:cs="Arial" w:eastAsia="Arial" w:hAnsi="Arial"/>
          <w:sz w:val="19"/>
          <w:szCs w:val="19"/>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51" w:lineRule="exact"/>
        <w:rPr>
          <w:sz w:val="20"/>
          <w:szCs w:val="20"/>
          <w:color w:val="auto"/>
        </w:rPr>
      </w:pPr>
    </w:p>
    <w:p>
      <w:pPr>
        <w:ind w:left="640" w:firstLine="638"/>
        <w:spacing w:after="0" w:line="237" w:lineRule="auto"/>
        <w:tabs>
          <w:tab w:leader="none" w:pos="1910" w:val="left"/>
        </w:tabs>
        <w:numPr>
          <w:ilvl w:val="0"/>
          <w:numId w:val="163"/>
        </w:numPr>
        <w:rPr>
          <w:rFonts w:ascii="Arial" w:cs="Arial" w:eastAsia="Arial" w:hAnsi="Arial"/>
          <w:sz w:val="19"/>
          <w:szCs w:val="19"/>
          <w:color w:val="010000"/>
        </w:rPr>
      </w:pPr>
      <w:r>
        <w:rPr>
          <w:rFonts w:ascii="Arial" w:cs="Arial" w:eastAsia="Arial" w:hAnsi="Arial"/>
          <w:sz w:val="19"/>
          <w:szCs w:val="19"/>
          <w:color w:val="auto"/>
        </w:rPr>
        <w:t>if to the Borrower, to it at Commvault Systems, Inc., 1 Commvault Way, Tinton Falls, New Jersey 07724, Attention of Jay Whalen (jaywhalen@commvault.com; Telephone No. 732-272-9277);</w:t>
      </w:r>
    </w:p>
    <w:p>
      <w:pPr>
        <w:spacing w:after="0" w:line="151" w:lineRule="exact"/>
        <w:rPr>
          <w:rFonts w:ascii="Arial" w:cs="Arial" w:eastAsia="Arial" w:hAnsi="Arial"/>
          <w:sz w:val="19"/>
          <w:szCs w:val="19"/>
          <w:color w:val="010000"/>
        </w:rPr>
      </w:pPr>
    </w:p>
    <w:p>
      <w:pPr>
        <w:jc w:val="both"/>
        <w:ind w:left="640" w:firstLine="638"/>
        <w:spacing w:after="0" w:line="220" w:lineRule="auto"/>
        <w:tabs>
          <w:tab w:leader="none" w:pos="1911" w:val="left"/>
        </w:tabs>
        <w:numPr>
          <w:ilvl w:val="0"/>
          <w:numId w:val="163"/>
        </w:numPr>
        <w:rPr>
          <w:rFonts w:ascii="Arial" w:cs="Arial" w:eastAsia="Arial" w:hAnsi="Arial"/>
          <w:sz w:val="19"/>
          <w:szCs w:val="19"/>
          <w:color w:val="010000"/>
        </w:rPr>
      </w:pPr>
      <w:r>
        <w:rPr>
          <w:rFonts w:ascii="Arial" w:cs="Arial" w:eastAsia="Arial" w:hAnsi="Arial"/>
          <w:sz w:val="19"/>
          <w:szCs w:val="19"/>
          <w:color w:val="auto"/>
        </w:rPr>
        <w:t>if to the Administrative Agent, (A) in the case of Borrowings, to JPMorgan Chase Bank, N.A., 10 South Dearborn Street, Chicago, Illinois 60603, Attention of Charitra Shetty (Email: jpm.agency.cri@jpmorgan.com), and (B) for all other notices, to JPMorgan Chase Bank, N.A., 237 Park Avenue, 7th Floor, New York, NY 10017, Attention of David Tepper (Telecopy No. (310) 851-6527);</w:t>
      </w:r>
    </w:p>
    <w:p>
      <w:pPr>
        <w:spacing w:after="0" w:line="152" w:lineRule="exact"/>
        <w:rPr>
          <w:rFonts w:ascii="Arial" w:cs="Arial" w:eastAsia="Arial" w:hAnsi="Arial"/>
          <w:sz w:val="19"/>
          <w:szCs w:val="19"/>
          <w:color w:val="010000"/>
        </w:rPr>
      </w:pPr>
    </w:p>
    <w:p>
      <w:pPr>
        <w:jc w:val="both"/>
        <w:ind w:left="640" w:firstLine="638"/>
        <w:spacing w:after="0" w:line="226" w:lineRule="auto"/>
        <w:tabs>
          <w:tab w:leader="none" w:pos="1912" w:val="left"/>
        </w:tabs>
        <w:numPr>
          <w:ilvl w:val="0"/>
          <w:numId w:val="163"/>
        </w:numPr>
        <w:rPr>
          <w:rFonts w:ascii="Arial" w:cs="Arial" w:eastAsia="Arial" w:hAnsi="Arial"/>
          <w:sz w:val="19"/>
          <w:szCs w:val="19"/>
          <w:color w:val="010000"/>
        </w:rPr>
      </w:pPr>
      <w:r>
        <w:rPr>
          <w:rFonts w:ascii="Arial" w:cs="Arial" w:eastAsia="Arial" w:hAnsi="Arial"/>
          <w:sz w:val="19"/>
          <w:szCs w:val="19"/>
          <w:color w:val="auto"/>
        </w:rPr>
        <w:t>if to the Issuing Bank, to it at JPMorgan Chase Bank, N.A., 10 South Dearborn Street, Chicago, Illinois 60603, Attention of Chicago LC Agency Closing Team/Chicago LC Agency Activity Team (Email: Chicago.LC.Agency.Closing.Team@jpmorgan.com; Chicago.LC.Agency.Activity.Team@jpmorgan.com);</w:t>
      </w:r>
    </w:p>
    <w:p>
      <w:pPr>
        <w:spacing w:after="0" w:line="151" w:lineRule="exact"/>
        <w:rPr>
          <w:rFonts w:ascii="Arial" w:cs="Arial" w:eastAsia="Arial" w:hAnsi="Arial"/>
          <w:sz w:val="19"/>
          <w:szCs w:val="19"/>
          <w:color w:val="010000"/>
        </w:rPr>
      </w:pPr>
    </w:p>
    <w:p>
      <w:pPr>
        <w:ind w:left="640" w:firstLine="638"/>
        <w:spacing w:after="0" w:line="237" w:lineRule="auto"/>
        <w:tabs>
          <w:tab w:leader="none" w:pos="1901" w:val="left"/>
        </w:tabs>
        <w:numPr>
          <w:ilvl w:val="0"/>
          <w:numId w:val="163"/>
        </w:numPr>
        <w:rPr>
          <w:rFonts w:ascii="Arial" w:cs="Arial" w:eastAsia="Arial" w:hAnsi="Arial"/>
          <w:sz w:val="19"/>
          <w:szCs w:val="19"/>
          <w:color w:val="010000"/>
        </w:rPr>
      </w:pPr>
      <w:r>
        <w:rPr>
          <w:rFonts w:ascii="Arial" w:cs="Arial" w:eastAsia="Arial" w:hAnsi="Arial"/>
          <w:sz w:val="19"/>
          <w:szCs w:val="19"/>
          <w:color w:val="auto"/>
        </w:rPr>
        <w:t>if to the Swingline Lender, to it at JPMorgan Chase Bank, N.A., 10 South Dearborn Street, Chicago, Illinois 60603, Attention of Charitra Shetty (Email: jpm.agency.cri@jpmorgan.com); and</w:t>
      </w:r>
    </w:p>
    <w:p>
      <w:pPr>
        <w:spacing w:after="0" w:line="151" w:lineRule="exact"/>
        <w:rPr>
          <w:rFonts w:ascii="Arial" w:cs="Arial" w:eastAsia="Arial" w:hAnsi="Arial"/>
          <w:sz w:val="19"/>
          <w:szCs w:val="19"/>
          <w:color w:val="010000"/>
        </w:rPr>
      </w:pPr>
    </w:p>
    <w:p>
      <w:pPr>
        <w:ind w:left="1900" w:hanging="622"/>
        <w:spacing w:after="0"/>
        <w:tabs>
          <w:tab w:leader="none" w:pos="1900" w:val="left"/>
        </w:tabs>
        <w:numPr>
          <w:ilvl w:val="0"/>
          <w:numId w:val="163"/>
        </w:numPr>
        <w:rPr>
          <w:rFonts w:ascii="Arial" w:cs="Arial" w:eastAsia="Arial" w:hAnsi="Arial"/>
          <w:sz w:val="19"/>
          <w:szCs w:val="19"/>
          <w:color w:val="010000"/>
        </w:rPr>
      </w:pPr>
      <w:r>
        <w:rPr>
          <w:rFonts w:ascii="Arial" w:cs="Arial" w:eastAsia="Arial" w:hAnsi="Arial"/>
          <w:sz w:val="19"/>
          <w:szCs w:val="19"/>
          <w:color w:val="auto"/>
        </w:rPr>
        <w:t>if to any other Lender, to it at its address (or telecopy number) set forth in its Administrative Questionnaire.</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90</w:t>
      </w:r>
    </w:p>
    <w:p>
      <w:pPr>
        <w:sectPr>
          <w:pgSz w:w="11900" w:h="16838" w:orient="portrait"/>
          <w:cols w:equalWidth="0" w:num="1">
            <w:col w:w="11240"/>
          </w:cols>
          <w:pgMar w:left="320" w:top="1381" w:right="339" w:bottom="1440" w:gutter="0" w:footer="0" w:header="0"/>
        </w:sectPr>
      </w:pPr>
    </w:p>
    <w:bookmarkStart w:id="129" w:name="page130"/>
    <w:bookmarkEnd w:id="129"/>
    <w:p>
      <w:pPr>
        <w:jc w:val="both"/>
        <w:ind w:firstLine="1278"/>
        <w:spacing w:after="0" w:line="215" w:lineRule="auto"/>
        <w:tabs>
          <w:tab w:leader="none" w:pos="1896" w:val="left"/>
        </w:tabs>
        <w:numPr>
          <w:ilvl w:val="0"/>
          <w:numId w:val="164"/>
        </w:numPr>
        <w:rPr>
          <w:rFonts w:ascii="Arial" w:cs="Arial" w:eastAsia="Arial" w:hAnsi="Arial"/>
          <w:sz w:val="19"/>
          <w:szCs w:val="19"/>
          <w:color w:val="010000"/>
        </w:rPr>
      </w:pPr>
      <w:r>
        <w:rPr>
          <w:rFonts w:ascii="Arial" w:cs="Arial" w:eastAsia="Arial" w:hAnsi="Arial"/>
          <w:sz w:val="19"/>
          <w:szCs w:val="19"/>
          <w:color w:val="auto"/>
        </w:rPr>
        <w:t xml:space="preserve">Notices and other communications to any Loan Party, the Lenders and the Issuing Bank hereunder may be delivered or furnished by using Approved Electronic Platforms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50" w:lineRule="exact"/>
        <w:rPr>
          <w:rFonts w:ascii="Arial" w:cs="Arial" w:eastAsia="Arial" w:hAnsi="Arial"/>
          <w:sz w:val="19"/>
          <w:szCs w:val="19"/>
          <w:color w:val="010000"/>
        </w:rPr>
      </w:pPr>
    </w:p>
    <w:p>
      <w:pPr>
        <w:jc w:val="both"/>
        <w:ind w:firstLine="1278"/>
        <w:spacing w:after="0" w:line="238" w:lineRule="auto"/>
        <w:tabs>
          <w:tab w:leader="none" w:pos="1898" w:val="left"/>
        </w:tabs>
        <w:numPr>
          <w:ilvl w:val="0"/>
          <w:numId w:val="164"/>
        </w:numPr>
        <w:rPr>
          <w:rFonts w:ascii="Arial" w:cs="Arial" w:eastAsia="Arial" w:hAnsi="Arial"/>
          <w:sz w:val="17"/>
          <w:szCs w:val="17"/>
          <w:color w:val="010000"/>
        </w:rPr>
      </w:pPr>
      <w:r>
        <w:rPr>
          <w:rFonts w:ascii="Arial" w:cs="Arial" w:eastAsia="Arial" w:hAnsi="Arial"/>
          <w:sz w:val="17"/>
          <w:szCs w:val="17"/>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53" w:lineRule="exact"/>
        <w:rPr>
          <w:rFonts w:ascii="Arial" w:cs="Arial" w:eastAsia="Arial" w:hAnsi="Arial"/>
          <w:sz w:val="17"/>
          <w:szCs w:val="17"/>
          <w:color w:val="010000"/>
        </w:rPr>
      </w:pPr>
    </w:p>
    <w:p>
      <w:pPr>
        <w:ind w:firstLine="1278"/>
        <w:spacing w:after="0" w:line="237" w:lineRule="auto"/>
        <w:tabs>
          <w:tab w:leader="none" w:pos="1896" w:val="left"/>
        </w:tabs>
        <w:numPr>
          <w:ilvl w:val="0"/>
          <w:numId w:val="164"/>
        </w:numPr>
        <w:rPr>
          <w:rFonts w:ascii="Arial" w:cs="Arial" w:eastAsia="Arial" w:hAnsi="Arial"/>
          <w:sz w:val="19"/>
          <w:szCs w:val="19"/>
          <w:color w:val="010000"/>
        </w:rPr>
      </w:pPr>
      <w:r>
        <w:rPr>
          <w:rFonts w:ascii="Arial" w:cs="Arial" w:eastAsia="Arial" w:hAnsi="Arial"/>
          <w:sz w:val="19"/>
          <w:szCs w:val="19"/>
          <w:color w:val="auto"/>
        </w:rPr>
        <w:t>Any party hereto may change its address or telecopy number for notices and other communications hereunder by notice to the other parties hereto.</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1.02.</w:t>
      </w:r>
      <w:r>
        <w:rPr>
          <w:rFonts w:ascii="Arial" w:cs="Arial" w:eastAsia="Arial" w:hAnsi="Arial"/>
          <w:sz w:val="19"/>
          <w:szCs w:val="19"/>
          <w:u w:val="single" w:color="auto"/>
          <w:color w:val="000000"/>
        </w:rPr>
        <w:t>Waivers; Amendments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10" w:lineRule="auto"/>
        <w:tabs>
          <w:tab w:leader="none" w:pos="1898" w:val="left"/>
        </w:tabs>
        <w:numPr>
          <w:ilvl w:val="0"/>
          <w:numId w:val="165"/>
        </w:numPr>
        <w:rPr>
          <w:rFonts w:ascii="Arial" w:cs="Arial" w:eastAsia="Arial" w:hAnsi="Arial"/>
          <w:sz w:val="19"/>
          <w:szCs w:val="19"/>
          <w:color w:val="010000"/>
        </w:rPr>
      </w:pPr>
      <w:r>
        <w:rPr>
          <w:rFonts w:ascii="Arial" w:cs="Arial" w:eastAsia="Arial" w:hAnsi="Arial"/>
          <w:sz w:val="19"/>
          <w:szCs w:val="19"/>
          <w:color w:val="auto"/>
        </w:rPr>
        <w:t>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the other Loan Documents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55" w:lineRule="exact"/>
        <w:rPr>
          <w:rFonts w:ascii="Arial" w:cs="Arial" w:eastAsia="Arial" w:hAnsi="Arial"/>
          <w:sz w:val="19"/>
          <w:szCs w:val="19"/>
          <w:color w:val="010000"/>
        </w:rPr>
      </w:pPr>
    </w:p>
    <w:p>
      <w:pPr>
        <w:jc w:val="both"/>
        <w:ind w:firstLine="1278"/>
        <w:spacing w:after="0" w:line="219" w:lineRule="auto"/>
        <w:tabs>
          <w:tab w:leader="none" w:pos="1896"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 xml:space="preserve">Except as provided in Section 2.20 with respect to an Incremental Term Loan Amendment or as provided in Section 2.14(b) and Section 2.14(c),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(except that none of (A) any amendment or modification of the financial covenants in this Agreement (or defined terms used in the financial covenants in this Agreement) or (B) the waiver or reduction to pay interest or fees at the applicable default rate set forth in Section 2.13(d) shall constitute a reduction in the rate of interest or fees for purposes of this clause (ii)), (iii) postpone the scheduled date of payment of the principal amount of any Loan or LC Disbursement, or any interest thereon (other than interest payable at the applicable default rate set forth in Section 2.13(d)), or any fees payable hereunder, or reduce the amount of, waive or excuse any such payment, or postpone the scheduled date of expiration of any Commitment, without the written consent of each Lender directly affected thereby, (iv) change Section 2.09(c) or 2.18(b) or (d) in a manner that would alter the ratable reduction of Commitments or the pro rata sharing of payments required thereby, without the written consent of each Lender, (v) change the payment waterfall provisions of Section 2.21(b) or 7.03 without the written consent of each Lender, (vi) change any of the provisions of this Section or the definition of “Required Lenders” or any other provision hereof specifying the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91</w:t>
      </w:r>
    </w:p>
    <w:p>
      <w:pPr>
        <w:sectPr>
          <w:pgSz w:w="11900" w:h="16838" w:orient="portrait"/>
          <w:cols w:equalWidth="0" w:num="1">
            <w:col w:w="11240"/>
          </w:cols>
          <w:pgMar w:left="320" w:top="1381" w:right="339" w:bottom="1440" w:gutter="0" w:footer="0" w:header="0"/>
        </w:sectPr>
      </w:pPr>
    </w:p>
    <w:bookmarkStart w:id="130" w:name="page131"/>
    <w:bookmarkEnd w:id="130"/>
    <w:p>
      <w:pPr>
        <w:jc w:val="both"/>
        <w:spacing w:after="0" w:line="219" w:lineRule="auto"/>
        <w:rPr>
          <w:sz w:val="20"/>
          <w:szCs w:val="20"/>
          <w:color w:val="auto"/>
        </w:rPr>
      </w:pPr>
      <w:r>
        <w:rPr>
          <w:rFonts w:ascii="Arial" w:cs="Arial" w:eastAsia="Arial" w:hAnsi="Arial"/>
          <w:sz w:val="18"/>
          <w:szCs w:val="18"/>
          <w:color w:val="auto"/>
        </w:rPr>
        <w:t xml:space="preserve">or percentage of Lenders required to waive, amend or modify any rights hereunder or make any determination or grant any consent hereunder, without the written consent of each Lender (it being understood that, solely with the consent of the parties prescribed by Section 2.20 to be parties to an Incremental Term Loan Amendment, Incremental Term Loans may be included in the determination of Required Lenders on substantially the same basis as the Commitments and the Loans are included on the Effective Date), (vii) (x) release the Borrower from its obligations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(y) release all or substantially all of the Subsidiary Guarantors from their obligations under the Subsidiary Guaranty, in each case, without the written consent of each Lender, or (viii) except as provided in clause (d) of this Section or in any Collateral Document, release all or substantially all of the Collateral, without the written consent of each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(it being understood that any change to Section 2.21 shall require the consent of the Administrative Agent, the Issuing Bank and the Swingline Lender);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agreement shall amend or modify the provisions of Section 2.06 without the prior written consent of the Administrative Agent and the Issuing Bank.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161" w:lineRule="exact"/>
        <w:rPr>
          <w:sz w:val="20"/>
          <w:szCs w:val="20"/>
          <w:color w:val="auto"/>
        </w:rPr>
      </w:pPr>
    </w:p>
    <w:p>
      <w:pPr>
        <w:jc w:val="both"/>
        <w:ind w:firstLine="1278"/>
        <w:spacing w:after="0" w:line="211" w:lineRule="auto"/>
        <w:tabs>
          <w:tab w:leader="none" w:pos="1898" w:val="left"/>
        </w:tabs>
        <w:numPr>
          <w:ilvl w:val="1"/>
          <w:numId w:val="166"/>
        </w:numPr>
        <w:rPr>
          <w:rFonts w:ascii="Arial" w:cs="Arial" w:eastAsia="Arial" w:hAnsi="Arial"/>
          <w:sz w:val="19"/>
          <w:szCs w:val="19"/>
          <w:color w:val="010000"/>
        </w:rPr>
      </w:pPr>
      <w:r>
        <w:rPr>
          <w:rFonts w:ascii="Arial" w:cs="Arial" w:eastAsia="Arial" w:hAnsi="Arial"/>
          <w:sz w:val="19"/>
          <w:szCs w:val="19"/>
          <w:color w:val="auto"/>
        </w:rPr>
        <w:t>Notwithstanding the foregoing, this Agreement and any other Loan Document may be amended (or amended and restated) with the written consent of the Required Lenders, the Administrative Agent and the Borrower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Incremental Term Loans and the accrued interest and fees in respect thereof and (y) to include appropriately the Lenders holding such credit facilities in any determination of the Required Lenders and Lenders (it being understood and agreed that any such amendment in connection with new or increases to the Commitments and/or Incremental Term Loans in accordance with Section 2.20 shall require solely the consent of the parties prescribed by such Section and shall not require the consent of the Required Lenders).</w:t>
      </w:r>
    </w:p>
    <w:p>
      <w:pPr>
        <w:spacing w:after="0" w:line="152" w:lineRule="exact"/>
        <w:rPr>
          <w:rFonts w:ascii="Arial" w:cs="Arial" w:eastAsia="Arial" w:hAnsi="Arial"/>
          <w:sz w:val="19"/>
          <w:szCs w:val="19"/>
          <w:color w:val="010000"/>
        </w:rPr>
      </w:pPr>
    </w:p>
    <w:p>
      <w:pPr>
        <w:jc w:val="both"/>
        <w:ind w:firstLine="1278"/>
        <w:spacing w:after="0" w:line="224" w:lineRule="auto"/>
        <w:tabs>
          <w:tab w:leader="none" w:pos="1896" w:val="left"/>
        </w:tabs>
        <w:numPr>
          <w:ilvl w:val="1"/>
          <w:numId w:val="166"/>
        </w:numPr>
        <w:rPr>
          <w:rFonts w:ascii="Arial" w:cs="Arial" w:eastAsia="Arial" w:hAnsi="Arial"/>
          <w:sz w:val="18"/>
          <w:szCs w:val="18"/>
          <w:color w:val="010000"/>
        </w:rPr>
      </w:pPr>
      <w:r>
        <w:rPr>
          <w:rFonts w:ascii="Arial" w:cs="Arial" w:eastAsia="Arial" w:hAnsi="Arial"/>
          <w:sz w:val="18"/>
          <w:szCs w:val="18"/>
          <w:color w:val="auto"/>
        </w:rPr>
        <w:t>The Lenders hereby irrevocably authorize the Administrative Agent, at its option and in its sole discretion, to release any Liens granted to the Administrative Agent by the Loan Parties on any Collateral (i) upon the satisfaction of the Final Release Conditions,</w:t>
      </w:r>
    </w:p>
    <w:p>
      <w:pPr>
        <w:jc w:val="both"/>
        <w:ind w:firstLine="6"/>
        <w:spacing w:after="0" w:line="218" w:lineRule="auto"/>
        <w:tabs>
          <w:tab w:leader="none" w:pos="32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upon the termination of all the Commitments, payment and satisfaction in full in cash of all Secured Obligations (other than Swap Obligations not yet due and payable, Banking Services Obligations not yet due and payable, Unliquidated Obligations for which no claim has been made and other Obligations expressly stated to survive such payment and termination), and the cash collateralization of all Unliquidated Obligations in a manner satisfactory to the Administrative Agent, (iii) constituting property being sold or disposed of if the Borrower certifies to the Administrative Agent that the sale or disposition is made in compliance with the terms of this Agreement (and the Administrative Agent may rely conclusively on any such certificate, without further inquiry), (iv) constituting property leased to the Borrower or any Subsidiary under a lease which has expired or been terminated in a transaction permitted under this Agreement or (v) as required to effect any sale or other disposition of such Collateral in connection with any exercise of remedies of the Administrative Agent and the Lenders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Any such release shall not in any manner discharge, affect, or impair the Secured Obligations or any Liens (other than those expressly being released) upon (or obligations of the Loan Parties in respect of) all interests retained by the Loan Parties, including the proceeds of any sale, all of which shall continue to constitute part of the Collateral (except to the extent any of the foregoing constitutes Excluded Assets). In 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Lien on such property that is permitted by Section 6.02(e) or (ii) in the event that the Borrower shall have advised the Administrative Agent that, notwithstanding the use by the Borrower of commercially reasonable efforts to obtain the consent of such holder (but without the requirement to pay any sums to obtain such consent)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92</w:t>
      </w:r>
    </w:p>
    <w:p>
      <w:pPr>
        <w:sectPr>
          <w:pgSz w:w="11900" w:h="16838" w:orient="portrait"/>
          <w:cols w:equalWidth="0" w:num="1">
            <w:col w:w="11240"/>
          </w:cols>
          <w:pgMar w:left="320" w:top="1381" w:right="339" w:bottom="1440" w:gutter="0" w:footer="0" w:header="0"/>
        </w:sectPr>
      </w:pPr>
    </w:p>
    <w:bookmarkStart w:id="131" w:name="page132"/>
    <w:bookmarkEnd w:id="131"/>
    <w:p>
      <w:pPr>
        <w:jc w:val="both"/>
        <w:spacing w:after="0" w:line="226" w:lineRule="auto"/>
        <w:rPr>
          <w:sz w:val="20"/>
          <w:szCs w:val="20"/>
          <w:color w:val="auto"/>
        </w:rPr>
      </w:pPr>
      <w:r>
        <w:rPr>
          <w:rFonts w:ascii="Arial" w:cs="Arial" w:eastAsia="Arial" w:hAnsi="Arial"/>
          <w:sz w:val="19"/>
          <w:szCs w:val="19"/>
          <w:color w:val="auto"/>
        </w:rPr>
        <w:t>permit the Administrative Agent to retain its liens (on a subordinated basis as contemplated by clause (i) above), the holder of such other Indebtedness requires, as a condition to the extension of such credit, that the Liens on such assets granted to or held by the Administrative Agent under any Loan Document be released, to release the Administrative Agent’s Liens on such assets.</w:t>
      </w:r>
    </w:p>
    <w:p>
      <w:pPr>
        <w:spacing w:after="0" w:line="151" w:lineRule="exact"/>
        <w:rPr>
          <w:sz w:val="20"/>
          <w:szCs w:val="20"/>
          <w:color w:val="auto"/>
        </w:rPr>
      </w:pPr>
    </w:p>
    <w:p>
      <w:pPr>
        <w:jc w:val="both"/>
        <w:ind w:firstLine="1278"/>
        <w:spacing w:after="0" w:line="218" w:lineRule="auto"/>
        <w:tabs>
          <w:tab w:leader="none" w:pos="1898"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then the Borrower may elect to replace a Non-Consenting Lender as a Lender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and (iii) such Non-Consenting Lender shall have received the outstanding principal amount of its Loans and participations in LC Disbursements.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documents shall be without recourse to or warranty by the parties thereto.</w:t>
      </w:r>
    </w:p>
    <w:p>
      <w:pPr>
        <w:spacing w:after="0" w:line="159" w:lineRule="exact"/>
        <w:rPr>
          <w:rFonts w:ascii="Arial" w:cs="Arial" w:eastAsia="Arial" w:hAnsi="Arial"/>
          <w:sz w:val="18"/>
          <w:szCs w:val="18"/>
          <w:color w:val="010000"/>
        </w:rPr>
      </w:pPr>
    </w:p>
    <w:p>
      <w:pPr>
        <w:jc w:val="both"/>
        <w:ind w:firstLine="1278"/>
        <w:spacing w:after="0" w:line="213" w:lineRule="auto"/>
        <w:tabs>
          <w:tab w:leader="none" w:pos="1903" w:val="left"/>
        </w:tabs>
        <w:numPr>
          <w:ilvl w:val="0"/>
          <w:numId w:val="168"/>
        </w:numPr>
        <w:rPr>
          <w:rFonts w:ascii="Arial" w:cs="Arial" w:eastAsia="Arial" w:hAnsi="Arial"/>
          <w:sz w:val="19"/>
          <w:szCs w:val="19"/>
          <w:color w:val="010000"/>
        </w:rPr>
      </w:pPr>
      <w:r>
        <w:rPr>
          <w:rFonts w:ascii="Arial" w:cs="Arial" w:eastAsia="Arial" w:hAnsi="Arial"/>
          <w:sz w:val="19"/>
          <w:szCs w:val="19"/>
          <w:color w:val="auto"/>
        </w:rPr>
        <w:t>Notwithstanding anything to the contrary herein the Administrative Agent may, with the consent of the Borrower or other applicable Loan Parties only, amend, modify or supplement this Agreement or any of the other Loan Documents (i) to cure any ambiguity, omission, mistake, defect or inconsistency or correct any typographical error or other manifest error in any Loan Document, (ii) to comply with local law or advice of local counsel in any jurisdiction the laws of which govern any Collateral Document or that are relevant to the creation, perfection, protection and/or priority of any Lien in favor of the Administrative Agent or (iii) to effect the granting, perfection, protection, expansion or enhancement of any security interest in any Collateral or additional property to become Collateral for the benefit of the Secured Parties.</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1.03.</w:t>
      </w:r>
      <w:r>
        <w:rPr>
          <w:rFonts w:ascii="Arial" w:cs="Arial" w:eastAsia="Arial" w:hAnsi="Arial"/>
          <w:sz w:val="19"/>
          <w:szCs w:val="19"/>
          <w:u w:val="single" w:color="auto"/>
          <w:color w:val="000000"/>
        </w:rPr>
        <w:t>Expenses; Limitation of Liability; Indemnity, Etc</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23" w:lineRule="auto"/>
        <w:tabs>
          <w:tab w:leader="none" w:pos="1898" w:val="left"/>
        </w:tabs>
        <w:numPr>
          <w:ilvl w:val="0"/>
          <w:numId w:val="169"/>
        </w:numPr>
        <w:rPr>
          <w:rFonts w:ascii="Arial" w:cs="Arial" w:eastAsia="Arial" w:hAnsi="Arial"/>
          <w:sz w:val="18"/>
          <w:szCs w:val="18"/>
          <w:color w:val="010000"/>
        </w:rPr>
      </w:pPr>
      <w:r>
        <w:rPr>
          <w:rFonts w:ascii="Arial" w:cs="Arial" w:eastAsia="Arial" w:hAnsi="Arial"/>
          <w:sz w:val="18"/>
          <w:szCs w:val="18"/>
          <w:u w:val="single" w:color="auto"/>
          <w:color w:val="auto"/>
        </w:rPr>
        <w:t>Expenses</w:t>
      </w:r>
      <w:r>
        <w:rPr>
          <w:rFonts w:ascii="Arial" w:cs="Arial" w:eastAsia="Arial" w:hAnsi="Arial"/>
          <w:sz w:val="18"/>
          <w:szCs w:val="18"/>
          <w:color w:val="auto"/>
        </w:rPr>
        <w:t>. The Borrower shall pay (i) all reasonable and documented out-of-pocket expenses incurred by the Administrative Agent and its Affiliates (which shall be limited, in the case of legal fees and expenses, to the reasonable and documented fees, charges and disbursements of a single counsel for the Administrative Agent and, if applicable, of a single local counsel to the Administrative Agent in each relevant jurisdiction (which may include a single special counsel acting in multiple other jurisdictions) and of such other counsel retained with the prior written consent of the Borrower (such consent not to be unreasonably withheld or delayed)),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93</w:t>
      </w:r>
    </w:p>
    <w:p>
      <w:pPr>
        <w:sectPr>
          <w:pgSz w:w="11900" w:h="16838" w:orient="portrait"/>
          <w:cols w:equalWidth="0" w:num="1">
            <w:col w:w="11240"/>
          </w:cols>
          <w:pgMar w:left="320" w:top="1381" w:right="339" w:bottom="1440" w:gutter="0" w:footer="0" w:header="0"/>
        </w:sectPr>
      </w:pPr>
    </w:p>
    <w:bookmarkStart w:id="132" w:name="page133"/>
    <w:bookmarkEnd w:id="132"/>
    <w:p>
      <w:pPr>
        <w:jc w:val="both"/>
        <w:spacing w:after="0" w:line="222" w:lineRule="auto"/>
        <w:rPr>
          <w:sz w:val="20"/>
          <w:szCs w:val="20"/>
          <w:color w:val="auto"/>
        </w:rPr>
      </w:pPr>
      <w:r>
        <w:rPr>
          <w:rFonts w:ascii="Arial" w:cs="Arial" w:eastAsia="Arial" w:hAnsi="Arial"/>
          <w:sz w:val="18"/>
          <w:szCs w:val="18"/>
          <w:color w:val="auto"/>
        </w:rPr>
        <w:t>issuance, amendment or extension of any Letter of Credit or any demand for payment thereunder and (iii) all documented out-of-pocket expenses incurred by the Administrative Agent, the Issuing Bank or any Lender (which shall be limited, in the case of legal fees and expenses, to the reasonable and documented fees, charges and disbursements of one counsel for the Administrative Agent, the Issuing Bank and the Lenders (and, if applicable, of a single local counsel to the Administrative Agent, the Issuing Bank and the Lenders in each relevant jurisdiction (which may include a single special counsel acting in multiple other jurisdictions)), unless a Lender or its counsel reasonably determines that it would create actual or potential conflicts of interest to not have individual counsel, in which case similarly affected Lenders may have one additional firm of counsel)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(subject to the foregoing limitations with respect to legal fees and expenses) incurred during any workout, restructuring or negotiations in respect of such Loans or Letters of Credit.</w:t>
      </w:r>
    </w:p>
    <w:p>
      <w:pPr>
        <w:spacing w:after="0" w:line="152" w:lineRule="exact"/>
        <w:rPr>
          <w:sz w:val="20"/>
          <w:szCs w:val="20"/>
          <w:color w:val="auto"/>
        </w:rPr>
      </w:pPr>
    </w:p>
    <w:p>
      <w:pPr>
        <w:jc w:val="both"/>
        <w:ind w:firstLine="1278"/>
        <w:spacing w:after="0" w:line="208" w:lineRule="auto"/>
        <w:tabs>
          <w:tab w:leader="none" w:pos="1896" w:val="left"/>
        </w:tabs>
        <w:numPr>
          <w:ilvl w:val="0"/>
          <w:numId w:val="170"/>
        </w:numPr>
        <w:rPr>
          <w:rFonts w:ascii="Arial" w:cs="Arial" w:eastAsia="Arial" w:hAnsi="Arial"/>
          <w:sz w:val="19"/>
          <w:szCs w:val="19"/>
          <w:color w:val="010000"/>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To the extent permitted by applicable law (i) the Borrower and any other Loan Party shall not assert, and the Borrower and each other Loan Party hereby waives, any claim against the Administrative Agent, the Arranger, the Issuing Bank and any Lender, and any Related Party of any of the foregoing Persons (each such Person being called a “</w:t>
      </w:r>
      <w:r>
        <w:rPr>
          <w:rFonts w:ascii="Arial" w:cs="Arial" w:eastAsia="Arial" w:hAnsi="Arial"/>
          <w:sz w:val="19"/>
          <w:szCs w:val="19"/>
          <w:u w:val="single" w:color="auto"/>
          <w:color w:val="auto"/>
        </w:rPr>
        <w:t>Lender-Related Person</w:t>
      </w:r>
      <w:r>
        <w:rPr>
          <w:rFonts w:ascii="Arial" w:cs="Arial" w:eastAsia="Arial" w:hAnsi="Arial"/>
          <w:sz w:val="19"/>
          <w:szCs w:val="19"/>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except in the case of this clause (i) to the extent that such Liabilities are found by a final, non-appealable judgment of a court of competent jurisdiction to have resulted from the bad faith, willful misconduct or gross negligence of such Lender-Related Person,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Section 9.03(b) shall relieve the Borrower or any other Loan Party of any obligation it may have to indemnify an Indemnitee, as provided in Section 9.03(c), against any special, indirect, consequential or punitive damages asserted against such Indemnitee by a third party.</w:t>
      </w:r>
    </w:p>
    <w:p>
      <w:pPr>
        <w:spacing w:after="0" w:line="161" w:lineRule="exact"/>
        <w:rPr>
          <w:rFonts w:ascii="Arial" w:cs="Arial" w:eastAsia="Arial" w:hAnsi="Arial"/>
          <w:sz w:val="19"/>
          <w:szCs w:val="19"/>
          <w:color w:val="010000"/>
        </w:rPr>
      </w:pPr>
    </w:p>
    <w:p>
      <w:pPr>
        <w:jc w:val="both"/>
        <w:ind w:firstLine="1278"/>
        <w:spacing w:after="0" w:line="231" w:lineRule="auto"/>
        <w:tabs>
          <w:tab w:leader="none" w:pos="1898" w:val="left"/>
        </w:tabs>
        <w:numPr>
          <w:ilvl w:val="0"/>
          <w:numId w:val="170"/>
        </w:numPr>
        <w:rPr>
          <w:rFonts w:ascii="Arial" w:cs="Arial" w:eastAsia="Arial" w:hAnsi="Arial"/>
          <w:sz w:val="17"/>
          <w:szCs w:val="17"/>
          <w:color w:val="010000"/>
        </w:rPr>
      </w:pPr>
      <w:r>
        <w:rPr>
          <w:rFonts w:ascii="Arial" w:cs="Arial" w:eastAsia="Arial" w:hAnsi="Arial"/>
          <w:sz w:val="17"/>
          <w:szCs w:val="17"/>
          <w:u w:val="single" w:color="auto"/>
          <w:color w:val="auto"/>
        </w:rPr>
        <w:t>Indemnity</w:t>
      </w:r>
      <w:r>
        <w:rPr>
          <w:rFonts w:ascii="Arial" w:cs="Arial" w:eastAsia="Arial" w:hAnsi="Arial"/>
          <w:sz w:val="17"/>
          <w:szCs w:val="17"/>
          <w:color w:val="auto"/>
        </w:rPr>
        <w:t>. The Borrower shall indemnify the Administrative Agent, the Arranger, the Issuing Bank and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Liabilities and related expenses (which shall be limited, in the case of legal fees and expenses, to the reasonable and documented fees, charges and disbursements of one counsel for the Indemnitees (and, if applicable, of a single local counsel to the Indemnitees in each relevant jurisdiction (which may include a single special counsel acting in multiple other jurisdictions) and regulatory counsel) unless an Indemnitee or its counsel reasonably determines that it would create actual or potential conflicts of interest to not have individual counsel, in which case similarly affected Indemnitees may have one additional firm of counsel (and, to the extent reasonably required by such Indemnitees, a single local counsel for all of the such Indemnitees in each relevant jurisdiction and regulatory counsel)) incurred by or asserted against any Indemnitee arising out of, in connection with, or as a result of (i) the execution or delivery of this Agreement, any other Loan Document, or any agreement or instrument contemplated hereby or thereby, (ii) the performance by the parties hereto of their respective obligations hereunder or thereunder or the consummation of the Transactions or any other transactions contemplated hereby, (iii)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(iv) any actual or alleged presence or release of Hazardous Materials on or from any property owned or operated by the Borrower or any of its Subsidiaries, or any Environmental Liability related in any way to the Borrower or any of its Subsidiaries, or (v) any actual or prospective Proceeding relating to any of the foregoing, whether or not such Proceeding is brought by the Borrower or any other Loan Party or its or their respective equity holders, Affiliates, creditors or any other third Person and whether based on contract, tort or any other theory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Liabilities or related expenses are determined by a court of competent jurisdiction by final and nonappealable judgment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94</w:t>
      </w:r>
    </w:p>
    <w:p>
      <w:pPr>
        <w:sectPr>
          <w:pgSz w:w="11900" w:h="16838" w:orient="portrait"/>
          <w:cols w:equalWidth="0" w:num="1">
            <w:col w:w="11240"/>
          </w:cols>
          <w:pgMar w:left="320" w:top="1381" w:right="339" w:bottom="1440" w:gutter="0" w:footer="0" w:header="0"/>
        </w:sectPr>
      </w:pPr>
    </w:p>
    <w:bookmarkStart w:id="133" w:name="page134"/>
    <w:bookmarkEnd w:id="133"/>
    <w:p>
      <w:pPr>
        <w:jc w:val="both"/>
        <w:spacing w:after="0" w:line="229" w:lineRule="auto"/>
        <w:rPr>
          <w:sz w:val="20"/>
          <w:szCs w:val="20"/>
          <w:color w:val="auto"/>
        </w:rPr>
      </w:pPr>
      <w:r>
        <w:rPr>
          <w:rFonts w:ascii="Arial" w:cs="Arial" w:eastAsia="Arial" w:hAnsi="Arial"/>
          <w:sz w:val="18"/>
          <w:szCs w:val="18"/>
          <w:color w:val="auto"/>
        </w:rPr>
        <w:t>have resulted from (i) the bad faith, gross negligence or willful misconduct of such Indemnitee, (ii) the material breach by such Indemnitee of its express obligations under this Agreement or the other Loan Documents or (iii) disputes solely between and among Indemnitees not arising from any act or omission of the Borrower or any of its Affiliates (other than claims against an Indemnitee acting in its capacity as the Administrative Agent, Arranger, Swingline Lender or Issuing Bank under this Agreement or the other Loan Documents). This Section 9.03(c) shall not apply with respect to Taxes other than any Taxes that represent losses, claims or damages arising from any non-Tax claim.</w:t>
      </w:r>
    </w:p>
    <w:p>
      <w:pPr>
        <w:spacing w:after="0" w:line="152" w:lineRule="exact"/>
        <w:rPr>
          <w:sz w:val="20"/>
          <w:szCs w:val="20"/>
          <w:color w:val="auto"/>
        </w:rPr>
      </w:pPr>
    </w:p>
    <w:p>
      <w:pPr>
        <w:jc w:val="both"/>
        <w:ind w:firstLine="1278"/>
        <w:spacing w:after="0" w:line="213" w:lineRule="auto"/>
        <w:tabs>
          <w:tab w:leader="none" w:pos="1896" w:val="left"/>
        </w:tabs>
        <w:numPr>
          <w:ilvl w:val="0"/>
          <w:numId w:val="171"/>
        </w:numPr>
        <w:rPr>
          <w:rFonts w:ascii="Arial" w:cs="Arial" w:eastAsia="Arial" w:hAnsi="Arial"/>
          <w:sz w:val="19"/>
          <w:szCs w:val="19"/>
          <w:color w:val="010000"/>
        </w:rPr>
      </w:pPr>
      <w:r>
        <w:rPr>
          <w:rFonts w:ascii="Arial" w:cs="Arial" w:eastAsia="Arial" w:hAnsi="Arial"/>
          <w:sz w:val="19"/>
          <w:szCs w:val="19"/>
          <w:u w:val="single" w:color="auto"/>
          <w:color w:val="auto"/>
        </w:rPr>
        <w:t>Lender Reimbursement</w:t>
      </w:r>
      <w:r>
        <w:rPr>
          <w:rFonts w:ascii="Arial" w:cs="Arial" w:eastAsia="Arial" w:hAnsi="Arial"/>
          <w:sz w:val="19"/>
          <w:szCs w:val="19"/>
          <w:color w:val="auto"/>
        </w:rPr>
        <w:t>. To the extent that the Borrower fails to pay any amount required to be paid by it under paragraph (a), (b) or (c) of this Section 9.03, each Lender severally agrees to pay to the Administrative Agent, the Issuing Bank, the Swingline Lender and each Related Party of any of the foregoing Persons (each, an “</w:t>
      </w:r>
      <w:r>
        <w:rPr>
          <w:rFonts w:ascii="Arial" w:cs="Arial" w:eastAsia="Arial" w:hAnsi="Arial"/>
          <w:sz w:val="19"/>
          <w:szCs w:val="19"/>
          <w:u w:val="single" w:color="auto"/>
          <w:color w:val="auto"/>
        </w:rPr>
        <w:t>Agent-Related Person</w:t>
      </w:r>
      <w:r>
        <w:rPr>
          <w:rFonts w:ascii="Arial" w:cs="Arial" w:eastAsia="Arial" w:hAnsi="Arial"/>
          <w:sz w:val="19"/>
          <w:szCs w:val="19"/>
          <w:color w:val="auto"/>
        </w:rPr>
        <w:t xml:space="preserve">”), as the case may be, such Lender’s Applicable Percentage (determined as of the time that the applicable payment is sought) of such unpaid amount (it being understood that the Borrower’s failure to pay any such amount shall not relieve the Borrower of any default in the payment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Liability or related expense, as the case may be, was incurred by or asserted against such Agent-Related Person in its capacity as such.</w:t>
      </w:r>
    </w:p>
    <w:p>
      <w:pPr>
        <w:spacing w:after="0" w:line="153" w:lineRule="exact"/>
        <w:rPr>
          <w:rFonts w:ascii="Arial" w:cs="Arial" w:eastAsia="Arial" w:hAnsi="Arial"/>
          <w:sz w:val="19"/>
          <w:szCs w:val="19"/>
          <w:color w:val="010000"/>
        </w:rPr>
      </w:pPr>
    </w:p>
    <w:p>
      <w:pPr>
        <w:ind w:left="1900" w:hanging="622"/>
        <w:spacing w:after="0"/>
        <w:tabs>
          <w:tab w:leader="none" w:pos="1900" w:val="left"/>
        </w:tabs>
        <w:numPr>
          <w:ilvl w:val="0"/>
          <w:numId w:val="171"/>
        </w:numPr>
        <w:rPr>
          <w:rFonts w:ascii="Arial" w:cs="Arial" w:eastAsia="Arial" w:hAnsi="Arial"/>
          <w:sz w:val="17"/>
          <w:szCs w:val="17"/>
          <w:color w:val="010000"/>
        </w:rPr>
      </w:pPr>
      <w:r>
        <w:rPr>
          <w:rFonts w:ascii="Arial" w:cs="Arial" w:eastAsia="Arial" w:hAnsi="Arial"/>
          <w:sz w:val="17"/>
          <w:szCs w:val="17"/>
          <w:u w:val="single" w:color="auto"/>
          <w:color w:val="auto"/>
        </w:rPr>
        <w:t>Payments</w:t>
      </w:r>
      <w:r>
        <w:rPr>
          <w:rFonts w:ascii="Arial" w:cs="Arial" w:eastAsia="Arial" w:hAnsi="Arial"/>
          <w:sz w:val="17"/>
          <w:szCs w:val="17"/>
          <w:color w:val="auto"/>
        </w:rPr>
        <w:t>. All amounts due under this Section 9.03 shall be payable not later than thirty (30) days after written demand</w:t>
      </w:r>
    </w:p>
    <w:p>
      <w:pPr>
        <w:spacing w:after="0" w:line="6"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9"/>
          <w:szCs w:val="19"/>
          <w:color w:val="auto"/>
        </w:rPr>
        <w:t>therefor.</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1.04.</w:t>
      </w:r>
      <w:r>
        <w:rPr>
          <w:rFonts w:ascii="Arial" w:cs="Arial" w:eastAsia="Arial" w:hAnsi="Arial"/>
          <w:sz w:val="19"/>
          <w:szCs w:val="19"/>
          <w:u w:val="single" w:color="auto"/>
          <w:color w:val="000000"/>
        </w:rPr>
        <w:t>Successors and Assigns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24" w:lineRule="auto"/>
        <w:tabs>
          <w:tab w:leader="none" w:pos="1898" w:val="left"/>
        </w:tabs>
        <w:numPr>
          <w:ilvl w:val="1"/>
          <w:numId w:val="172"/>
        </w:numPr>
        <w:rPr>
          <w:rFonts w:ascii="Arial" w:cs="Arial" w:eastAsia="Arial" w:hAnsi="Arial"/>
          <w:sz w:val="18"/>
          <w:szCs w:val="18"/>
          <w:color w:val="010000"/>
        </w:rPr>
      </w:pPr>
      <w:r>
        <w:rPr>
          <w:rFonts w:ascii="Arial" w:cs="Arial" w:eastAsia="Arial" w:hAnsi="Arial"/>
          <w:sz w:val="18"/>
          <w:szCs w:val="18"/>
          <w:color w:val="auto"/>
        </w:rPr>
        <w:t>The provisions of this Agreement shall be binding upon and inure to the benefit of the parties hereto and their respective successors and assigns permitted hereby (including any Affiliate of the Issuing Bank that issues any Letter of Credit), except that</w:t>
      </w:r>
    </w:p>
    <w:p>
      <w:pPr>
        <w:jc w:val="both"/>
        <w:ind w:firstLine="6"/>
        <w:spacing w:after="0" w:line="222" w:lineRule="auto"/>
        <w:tabs>
          <w:tab w:leader="none" w:pos="23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54" w:lineRule="exact"/>
        <w:rPr>
          <w:rFonts w:ascii="Arial" w:cs="Arial" w:eastAsia="Arial" w:hAnsi="Arial"/>
          <w:sz w:val="18"/>
          <w:szCs w:val="18"/>
          <w:color w:val="auto"/>
        </w:rPr>
      </w:pPr>
    </w:p>
    <w:p>
      <w:pPr>
        <w:jc w:val="both"/>
        <w:ind w:firstLine="1278"/>
        <w:spacing w:after="0" w:line="220" w:lineRule="auto"/>
        <w:tabs>
          <w:tab w:leader="none" w:pos="1964" w:val="left"/>
        </w:tabs>
        <w:numPr>
          <w:ilvl w:val="1"/>
          <w:numId w:val="173"/>
        </w:numPr>
        <w:rPr>
          <w:rFonts w:ascii="Arial" w:cs="Arial" w:eastAsia="Arial" w:hAnsi="Arial"/>
          <w:sz w:val="19"/>
          <w:szCs w:val="19"/>
          <w:color w:val="010000"/>
        </w:rPr>
      </w:pPr>
      <w:r>
        <w:rPr>
          <w:rFonts w:ascii="Arial" w:cs="Arial" w:eastAsia="Arial" w:hAnsi="Arial"/>
          <w:sz w:val="19"/>
          <w:szCs w:val="19"/>
          <w:color w:val="auto"/>
        </w:rPr>
        <w:t>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conditioned or delayed) of:</w:t>
      </w:r>
    </w:p>
    <w:p>
      <w:pPr>
        <w:spacing w:after="0" w:line="152" w:lineRule="exact"/>
        <w:rPr>
          <w:rFonts w:ascii="Arial" w:cs="Arial" w:eastAsia="Arial" w:hAnsi="Arial"/>
          <w:sz w:val="19"/>
          <w:szCs w:val="19"/>
          <w:color w:val="010000"/>
        </w:rPr>
      </w:pPr>
    </w:p>
    <w:p>
      <w:pPr>
        <w:jc w:val="both"/>
        <w:ind w:left="1280" w:firstLine="634"/>
        <w:spacing w:after="0" w:line="217" w:lineRule="auto"/>
        <w:tabs>
          <w:tab w:leader="none" w:pos="2543" w:val="left"/>
        </w:tabs>
        <w:numPr>
          <w:ilvl w:val="2"/>
          <w:numId w:val="173"/>
        </w:numPr>
        <w:rPr>
          <w:rFonts w:ascii="Arial" w:cs="Arial" w:eastAsia="Arial" w:hAnsi="Arial"/>
          <w:sz w:val="19"/>
          <w:szCs w:val="19"/>
          <w:color w:val="010000"/>
        </w:rPr>
      </w:pPr>
      <w:r>
        <w:rPr>
          <w:rFonts w:ascii="Arial" w:cs="Arial" w:eastAsia="Arial" w:hAnsi="Arial"/>
          <w:sz w:val="19"/>
          <w:szCs w:val="19"/>
          <w:color w:val="auto"/>
        </w:rPr>
        <w:t>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deemed to have consented to any such assignment unless it shall object thereto by written notice to the Administrative Agent within ten (10) Business Days after having received notice thereof);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consent of the Borrower shall be required for an assignment to a Lender, an Affiliate of a Lender, an Approved Fund or, if an Event of Default under Section 7.01(a), (b), (h), (i) or (j) has occurred and is continuing, any other assignee;</w:t>
      </w:r>
    </w:p>
    <w:p>
      <w:pPr>
        <w:spacing w:after="0" w:line="151" w:lineRule="exact"/>
        <w:rPr>
          <w:rFonts w:ascii="Arial" w:cs="Arial" w:eastAsia="Arial" w:hAnsi="Arial"/>
          <w:sz w:val="19"/>
          <w:szCs w:val="19"/>
          <w:color w:val="010000"/>
        </w:rPr>
      </w:pPr>
    </w:p>
    <w:p>
      <w:pPr>
        <w:ind w:left="2540" w:hanging="626"/>
        <w:spacing w:after="0"/>
        <w:tabs>
          <w:tab w:leader="none" w:pos="2540" w:val="left"/>
        </w:tabs>
        <w:numPr>
          <w:ilvl w:val="2"/>
          <w:numId w:val="173"/>
        </w:numPr>
        <w:rPr>
          <w:rFonts w:ascii="Arial" w:cs="Arial" w:eastAsia="Arial" w:hAnsi="Arial"/>
          <w:sz w:val="19"/>
          <w:szCs w:val="19"/>
          <w:color w:val="010000"/>
        </w:rPr>
      </w:pPr>
      <w:r>
        <w:rPr>
          <w:rFonts w:ascii="Arial" w:cs="Arial" w:eastAsia="Arial" w:hAnsi="Arial"/>
          <w:sz w:val="19"/>
          <w:szCs w:val="19"/>
          <w:color w:val="auto"/>
        </w:rPr>
        <w:t>the Administrative Agent;</w:t>
      </w:r>
    </w:p>
    <w:p>
      <w:pPr>
        <w:spacing w:after="0" w:line="179" w:lineRule="exact"/>
        <w:rPr>
          <w:rFonts w:ascii="Arial" w:cs="Arial" w:eastAsia="Arial" w:hAnsi="Arial"/>
          <w:sz w:val="19"/>
          <w:szCs w:val="19"/>
          <w:color w:val="010000"/>
        </w:rPr>
      </w:pPr>
    </w:p>
    <w:p>
      <w:pPr>
        <w:ind w:left="2540" w:hanging="626"/>
        <w:spacing w:after="0"/>
        <w:tabs>
          <w:tab w:leader="none" w:pos="2540" w:val="left"/>
        </w:tabs>
        <w:numPr>
          <w:ilvl w:val="2"/>
          <w:numId w:val="173"/>
        </w:numPr>
        <w:rPr>
          <w:rFonts w:ascii="Arial" w:cs="Arial" w:eastAsia="Arial" w:hAnsi="Arial"/>
          <w:sz w:val="19"/>
          <w:szCs w:val="19"/>
          <w:color w:val="010000"/>
        </w:rPr>
      </w:pPr>
      <w:r>
        <w:rPr>
          <w:rFonts w:ascii="Arial" w:cs="Arial" w:eastAsia="Arial" w:hAnsi="Arial"/>
          <w:sz w:val="19"/>
          <w:szCs w:val="19"/>
          <w:color w:val="auto"/>
        </w:rPr>
        <w:t>the Issuing Bank; and</w:t>
      </w:r>
    </w:p>
    <w:p>
      <w:pPr>
        <w:spacing w:after="0" w:line="179" w:lineRule="exact"/>
        <w:rPr>
          <w:rFonts w:ascii="Arial" w:cs="Arial" w:eastAsia="Arial" w:hAnsi="Arial"/>
          <w:sz w:val="19"/>
          <w:szCs w:val="19"/>
          <w:color w:val="010000"/>
        </w:rPr>
      </w:pPr>
    </w:p>
    <w:p>
      <w:pPr>
        <w:ind w:left="2540" w:hanging="626"/>
        <w:spacing w:after="0"/>
        <w:tabs>
          <w:tab w:leader="none" w:pos="2540" w:val="left"/>
        </w:tabs>
        <w:numPr>
          <w:ilvl w:val="2"/>
          <w:numId w:val="173"/>
        </w:numPr>
        <w:rPr>
          <w:rFonts w:ascii="Arial" w:cs="Arial" w:eastAsia="Arial" w:hAnsi="Arial"/>
          <w:sz w:val="19"/>
          <w:szCs w:val="19"/>
          <w:color w:val="010000"/>
        </w:rPr>
      </w:pPr>
      <w:r>
        <w:rPr>
          <w:rFonts w:ascii="Arial" w:cs="Arial" w:eastAsia="Arial" w:hAnsi="Arial"/>
          <w:sz w:val="19"/>
          <w:szCs w:val="19"/>
          <w:color w:val="auto"/>
        </w:rPr>
        <w:t>the Swingline Lender.</w:t>
      </w:r>
    </w:p>
    <w:p>
      <w:pPr>
        <w:spacing w:after="0" w:line="179" w:lineRule="exact"/>
        <w:rPr>
          <w:sz w:val="20"/>
          <w:szCs w:val="20"/>
          <w:color w:val="auto"/>
        </w:rPr>
      </w:pPr>
    </w:p>
    <w:p>
      <w:pPr>
        <w:ind w:left="1920" w:hanging="642"/>
        <w:spacing w:after="0"/>
        <w:tabs>
          <w:tab w:leader="none" w:pos="1920" w:val="left"/>
        </w:tabs>
        <w:numPr>
          <w:ilvl w:val="0"/>
          <w:numId w:val="174"/>
        </w:numPr>
        <w:rPr>
          <w:rFonts w:ascii="Arial" w:cs="Arial" w:eastAsia="Arial" w:hAnsi="Arial"/>
          <w:sz w:val="19"/>
          <w:szCs w:val="19"/>
          <w:color w:val="010000"/>
        </w:rPr>
      </w:pPr>
      <w:r>
        <w:rPr>
          <w:rFonts w:ascii="Arial" w:cs="Arial" w:eastAsia="Arial" w:hAnsi="Arial"/>
          <w:sz w:val="19"/>
          <w:szCs w:val="19"/>
          <w:color w:val="auto"/>
        </w:rPr>
        <w:t>Assignments shall be subject to the following additional conditions:</w:t>
      </w:r>
    </w:p>
    <w:p>
      <w:pPr>
        <w:spacing w:after="0" w:line="200" w:lineRule="exact"/>
        <w:rPr>
          <w:rFonts w:ascii="Arial" w:cs="Arial" w:eastAsia="Arial" w:hAnsi="Arial"/>
          <w:sz w:val="19"/>
          <w:szCs w:val="19"/>
          <w:color w:val="010000"/>
        </w:rPr>
      </w:pPr>
    </w:p>
    <w:p>
      <w:pPr>
        <w:spacing w:after="0" w:line="200" w:lineRule="exact"/>
        <w:rPr>
          <w:rFonts w:ascii="Arial" w:cs="Arial" w:eastAsia="Arial" w:hAnsi="Arial"/>
          <w:sz w:val="19"/>
          <w:szCs w:val="19"/>
          <w:color w:val="010000"/>
        </w:rPr>
      </w:pPr>
    </w:p>
    <w:p>
      <w:pPr>
        <w:spacing w:after="0" w:line="200" w:lineRule="exact"/>
        <w:rPr>
          <w:rFonts w:ascii="Arial" w:cs="Arial" w:eastAsia="Arial" w:hAnsi="Arial"/>
          <w:sz w:val="19"/>
          <w:szCs w:val="19"/>
          <w:color w:val="010000"/>
        </w:rPr>
      </w:pPr>
    </w:p>
    <w:p>
      <w:pPr>
        <w:spacing w:after="0" w:line="200" w:lineRule="exact"/>
        <w:rPr>
          <w:rFonts w:ascii="Arial" w:cs="Arial" w:eastAsia="Arial" w:hAnsi="Arial"/>
          <w:sz w:val="19"/>
          <w:szCs w:val="19"/>
          <w:color w:val="010000"/>
        </w:rPr>
      </w:pPr>
    </w:p>
    <w:p>
      <w:pPr>
        <w:spacing w:after="0" w:line="200" w:lineRule="exact"/>
        <w:rPr>
          <w:rFonts w:ascii="Arial" w:cs="Arial" w:eastAsia="Arial" w:hAnsi="Arial"/>
          <w:sz w:val="19"/>
          <w:szCs w:val="19"/>
          <w:color w:val="010000"/>
        </w:rPr>
      </w:pPr>
    </w:p>
    <w:p>
      <w:pPr>
        <w:spacing w:after="0" w:line="265" w:lineRule="exact"/>
        <w:rPr>
          <w:rFonts w:ascii="Arial" w:cs="Arial" w:eastAsia="Arial" w:hAnsi="Arial"/>
          <w:sz w:val="19"/>
          <w:szCs w:val="19"/>
          <w:color w:val="010000"/>
        </w:rPr>
      </w:pPr>
    </w:p>
    <w:p>
      <w:pPr>
        <w:ind w:left="5520"/>
        <w:spacing w:after="0"/>
        <w:rPr>
          <w:rFonts w:ascii="Arial" w:cs="Arial" w:eastAsia="Arial" w:hAnsi="Arial"/>
          <w:sz w:val="19"/>
          <w:szCs w:val="19"/>
          <w:color w:val="010000"/>
        </w:rPr>
      </w:pPr>
      <w:r>
        <w:rPr>
          <w:rFonts w:ascii="Arial" w:cs="Arial" w:eastAsia="Arial" w:hAnsi="Arial"/>
          <w:sz w:val="19"/>
          <w:szCs w:val="19"/>
          <w:color w:val="auto"/>
        </w:rPr>
        <w:t>95</w:t>
      </w:r>
    </w:p>
    <w:p>
      <w:pPr>
        <w:sectPr>
          <w:pgSz w:w="11900" w:h="16838" w:orient="portrait"/>
          <w:cols w:equalWidth="0" w:num="1">
            <w:col w:w="11240"/>
          </w:cols>
          <w:pgMar w:left="320" w:top="1381" w:right="339" w:bottom="1440" w:gutter="0" w:footer="0" w:header="0"/>
        </w:sectPr>
      </w:pPr>
    </w:p>
    <w:bookmarkStart w:id="134" w:name="page135"/>
    <w:bookmarkEnd w:id="134"/>
    <w:p>
      <w:pPr>
        <w:jc w:val="both"/>
        <w:ind w:left="1280" w:firstLine="634"/>
        <w:spacing w:after="0" w:line="226" w:lineRule="auto"/>
        <w:tabs>
          <w:tab w:leader="none" w:pos="2543"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Borrower shall be required if an Event of Default under Section 7.01(a), (b), (h), (i) or (j) has occurred and is continuing;</w:t>
      </w:r>
    </w:p>
    <w:p>
      <w:pPr>
        <w:spacing w:after="0" w:line="155" w:lineRule="exact"/>
        <w:rPr>
          <w:rFonts w:ascii="Arial" w:cs="Arial" w:eastAsia="Arial" w:hAnsi="Arial"/>
          <w:sz w:val="18"/>
          <w:szCs w:val="18"/>
          <w:color w:val="010000"/>
        </w:rPr>
      </w:pPr>
    </w:p>
    <w:p>
      <w:pPr>
        <w:jc w:val="both"/>
        <w:ind w:left="1280" w:firstLine="634"/>
        <w:spacing w:after="0" w:line="238" w:lineRule="auto"/>
        <w:tabs>
          <w:tab w:leader="none" w:pos="2546"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 xml:space="preserve">each partial assignment shall be made as an assignment of a proportionate part of all the assigning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shall not be construed to prohibit the assignment of a proportionate part of all the assigning Lender’s rights and obligations in respect of one Class of Commitments or Loans;</w:t>
      </w:r>
    </w:p>
    <w:p>
      <w:pPr>
        <w:spacing w:after="0" w:line="152" w:lineRule="exact"/>
        <w:rPr>
          <w:rFonts w:ascii="Arial" w:cs="Arial" w:eastAsia="Arial" w:hAnsi="Arial"/>
          <w:sz w:val="18"/>
          <w:szCs w:val="18"/>
          <w:color w:val="010000"/>
        </w:rPr>
      </w:pPr>
    </w:p>
    <w:p>
      <w:pPr>
        <w:jc w:val="both"/>
        <w:ind w:left="1280" w:firstLine="634"/>
        <w:spacing w:after="0" w:line="220" w:lineRule="auto"/>
        <w:tabs>
          <w:tab w:leader="none" w:pos="2546" w:val="left"/>
        </w:tabs>
        <w:numPr>
          <w:ilvl w:val="0"/>
          <w:numId w:val="175"/>
        </w:numPr>
        <w:rPr>
          <w:rFonts w:ascii="Arial" w:cs="Arial" w:eastAsia="Arial" w:hAnsi="Arial"/>
          <w:sz w:val="19"/>
          <w:szCs w:val="19"/>
          <w:color w:val="010000"/>
        </w:rPr>
      </w:pPr>
      <w:r>
        <w:rPr>
          <w:rFonts w:ascii="Arial" w:cs="Arial" w:eastAsia="Arial" w:hAnsi="Arial"/>
          <w:sz w:val="19"/>
          <w:szCs w:val="19"/>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52" w:lineRule="exact"/>
        <w:rPr>
          <w:rFonts w:ascii="Arial" w:cs="Arial" w:eastAsia="Arial" w:hAnsi="Arial"/>
          <w:sz w:val="19"/>
          <w:szCs w:val="19"/>
          <w:color w:val="010000"/>
        </w:rPr>
      </w:pPr>
    </w:p>
    <w:p>
      <w:pPr>
        <w:jc w:val="both"/>
        <w:ind w:left="1280" w:firstLine="634"/>
        <w:spacing w:after="0" w:line="217" w:lineRule="auto"/>
        <w:tabs>
          <w:tab w:leader="none" w:pos="2543" w:val="left"/>
        </w:tabs>
        <w:numPr>
          <w:ilvl w:val="0"/>
          <w:numId w:val="175"/>
        </w:numPr>
        <w:rPr>
          <w:rFonts w:ascii="Arial" w:cs="Arial" w:eastAsia="Arial" w:hAnsi="Arial"/>
          <w:sz w:val="19"/>
          <w:szCs w:val="19"/>
          <w:color w:val="010000"/>
        </w:rPr>
      </w:pPr>
      <w:r>
        <w:rPr>
          <w:rFonts w:ascii="Arial" w:cs="Arial" w:eastAsia="Arial" w:hAnsi="Arial"/>
          <w:sz w:val="19"/>
          <w:szCs w:val="19"/>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the purposes of this Section 9.04(b), the terms “Approved Fund” and “Ineligible Institution” have the following meanings:</w:t>
      </w:r>
    </w:p>
    <w:p>
      <w:pPr>
        <w:spacing w:after="0" w:line="191"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51"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Ineligible Institution</w:t>
      </w:r>
      <w:r>
        <w:rPr>
          <w:rFonts w:ascii="Arial" w:cs="Arial" w:eastAsia="Arial" w:hAnsi="Arial"/>
          <w:sz w:val="19"/>
          <w:szCs w:val="19"/>
          <w:color w:val="auto"/>
        </w:rPr>
        <w:t>” means (a) a natural person, (b) a Defaulting Lender or its Lender Parent, (c) the Borrower, any of its Subsidiaries or any of its Affiliates, or (d) a company, investment vehicle or trust for, or owned and operated for the primary benefit of, a natural person or relative(s) thereof.</w:t>
      </w:r>
    </w:p>
    <w:p>
      <w:pPr>
        <w:spacing w:after="0" w:line="151" w:lineRule="exact"/>
        <w:rPr>
          <w:sz w:val="20"/>
          <w:szCs w:val="20"/>
          <w:color w:val="auto"/>
        </w:rPr>
      </w:pPr>
    </w:p>
    <w:p>
      <w:pPr>
        <w:jc w:val="both"/>
        <w:ind w:left="640" w:firstLine="638"/>
        <w:spacing w:after="0" w:line="223" w:lineRule="auto"/>
        <w:tabs>
          <w:tab w:leader="none" w:pos="1912"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96</w:t>
      </w:r>
    </w:p>
    <w:p>
      <w:pPr>
        <w:sectPr>
          <w:pgSz w:w="11900" w:h="16838" w:orient="portrait"/>
          <w:cols w:equalWidth="0" w:num="1">
            <w:col w:w="11240"/>
          </w:cols>
          <w:pgMar w:left="320" w:top="1381" w:right="339" w:bottom="1440" w:gutter="0" w:footer="0" w:header="0"/>
        </w:sectPr>
      </w:pPr>
    </w:p>
    <w:bookmarkStart w:id="135" w:name="page136"/>
    <w:bookmarkEnd w:id="135"/>
    <w:p>
      <w:pPr>
        <w:jc w:val="both"/>
        <w:ind w:left="640" w:firstLine="638"/>
        <w:spacing w:after="0" w:line="212" w:lineRule="auto"/>
        <w:tabs>
          <w:tab w:leader="none" w:pos="1901" w:val="left"/>
        </w:tabs>
        <w:numPr>
          <w:ilvl w:val="0"/>
          <w:numId w:val="177"/>
        </w:numPr>
        <w:rPr>
          <w:rFonts w:ascii="Arial" w:cs="Arial" w:eastAsia="Arial" w:hAnsi="Arial"/>
          <w:sz w:val="19"/>
          <w:szCs w:val="19"/>
          <w:color w:val="010000"/>
        </w:rPr>
      </w:pPr>
      <w:r>
        <w:rPr>
          <w:rFonts w:ascii="Arial" w:cs="Arial" w:eastAsia="Arial" w:hAnsi="Arial"/>
          <w:sz w:val="19"/>
          <w:szCs w:val="19"/>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w:t>
      </w:r>
    </w:p>
    <w:p>
      <w:pPr>
        <w:spacing w:after="0" w:line="152" w:lineRule="exact"/>
        <w:rPr>
          <w:rFonts w:ascii="Arial" w:cs="Arial" w:eastAsia="Arial" w:hAnsi="Arial"/>
          <w:sz w:val="19"/>
          <w:szCs w:val="19"/>
          <w:color w:val="010000"/>
        </w:rPr>
      </w:pPr>
    </w:p>
    <w:p>
      <w:pPr>
        <w:jc w:val="both"/>
        <w:ind w:left="640" w:firstLine="638"/>
        <w:spacing w:after="0" w:line="221" w:lineRule="auto"/>
        <w:tabs>
          <w:tab w:leader="none" w:pos="1900"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the assigning Lender or the assignee shall have failed to make any payment required to be made by it pursuant to Section 2.05(c), 2.06(d) or (e), 2.07(b), 2.18(e)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56" w:lineRule="exact"/>
        <w:rPr>
          <w:sz w:val="20"/>
          <w:szCs w:val="20"/>
          <w:color w:val="auto"/>
        </w:rPr>
      </w:pPr>
    </w:p>
    <w:p>
      <w:pPr>
        <w:jc w:val="both"/>
        <w:ind w:firstLine="1278"/>
        <w:spacing w:after="0" w:line="229" w:lineRule="auto"/>
        <w:tabs>
          <w:tab w:leader="none" w:pos="1898" w:val="left"/>
        </w:tabs>
        <w:numPr>
          <w:ilvl w:val="1"/>
          <w:numId w:val="178"/>
        </w:numPr>
        <w:rPr>
          <w:rFonts w:ascii="Arial" w:cs="Arial" w:eastAsia="Arial" w:hAnsi="Arial"/>
          <w:sz w:val="17"/>
          <w:szCs w:val="17"/>
          <w:color w:val="010000"/>
        </w:rPr>
      </w:pPr>
      <w:r>
        <w:rPr>
          <w:rFonts w:ascii="Arial" w:cs="Arial" w:eastAsia="Arial" w:hAnsi="Arial"/>
          <w:sz w:val="17"/>
          <w:szCs w:val="17"/>
          <w:color w:val="auto"/>
        </w:rPr>
        <w:t>Any Lender may, without the consent of, or notice to, the Borrower, the Administrative Agent, the Issuing Bank or the Swingline Lender, sell participations to one or more banks or other entities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other than an Ineligible Institution, in all or a portion of such Lender’s rights and/or obligations under this Agreement (including all or a portion of its Commitment and/or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 agrees to be subject to the provisions of Sections 2.18 and 2.19 as if it were an assignee under paragraph (b) of this Section; and</w:t>
      </w:r>
    </w:p>
    <w:p>
      <w:pPr>
        <w:spacing w:after="0" w:line="1" w:lineRule="exact"/>
        <w:rPr>
          <w:rFonts w:ascii="Arial" w:cs="Arial" w:eastAsia="Arial" w:hAnsi="Arial"/>
          <w:sz w:val="17"/>
          <w:szCs w:val="17"/>
          <w:color w:val="010000"/>
        </w:rPr>
      </w:pPr>
    </w:p>
    <w:p>
      <w:pPr>
        <w:jc w:val="both"/>
        <w:ind w:firstLine="6"/>
        <w:spacing w:after="0" w:line="221" w:lineRule="auto"/>
        <w:tabs>
          <w:tab w:leader="none" w:pos="33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Section 2.18(d)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97</w:t>
      </w:r>
    </w:p>
    <w:p>
      <w:pPr>
        <w:sectPr>
          <w:pgSz w:w="11900" w:h="16838" w:orient="portrait"/>
          <w:cols w:equalWidth="0" w:num="1">
            <w:col w:w="11240"/>
          </w:cols>
          <w:pgMar w:left="320" w:top="1381" w:right="339" w:bottom="1440" w:gutter="0" w:footer="0" w:header="0"/>
        </w:sectPr>
      </w:pPr>
    </w:p>
    <w:bookmarkStart w:id="136" w:name="page137"/>
    <w:bookmarkEnd w:id="136"/>
    <w:p>
      <w:pPr>
        <w:jc w:val="both"/>
        <w:spacing w:after="0" w:line="211" w:lineRule="auto"/>
        <w:rPr>
          <w:sz w:val="20"/>
          <w:szCs w:val="20"/>
          <w:color w:val="auto"/>
        </w:rPr>
      </w:pPr>
      <w:r>
        <w:rPr>
          <w:rFonts w:ascii="Arial" w:cs="Arial" w:eastAsia="Arial" w:hAnsi="Arial"/>
          <w:sz w:val="19"/>
          <w:szCs w:val="19"/>
          <w:color w:val="auto"/>
        </w:rPr>
        <w:t>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or Section 1.163-5(b) of the Proposed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3" w:lineRule="exact"/>
        <w:rPr>
          <w:sz w:val="20"/>
          <w:szCs w:val="20"/>
          <w:color w:val="auto"/>
        </w:rPr>
      </w:pPr>
    </w:p>
    <w:p>
      <w:pPr>
        <w:jc w:val="both"/>
        <w:ind w:firstLine="1278"/>
        <w:spacing w:after="0" w:line="232" w:lineRule="auto"/>
        <w:tabs>
          <w:tab w:leader="none" w:pos="1896" w:val="left"/>
        </w:tabs>
        <w:numPr>
          <w:ilvl w:val="0"/>
          <w:numId w:val="180"/>
        </w:numPr>
        <w:rPr>
          <w:rFonts w:ascii="Arial" w:cs="Arial" w:eastAsia="Arial" w:hAnsi="Arial"/>
          <w:sz w:val="18"/>
          <w:szCs w:val="18"/>
          <w:color w:val="010000"/>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54" w:lineRule="exact"/>
        <w:rPr>
          <w:sz w:val="20"/>
          <w:szCs w:val="20"/>
          <w:color w:val="auto"/>
        </w:rPr>
      </w:pPr>
    </w:p>
    <w:p>
      <w:pPr>
        <w:jc w:val="both"/>
        <w:ind w:firstLine="1272"/>
        <w:spacing w:after="0" w:line="208" w:lineRule="auto"/>
        <w:rPr>
          <w:sz w:val="20"/>
          <w:szCs w:val="20"/>
          <w:color w:val="auto"/>
        </w:rPr>
      </w:pPr>
      <w:r>
        <w:rPr>
          <w:rFonts w:ascii="Arial" w:cs="Arial" w:eastAsia="Arial" w:hAnsi="Arial"/>
          <w:sz w:val="19"/>
          <w:szCs w:val="19"/>
          <w:color w:val="010000"/>
        </w:rPr>
        <w:t>SECTION 1.05.</w:t>
      </w:r>
      <w:r>
        <w:rPr>
          <w:rFonts w:ascii="Arial" w:cs="Arial" w:eastAsia="Arial" w:hAnsi="Arial"/>
          <w:sz w:val="19"/>
          <w:szCs w:val="19"/>
          <w:u w:val="single" w:color="auto"/>
          <w:color w:val="000000"/>
        </w:rPr>
        <w:t>Survival</w:t>
      </w:r>
      <w:r>
        <w:rPr>
          <w:rFonts w:ascii="Arial" w:cs="Arial" w:eastAsia="Arial" w:hAnsi="Arial"/>
          <w:sz w:val="19"/>
          <w:szCs w:val="19"/>
          <w:color w:val="000000"/>
        </w:rPr>
        <w:t>. All covenants, agreements, representations and warranties made by the Loan Parties in the Loan</w:t>
      </w:r>
      <w:r>
        <w:rPr>
          <w:rFonts w:ascii="Arial" w:cs="Arial" w:eastAsia="Arial" w:hAnsi="Arial"/>
          <w:sz w:val="19"/>
          <w:szCs w:val="19"/>
          <w:color w:val="010000"/>
        </w:rPr>
        <w:t xml:space="preserve"> </w:t>
      </w:r>
      <w:r>
        <w:rPr>
          <w:rFonts w:ascii="Arial" w:cs="Arial" w:eastAsia="Arial" w:hAnsi="Arial"/>
          <w:sz w:val="19"/>
          <w:szCs w:val="19"/>
          <w:color w:val="000000"/>
        </w:rPr>
        <w:t xml:space="preserve">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(except for Unliquidated Obligations) or any Letter of Credit is outstanding (unless such Letter of Credit has been cash collateralized or backstopped pursuant to arrangements reasonably satisfactory to the Administrative Agent) and so long as the Commitments have not expired or terminated. The provisions of Sections 2.15, 2.16, 2.17 and 9.03 and </w:t>
      </w:r>
      <w:r>
        <w:rPr>
          <w:rFonts w:ascii="Arial" w:cs="Arial" w:eastAsia="Arial" w:hAnsi="Arial"/>
          <w:sz w:val="19"/>
          <w:szCs w:val="19"/>
          <w:u w:val="single" w:color="auto"/>
          <w:color w:val="000000"/>
        </w:rPr>
        <w:t>Article VIII</w:t>
      </w:r>
      <w:r>
        <w:rPr>
          <w:rFonts w:ascii="Arial" w:cs="Arial" w:eastAsia="Arial" w:hAnsi="Arial"/>
          <w:sz w:val="19"/>
          <w:szCs w:val="19"/>
          <w:color w:val="000000"/>
        </w:rPr>
        <w:t xml:space="preserve"> shall survive and remain in full force and effect regardless of the consummation of the transactions contemplated hereby, the repayment of the Loans and all other Obligations, the expiration or termination of the Letters of Credit and the Commitments or the termination of this Agreement or any other Loan Document or any provision hereof or thereof.</w:t>
      </w:r>
    </w:p>
    <w:p>
      <w:pPr>
        <w:spacing w:after="0" w:line="162" w:lineRule="exact"/>
        <w:rPr>
          <w:sz w:val="20"/>
          <w:szCs w:val="20"/>
          <w:color w:val="auto"/>
        </w:rPr>
      </w:pPr>
    </w:p>
    <w:p>
      <w:pPr>
        <w:jc w:val="both"/>
        <w:ind w:firstLine="1272"/>
        <w:spacing w:after="0" w:line="232" w:lineRule="auto"/>
        <w:rPr>
          <w:sz w:val="20"/>
          <w:szCs w:val="20"/>
          <w:color w:val="auto"/>
        </w:rPr>
      </w:pPr>
      <w:r>
        <w:rPr>
          <w:rFonts w:ascii="Arial" w:cs="Arial" w:eastAsia="Arial" w:hAnsi="Arial"/>
          <w:sz w:val="17"/>
          <w:szCs w:val="17"/>
          <w:color w:val="010000"/>
        </w:rPr>
        <w:t>SECTION 1.06.</w:t>
      </w:r>
      <w:r>
        <w:rPr>
          <w:rFonts w:ascii="Arial" w:cs="Arial" w:eastAsia="Arial" w:hAnsi="Arial"/>
          <w:sz w:val="17"/>
          <w:szCs w:val="17"/>
          <w:u w:val="single" w:color="auto"/>
          <w:color w:val="000000"/>
        </w:rPr>
        <w:t>Counterparts; Integration; Effectiveness; Electronic Execution</w:t>
      </w:r>
      <w:r>
        <w:rPr>
          <w:rFonts w:ascii="Arial" w:cs="Arial" w:eastAsia="Arial" w:hAnsi="Arial"/>
          <w:sz w:val="17"/>
          <w:szCs w:val="17"/>
          <w:color w:val="000000"/>
        </w:rPr>
        <w:t>. This Agreement may be executed in</w:t>
      </w:r>
      <w:r>
        <w:rPr>
          <w:rFonts w:ascii="Arial" w:cs="Arial" w:eastAsia="Arial" w:hAnsi="Arial"/>
          <w:sz w:val="17"/>
          <w:szCs w:val="17"/>
          <w:color w:val="010000"/>
        </w:rPr>
        <w:t xml:space="preserve"> </w:t>
      </w:r>
      <w:r>
        <w:rPr>
          <w:rFonts w:ascii="Arial" w:cs="Arial" w:eastAsia="Arial" w:hAnsi="Arial"/>
          <w:sz w:val="17"/>
          <w:szCs w:val="17"/>
          <w:color w:val="000000"/>
        </w:rPr>
        <w:t>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Arial" w:cs="Arial" w:eastAsia="Arial" w:hAnsi="Arial"/>
          <w:sz w:val="17"/>
          <w:szCs w:val="17"/>
          <w:u w:val="single" w:color="auto"/>
          <w:color w:val="000000"/>
        </w:rPr>
        <w:t>Ancillary</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Document</w:t>
      </w:r>
      <w:r>
        <w:rPr>
          <w:rFonts w:ascii="Arial" w:cs="Arial" w:eastAsia="Arial" w:hAnsi="Arial"/>
          <w:sz w:val="17"/>
          <w:szCs w:val="17"/>
          <w:color w:val="000000"/>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98</w:t>
      </w:r>
    </w:p>
    <w:p>
      <w:pPr>
        <w:sectPr>
          <w:pgSz w:w="11900" w:h="16838" w:orient="portrait"/>
          <w:cols w:equalWidth="0" w:num="1">
            <w:col w:w="11240"/>
          </w:cols>
          <w:pgMar w:left="320" w:top="1381" w:right="339" w:bottom="1440" w:gutter="0" w:footer="0" w:header="0"/>
        </w:sectPr>
      </w:pPr>
    </w:p>
    <w:bookmarkStart w:id="137" w:name="page138"/>
    <w:bookmarkEnd w:id="137"/>
    <w:p>
      <w:pPr>
        <w:jc w:val="both"/>
        <w:spacing w:after="0" w:line="217" w:lineRule="auto"/>
        <w:rPr>
          <w:sz w:val="20"/>
          <w:szCs w:val="20"/>
          <w:color w:val="auto"/>
        </w:rPr>
      </w:pPr>
      <w:r>
        <w:rPr>
          <w:rFonts w:ascii="Arial" w:cs="Arial" w:eastAsia="Arial" w:hAnsi="Arial"/>
          <w:sz w:val="18"/>
          <w:szCs w:val="18"/>
          <w:color w:val="auto"/>
        </w:rPr>
        <w:t xml:space="preserve">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other Loan Party hereby (i) agrees that, for all purposes, including without limitation, in connection with any workout, restructuring, enforcement of remedies, bankruptcy proceedings or litigation among the Administrative Agent, the Lenders, the Borrower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other Loan Party to use any available security measures in connection with the execution, delivery or transmission of any Electronic Signature.</w:t>
      </w:r>
    </w:p>
    <w:p>
      <w:pPr>
        <w:spacing w:after="0" w:line="171"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010000"/>
        </w:rPr>
        <w:t>SECTION 1.07.</w:t>
      </w:r>
      <w:r>
        <w:rPr>
          <w:rFonts w:ascii="Arial" w:cs="Arial" w:eastAsia="Arial" w:hAnsi="Arial"/>
          <w:sz w:val="19"/>
          <w:szCs w:val="19"/>
          <w:u w:val="single" w:color="auto"/>
          <w:color w:val="000000"/>
        </w:rPr>
        <w:t>Severability</w:t>
      </w:r>
      <w:r>
        <w:rPr>
          <w:rFonts w:ascii="Arial" w:cs="Arial" w:eastAsia="Arial" w:hAnsi="Arial"/>
          <w:sz w:val="19"/>
          <w:szCs w:val="19"/>
          <w:color w:val="000000"/>
        </w:rPr>
        <w:t>. Any provision of any Loan Document held to be invalid, illegal or unenforceable in any</w:t>
      </w:r>
      <w:r>
        <w:rPr>
          <w:rFonts w:ascii="Arial" w:cs="Arial" w:eastAsia="Arial" w:hAnsi="Arial"/>
          <w:sz w:val="19"/>
          <w:szCs w:val="19"/>
          <w:color w:val="010000"/>
        </w:rPr>
        <w:t xml:space="preserve"> </w:t>
      </w:r>
      <w:r>
        <w:rPr>
          <w:rFonts w:ascii="Arial" w:cs="Arial" w:eastAsia="Arial" w:hAnsi="Arial"/>
          <w:sz w:val="19"/>
          <w:szCs w:val="19"/>
          <w:color w:val="000000"/>
        </w:rPr>
        <w:t>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53"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8"/>
          <w:szCs w:val="18"/>
          <w:color w:val="010000"/>
        </w:rPr>
        <w:t>SECTION 1.08.</w:t>
      </w:r>
      <w:r>
        <w:rPr>
          <w:rFonts w:ascii="Arial" w:cs="Arial" w:eastAsia="Arial" w:hAnsi="Arial"/>
          <w:sz w:val="18"/>
          <w:szCs w:val="18"/>
          <w:u w:val="single" w:color="auto"/>
          <w:color w:val="000000"/>
        </w:rPr>
        <w:t>Right of Setoff</w:t>
      </w:r>
      <w:r>
        <w:rPr>
          <w:rFonts w:ascii="Arial" w:cs="Arial" w:eastAsia="Arial" w:hAnsi="Arial"/>
          <w:sz w:val="18"/>
          <w:szCs w:val="18"/>
          <w:color w:val="000000"/>
        </w:rPr>
        <w:t>. If an Event of Default shall have occurred and be continuing, each Lender, the Issuing Bank,</w:t>
      </w:r>
      <w:r>
        <w:rPr>
          <w:rFonts w:ascii="Arial" w:cs="Arial" w:eastAsia="Arial" w:hAnsi="Arial"/>
          <w:sz w:val="18"/>
          <w:szCs w:val="18"/>
          <w:color w:val="010000"/>
        </w:rPr>
        <w:t xml:space="preserve"> </w:t>
      </w:r>
      <w:r>
        <w:rPr>
          <w:rFonts w:ascii="Arial" w:cs="Arial" w:eastAsia="Arial" w:hAnsi="Arial"/>
          <w:sz w:val="18"/>
          <w:szCs w:val="18"/>
          <w:color w:val="000000"/>
        </w:rPr>
        <w:t xml:space="preserve">and each of their respective Affiliates is hereby authorized at any time and from time to time, to the fullest extent permitted by law, to setoff and apply any and all deposits (general or special, time or demand, provisional or final) at any time held, and other obligations at any time owing, by such Lender, the Issuing Bank or any such Affiliate, to or for the credit or the account of the Borrower against any and all of the obligations of the Borrower now or hereafter existing under this Agreement or any other Loan Document to such Lender or the Issuing Bank or their respective Affiliates, irrespective of whether or not such Lender, the Issuing Bank or Affiliate shall have made any demand under this Agreement or any other Loan Document and although such obligations of the Borrower may be contingent or unmatured or are owed to a branch office or Affiliate of such Lender or the Issuing Bank different from the branch office or Affiliate holding such deposit or obligated on such indebtedness;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in the event that any Defaulting Lender shall exercise any such right of setoff, (x) all amounts so setoff shall be paid over immediately to the Administrative Agent for further application in accordance with the provisions of Section 2.21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Secured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99</w:t>
      </w:r>
    </w:p>
    <w:p>
      <w:pPr>
        <w:sectPr>
          <w:pgSz w:w="11900" w:h="16838" w:orient="portrait"/>
          <w:cols w:equalWidth="0" w:num="1">
            <w:col w:w="11240"/>
          </w:cols>
          <w:pgMar w:left="320" w:top="1381" w:right="339" w:bottom="1440" w:gutter="0" w:footer="0" w:header="0"/>
        </w:sectPr>
      </w:pPr>
    </w:p>
    <w:bookmarkStart w:id="138" w:name="page139"/>
    <w:bookmarkEnd w:id="138"/>
    <w:p>
      <w:pPr>
        <w:jc w:val="both"/>
        <w:spacing w:after="0" w:line="248" w:lineRule="auto"/>
        <w:rPr>
          <w:sz w:val="20"/>
          <w:szCs w:val="20"/>
          <w:color w:val="auto"/>
        </w:rPr>
      </w:pPr>
      <w:r>
        <w:rPr>
          <w:rFonts w:ascii="Arial" w:cs="Arial" w:eastAsia="Arial" w:hAnsi="Arial"/>
          <w:sz w:val="17"/>
          <w:szCs w:val="17"/>
          <w:color w:val="auto"/>
        </w:rPr>
        <w:t xml:space="preserve">owing to such Defaulting Lender as to which it exercised such right of setoff. The rights of each Lender, the Issuing Bank and their respective Affiliates under this Section are in addition to other rights and remedies (including other rights of setoff) that such Lender, such Issuing Bank or their respective Affiliates may have. Each Lender and the Issuing Bank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46"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1.09.</w:t>
      </w:r>
      <w:r>
        <w:rPr>
          <w:rFonts w:ascii="Arial" w:cs="Arial" w:eastAsia="Arial" w:hAnsi="Arial"/>
          <w:sz w:val="19"/>
          <w:szCs w:val="19"/>
          <w:u w:val="single" w:color="auto"/>
          <w:color w:val="000000"/>
        </w:rPr>
        <w:t>Governing Law; Jurisdiction; Consent to Service of Process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26" w:lineRule="auto"/>
        <w:tabs>
          <w:tab w:leader="none" w:pos="1898" w:val="left"/>
        </w:tabs>
        <w:numPr>
          <w:ilvl w:val="0"/>
          <w:numId w:val="181"/>
        </w:numPr>
        <w:rPr>
          <w:rFonts w:ascii="Arial" w:cs="Arial" w:eastAsia="Arial" w:hAnsi="Arial"/>
          <w:sz w:val="19"/>
          <w:szCs w:val="19"/>
          <w:color w:val="010000"/>
        </w:rPr>
      </w:pPr>
      <w:r>
        <w:rPr>
          <w:rFonts w:ascii="Arial" w:cs="Arial" w:eastAsia="Arial" w:hAnsi="Arial"/>
          <w:sz w:val="19"/>
          <w:szCs w:val="19"/>
          <w:color w:val="auto"/>
        </w:rPr>
        <w:t>THIS AGREEMENT AND THE OTHER LOAN DOCUMENTS (EXCEPT AS OTHERWISE EXPRESSLY SET FORTH IN ANY SUCH OTHER LOAN DOCUMENT) SHALL BE CONSTRUED IN ACCORDANCE WITH AND GOVERNED BY THE LAW OF THE STATE OF NEW YORK.</w:t>
      </w:r>
    </w:p>
    <w:p>
      <w:pPr>
        <w:spacing w:after="0" w:line="151" w:lineRule="exact"/>
        <w:rPr>
          <w:rFonts w:ascii="Arial" w:cs="Arial" w:eastAsia="Arial" w:hAnsi="Arial"/>
          <w:sz w:val="19"/>
          <w:szCs w:val="19"/>
          <w:color w:val="010000"/>
        </w:rPr>
      </w:pPr>
    </w:p>
    <w:p>
      <w:pPr>
        <w:jc w:val="both"/>
        <w:ind w:firstLine="1278"/>
        <w:spacing w:after="0" w:line="232" w:lineRule="auto"/>
        <w:tabs>
          <w:tab w:leader="none" w:pos="1896" w:val="left"/>
        </w:tabs>
        <w:numPr>
          <w:ilvl w:val="0"/>
          <w:numId w:val="181"/>
        </w:numPr>
        <w:rPr>
          <w:rFonts w:ascii="Arial" w:cs="Arial" w:eastAsia="Arial" w:hAnsi="Arial"/>
          <w:sz w:val="18"/>
          <w:szCs w:val="18"/>
          <w:color w:val="010000"/>
        </w:rPr>
      </w:pPr>
      <w:r>
        <w:rPr>
          <w:rFonts w:ascii="Arial" w:cs="Arial" w:eastAsia="Arial" w:hAnsi="Arial"/>
          <w:sz w:val="18"/>
          <w:szCs w:val="18"/>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53" w:lineRule="exact"/>
        <w:rPr>
          <w:rFonts w:ascii="Arial" w:cs="Arial" w:eastAsia="Arial" w:hAnsi="Arial"/>
          <w:sz w:val="18"/>
          <w:szCs w:val="18"/>
          <w:color w:val="010000"/>
        </w:rPr>
      </w:pPr>
    </w:p>
    <w:p>
      <w:pPr>
        <w:jc w:val="both"/>
        <w:ind w:firstLine="1278"/>
        <w:spacing w:after="0" w:line="234" w:lineRule="auto"/>
        <w:tabs>
          <w:tab w:leader="none" w:pos="1898" w:val="left"/>
        </w:tabs>
        <w:numPr>
          <w:ilvl w:val="0"/>
          <w:numId w:val="181"/>
        </w:numPr>
        <w:rPr>
          <w:rFonts w:ascii="Arial" w:cs="Arial" w:eastAsia="Arial" w:hAnsi="Arial"/>
          <w:sz w:val="17"/>
          <w:szCs w:val="17"/>
          <w:color w:val="010000"/>
        </w:rPr>
      </w:pPr>
      <w:r>
        <w:rPr>
          <w:rFonts w:ascii="Arial" w:cs="Arial" w:eastAsia="Arial" w:hAnsi="Arial"/>
          <w:sz w:val="17"/>
          <w:szCs w:val="17"/>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156" w:lineRule="exact"/>
        <w:rPr>
          <w:rFonts w:ascii="Arial" w:cs="Arial" w:eastAsia="Arial" w:hAnsi="Arial"/>
          <w:sz w:val="17"/>
          <w:szCs w:val="17"/>
          <w:color w:val="010000"/>
        </w:rPr>
      </w:pPr>
    </w:p>
    <w:p>
      <w:pPr>
        <w:jc w:val="both"/>
        <w:ind w:firstLine="1278"/>
        <w:spacing w:after="0" w:line="217" w:lineRule="auto"/>
        <w:tabs>
          <w:tab w:leader="none" w:pos="1896" w:val="left"/>
        </w:tabs>
        <w:numPr>
          <w:ilvl w:val="0"/>
          <w:numId w:val="181"/>
        </w:numPr>
        <w:rPr>
          <w:rFonts w:ascii="Arial" w:cs="Arial" w:eastAsia="Arial" w:hAnsi="Arial"/>
          <w:sz w:val="19"/>
          <w:szCs w:val="19"/>
          <w:color w:val="010000"/>
        </w:rPr>
      </w:pPr>
      <w:r>
        <w:rPr>
          <w:rFonts w:ascii="Arial" w:cs="Arial" w:eastAsia="Arial" w:hAnsi="Arial"/>
          <w:sz w:val="19"/>
          <w:szCs w:val="19"/>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51" w:lineRule="exact"/>
        <w:rPr>
          <w:rFonts w:ascii="Arial" w:cs="Arial" w:eastAsia="Arial" w:hAnsi="Arial"/>
          <w:sz w:val="19"/>
          <w:szCs w:val="19"/>
          <w:color w:val="010000"/>
        </w:rPr>
      </w:pPr>
    </w:p>
    <w:p>
      <w:pPr>
        <w:jc w:val="both"/>
        <w:ind w:firstLine="1278"/>
        <w:spacing w:after="0" w:line="226" w:lineRule="auto"/>
        <w:tabs>
          <w:tab w:leader="none" w:pos="1898" w:val="left"/>
        </w:tabs>
        <w:numPr>
          <w:ilvl w:val="0"/>
          <w:numId w:val="181"/>
        </w:numPr>
        <w:rPr>
          <w:rFonts w:ascii="Arial" w:cs="Arial" w:eastAsia="Arial" w:hAnsi="Arial"/>
          <w:sz w:val="19"/>
          <w:szCs w:val="19"/>
          <w:color w:val="010000"/>
        </w:rPr>
      </w:pPr>
      <w:r>
        <w:rPr>
          <w:rFonts w:ascii="Arial" w:cs="Arial" w:eastAsia="Arial" w:hAnsi="Arial"/>
          <w:sz w:val="19"/>
          <w:szCs w:val="19"/>
          <w:color w:val="auto"/>
        </w:rPr>
        <w:t>Each of the parties hereto hereby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51" w:lineRule="exact"/>
        <w:rPr>
          <w:sz w:val="20"/>
          <w:szCs w:val="20"/>
          <w:color w:val="auto"/>
        </w:rPr>
      </w:pPr>
    </w:p>
    <w:p>
      <w:pPr>
        <w:jc w:val="both"/>
        <w:ind w:firstLine="1272"/>
        <w:spacing w:after="0" w:line="213" w:lineRule="auto"/>
        <w:rPr>
          <w:sz w:val="20"/>
          <w:szCs w:val="20"/>
          <w:color w:val="auto"/>
        </w:rPr>
      </w:pPr>
      <w:r>
        <w:rPr>
          <w:rFonts w:ascii="Arial" w:cs="Arial" w:eastAsia="Arial" w:hAnsi="Arial"/>
          <w:sz w:val="19"/>
          <w:szCs w:val="19"/>
          <w:color w:val="010000"/>
        </w:rPr>
        <w:t>SECTION 1.10.</w:t>
      </w:r>
      <w:r>
        <w:rPr>
          <w:rFonts w:ascii="Arial" w:cs="Arial" w:eastAsia="Arial" w:hAnsi="Arial"/>
          <w:sz w:val="19"/>
          <w:szCs w:val="19"/>
          <w:u w:val="single" w:color="auto"/>
          <w:color w:val="000000"/>
        </w:rPr>
        <w:t>WAIVER OF JURY TRIAL</w:t>
      </w:r>
      <w:r>
        <w:rPr>
          <w:rFonts w:ascii="Arial" w:cs="Arial" w:eastAsia="Arial" w:hAnsi="Arial"/>
          <w:sz w:val="19"/>
          <w:szCs w:val="19"/>
          <w:color w:val="000000"/>
        </w:rPr>
        <w:t>. EACH PARTY HERETO HEREBY WAIVES, TO THE FULLEST EXTENT</w:t>
      </w:r>
      <w:r>
        <w:rPr>
          <w:rFonts w:ascii="Arial" w:cs="Arial" w:eastAsia="Arial" w:hAnsi="Arial"/>
          <w:sz w:val="19"/>
          <w:szCs w:val="19"/>
          <w:color w:val="010000"/>
        </w:rPr>
        <w:t xml:space="preserve"> </w:t>
      </w:r>
      <w:r>
        <w:rPr>
          <w:rFonts w:ascii="Arial" w:cs="Arial" w:eastAsia="Arial" w:hAnsi="Arial"/>
          <w:sz w:val="19"/>
          <w:szCs w:val="19"/>
          <w:color w:val="000000"/>
        </w:rPr>
        <w:t>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ectPr>
          <w:pgSz w:w="11900" w:h="16838" w:orient="portrait"/>
          <w:cols w:equalWidth="0" w:num="1">
            <w:col w:w="11240"/>
          </w:cols>
          <w:pgMar w:left="320" w:top="1381" w:right="339" w:bottom="1440" w:gutter="0" w:footer="0" w:header="0"/>
        </w:sectPr>
      </w:pPr>
    </w:p>
    <w:bookmarkStart w:id="139" w:name="page140"/>
    <w:bookmarkEnd w:id="139"/>
    <w:p>
      <w:pPr>
        <w:jc w:val="both"/>
        <w:spacing w:after="0" w:line="237" w:lineRule="auto"/>
        <w:rPr>
          <w:sz w:val="20"/>
          <w:szCs w:val="20"/>
          <w:color w:val="auto"/>
        </w:rPr>
      </w:pPr>
      <w:r>
        <w:rPr>
          <w:rFonts w:ascii="Arial" w:cs="Arial" w:eastAsia="Arial" w:hAnsi="Arial"/>
          <w:sz w:val="19"/>
          <w:szCs w:val="19"/>
          <w:color w:val="auto"/>
        </w:rPr>
        <w:t>THAT IT AND THE OTHER PARTIES HERETO HAVE BEEN INDUCED TO ENTER INTO THIS AGREEMENT BY, AMONG OTHER THINGS, THE MUTUAL WAIVERS AND CERTIFICATIONS IN THIS SECTION.</w:t>
      </w:r>
    </w:p>
    <w:p>
      <w:pPr>
        <w:spacing w:after="0" w:line="151" w:lineRule="exact"/>
        <w:rPr>
          <w:sz w:val="20"/>
          <w:szCs w:val="20"/>
          <w:color w:val="auto"/>
        </w:rPr>
      </w:pPr>
    </w:p>
    <w:p>
      <w:pPr>
        <w:jc w:val="both"/>
        <w:ind w:firstLine="1272"/>
        <w:spacing w:after="0" w:line="291" w:lineRule="auto"/>
        <w:rPr>
          <w:sz w:val="20"/>
          <w:szCs w:val="20"/>
          <w:color w:val="auto"/>
        </w:rPr>
      </w:pPr>
      <w:r>
        <w:rPr>
          <w:rFonts w:ascii="Arial" w:cs="Arial" w:eastAsia="Arial" w:hAnsi="Arial"/>
          <w:sz w:val="17"/>
          <w:szCs w:val="17"/>
          <w:color w:val="010000"/>
        </w:rPr>
        <w:t>SECTION 1.11.</w:t>
      </w:r>
      <w:r>
        <w:rPr>
          <w:rFonts w:ascii="Arial" w:cs="Arial" w:eastAsia="Arial" w:hAnsi="Arial"/>
          <w:sz w:val="17"/>
          <w:szCs w:val="17"/>
          <w:u w:val="single" w:color="auto"/>
          <w:color w:val="000000"/>
        </w:rPr>
        <w:t>Headings</w:t>
      </w:r>
      <w:r>
        <w:rPr>
          <w:rFonts w:ascii="Arial" w:cs="Arial" w:eastAsia="Arial" w:hAnsi="Arial"/>
          <w:sz w:val="17"/>
          <w:szCs w:val="17"/>
          <w:color w:val="000000"/>
        </w:rPr>
        <w:t>. Article and Section headings and the Table of Contents used herein are for convenience of reference</w:t>
      </w:r>
      <w:r>
        <w:rPr>
          <w:rFonts w:ascii="Arial" w:cs="Arial" w:eastAsia="Arial" w:hAnsi="Arial"/>
          <w:sz w:val="17"/>
          <w:szCs w:val="17"/>
          <w:color w:val="010000"/>
        </w:rPr>
        <w:t xml:space="preserve"> </w:t>
      </w:r>
      <w:r>
        <w:rPr>
          <w:rFonts w:ascii="Arial" w:cs="Arial" w:eastAsia="Arial" w:hAnsi="Arial"/>
          <w:sz w:val="17"/>
          <w:szCs w:val="17"/>
          <w:color w:val="000000"/>
        </w:rPr>
        <w:t>only, are not part of this Agreement and shall not affect the construction of, or be taken into consideration in interpreting, this Agreement.</w:t>
      </w:r>
    </w:p>
    <w:p>
      <w:pPr>
        <w:spacing w:after="0" w:line="109" w:lineRule="exact"/>
        <w:rPr>
          <w:sz w:val="20"/>
          <w:szCs w:val="20"/>
          <w:color w:val="auto"/>
        </w:rPr>
      </w:pPr>
    </w:p>
    <w:p>
      <w:pPr>
        <w:jc w:val="both"/>
        <w:ind w:firstLine="1272"/>
        <w:spacing w:after="0" w:line="229" w:lineRule="auto"/>
        <w:rPr>
          <w:sz w:val="20"/>
          <w:szCs w:val="20"/>
          <w:color w:val="auto"/>
        </w:rPr>
      </w:pPr>
      <w:r>
        <w:rPr>
          <w:rFonts w:ascii="Arial" w:cs="Arial" w:eastAsia="Arial" w:hAnsi="Arial"/>
          <w:sz w:val="17"/>
          <w:szCs w:val="17"/>
          <w:color w:val="010000"/>
        </w:rPr>
        <w:t>SECTION 1.12.</w:t>
      </w:r>
      <w:r>
        <w:rPr>
          <w:rFonts w:ascii="Arial" w:cs="Arial" w:eastAsia="Arial" w:hAnsi="Arial"/>
          <w:sz w:val="17"/>
          <w:szCs w:val="17"/>
          <w:u w:val="single" w:color="auto"/>
          <w:color w:val="000000"/>
        </w:rPr>
        <w:t>Confidentiality</w:t>
      </w:r>
      <w:r>
        <w:rPr>
          <w:rFonts w:ascii="Arial" w:cs="Arial" w:eastAsia="Arial" w:hAnsi="Arial"/>
          <w:sz w:val="17"/>
          <w:szCs w:val="17"/>
          <w:color w:val="000000"/>
        </w:rPr>
        <w:t>. Each of the Administrative Agent, the Issuing Bank and the Lenders agrees to maintain the</w:t>
      </w:r>
      <w:r>
        <w:rPr>
          <w:rFonts w:ascii="Arial" w:cs="Arial" w:eastAsia="Arial" w:hAnsi="Arial"/>
          <w:sz w:val="17"/>
          <w:szCs w:val="17"/>
          <w:color w:val="010000"/>
        </w:rPr>
        <w:t xml:space="preserve"> </w:t>
      </w:r>
      <w:r>
        <w:rPr>
          <w:rFonts w:ascii="Arial" w:cs="Arial" w:eastAsia="Arial" w:hAnsi="Arial"/>
          <w:sz w:val="17"/>
          <w:szCs w:val="17"/>
          <w:color w:val="000000"/>
        </w:rPr>
        <w:t>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or (2) any actual or prospective counterparty (or its advisors) to any swap or derivative transaction relating to the Borrower and its obligations, (g)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w:t>
      </w:r>
    </w:p>
    <w:p>
      <w:pPr>
        <w:spacing w:after="0" w:line="3" w:lineRule="exact"/>
        <w:rPr>
          <w:sz w:val="20"/>
          <w:szCs w:val="20"/>
          <w:color w:val="auto"/>
        </w:rPr>
      </w:pPr>
    </w:p>
    <w:p>
      <w:pPr>
        <w:jc w:val="both"/>
        <w:ind w:firstLine="6"/>
        <w:spacing w:after="0" w:line="208" w:lineRule="auto"/>
        <w:tabs>
          <w:tab w:leader="none" w:pos="27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with the consent of the Borrower or (i) to the extent such Information (1) becomes publicly available other than as a result of a breach of this Section or (2) becomes available to the Administrative Agent, the Issuing Bank or any Lender on a nonconfidential basis from a source other than the Borrower. For the purposes of this Section, “Information” means all information received from the Borrower relating to the Borrower or its business, other than any such information that is available to the Administrative Agent, the Issuing Bank or any Lender on a nonconfidential basis prior to disclosure by the Borrower and other than information pertaining to this Agreement routinely provided by arrangers to data service providers, including league table providers, that serve the lending industry;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51" w:lineRule="exact"/>
        <w:rPr>
          <w:sz w:val="20"/>
          <w:szCs w:val="20"/>
          <w:color w:val="auto"/>
        </w:rPr>
      </w:pPr>
    </w:p>
    <w:p>
      <w:pPr>
        <w:jc w:val="both"/>
        <w:ind w:firstLine="636"/>
        <w:spacing w:after="0" w:line="216" w:lineRule="auto"/>
        <w:rPr>
          <w:sz w:val="20"/>
          <w:szCs w:val="20"/>
          <w:color w:val="auto"/>
        </w:rPr>
      </w:pPr>
      <w:r>
        <w:rPr>
          <w:rFonts w:ascii="Arial" w:cs="Arial" w:eastAsia="Arial" w:hAnsi="Arial"/>
          <w:sz w:val="19"/>
          <w:szCs w:val="19"/>
          <w:b w:val="1"/>
          <w:bCs w:val="1"/>
          <w:color w:val="auto"/>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45" w:lineRule="exact"/>
        <w:rPr>
          <w:sz w:val="20"/>
          <w:szCs w:val="20"/>
          <w:color w:val="auto"/>
        </w:rPr>
      </w:pPr>
    </w:p>
    <w:p>
      <w:pPr>
        <w:jc w:val="both"/>
        <w:ind w:firstLine="636"/>
        <w:spacing w:after="0" w:line="216" w:lineRule="auto"/>
        <w:rPr>
          <w:sz w:val="20"/>
          <w:szCs w:val="20"/>
          <w:color w:val="auto"/>
        </w:rPr>
      </w:pPr>
      <w:r>
        <w:rPr>
          <w:rFonts w:ascii="Arial" w:cs="Arial" w:eastAsia="Arial" w:hAnsi="Arial"/>
          <w:sz w:val="19"/>
          <w:szCs w:val="19"/>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1900" w:h="16838" w:orient="portrait"/>
          <w:cols w:equalWidth="0" w:num="1">
            <w:col w:w="11240"/>
          </w:cols>
          <w:pgMar w:left="320" w:top="1381" w:right="339" w:bottom="1440" w:gutter="0" w:footer="0" w:header="0"/>
        </w:sectPr>
      </w:pPr>
    </w:p>
    <w:bookmarkStart w:id="140" w:name="page141"/>
    <w:bookmarkEnd w:id="140"/>
    <w:p>
      <w:pPr>
        <w:jc w:val="both"/>
        <w:spacing w:after="0" w:line="241" w:lineRule="auto"/>
        <w:rPr>
          <w:sz w:val="20"/>
          <w:szCs w:val="20"/>
          <w:color w:val="auto"/>
        </w:rPr>
      </w:pPr>
      <w:r>
        <w:rPr>
          <w:rFonts w:ascii="Arial" w:cs="Arial" w:eastAsia="Arial" w:hAnsi="Arial"/>
          <w:sz w:val="19"/>
          <w:szCs w:val="19"/>
          <w:b w:val="1"/>
          <w:bCs w:val="1"/>
          <w:color w:val="auto"/>
        </w:rPr>
        <w:t>WHO MAY RECEIVE INFORMATION THAT MAY CONTAIN MATERIAL NON-PUBLIC INFORMATION IN ACCORDANCE WITH ITS COMPLIANCE PROCEDURES AND APPLICABLE LAW.</w:t>
      </w:r>
    </w:p>
    <w:p>
      <w:pPr>
        <w:spacing w:after="0" w:line="150" w:lineRule="exact"/>
        <w:rPr>
          <w:sz w:val="20"/>
          <w:szCs w:val="20"/>
          <w:color w:val="auto"/>
        </w:rPr>
      </w:pPr>
    </w:p>
    <w:p>
      <w:pPr>
        <w:jc w:val="both"/>
        <w:ind w:firstLine="1272"/>
        <w:spacing w:after="0" w:line="215" w:lineRule="auto"/>
        <w:rPr>
          <w:sz w:val="20"/>
          <w:szCs w:val="20"/>
          <w:color w:val="auto"/>
        </w:rPr>
      </w:pPr>
      <w:r>
        <w:rPr>
          <w:rFonts w:ascii="Arial" w:cs="Arial" w:eastAsia="Arial" w:hAnsi="Arial"/>
          <w:sz w:val="19"/>
          <w:szCs w:val="19"/>
          <w:color w:val="010000"/>
        </w:rPr>
        <w:t>SECTION 1.13.</w:t>
      </w:r>
      <w:r>
        <w:rPr>
          <w:rFonts w:ascii="Arial" w:cs="Arial" w:eastAsia="Arial" w:hAnsi="Arial"/>
          <w:sz w:val="19"/>
          <w:szCs w:val="19"/>
          <w:u w:val="single" w:color="auto"/>
          <w:color w:val="000000"/>
        </w:rPr>
        <w:t>USA PATRIOT Act</w:t>
      </w:r>
      <w:r>
        <w:rPr>
          <w:rFonts w:ascii="Arial" w:cs="Arial" w:eastAsia="Arial" w:hAnsi="Arial"/>
          <w:sz w:val="19"/>
          <w:szCs w:val="19"/>
          <w:color w:val="000000"/>
        </w:rPr>
        <w:t>. Each Lender that is subject to the requirements of the Patriot Act and the requirements of</w:t>
      </w:r>
      <w:r>
        <w:rPr>
          <w:rFonts w:ascii="Arial" w:cs="Arial" w:eastAsia="Arial" w:hAnsi="Arial"/>
          <w:sz w:val="19"/>
          <w:szCs w:val="19"/>
          <w:color w:val="010000"/>
        </w:rPr>
        <w:t xml:space="preserve"> </w:t>
      </w:r>
      <w:r>
        <w:rPr>
          <w:rFonts w:ascii="Arial" w:cs="Arial" w:eastAsia="Arial" w:hAnsi="Arial"/>
          <w:sz w:val="19"/>
          <w:szCs w:val="19"/>
          <w:color w:val="000000"/>
        </w:rPr>
        <w:t>the Beneficial Ownership Regulation hereby notifies the Borrower that, pursuant to the requirements of the Patriot Act and the Beneficial Ownership Regulation, it is required to obtain, verify and record information that identifies the Borrower, which information includes the name, address and tax identification number of the Borrower and other information that will allow such Lender to identify the Borrower in accordance with the Patriot Act and the Beneficial Ownership Regulation and other applicable “know your customer” and anti-money laundering rules and regulations.</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1.14.</w:t>
      </w:r>
      <w:r>
        <w:rPr>
          <w:rFonts w:ascii="Arial" w:cs="Arial" w:eastAsia="Arial" w:hAnsi="Arial"/>
          <w:sz w:val="19"/>
          <w:szCs w:val="19"/>
          <w:u w:val="single" w:color="auto"/>
          <w:color w:val="000000"/>
        </w:rPr>
        <w:t>Releases of Subsidiary Guarantors</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34" w:lineRule="auto"/>
        <w:tabs>
          <w:tab w:leader="none" w:pos="1898" w:val="left"/>
        </w:tabs>
        <w:numPr>
          <w:ilvl w:val="0"/>
          <w:numId w:val="183"/>
        </w:numPr>
        <w:rPr>
          <w:rFonts w:ascii="Arial" w:cs="Arial" w:eastAsia="Arial" w:hAnsi="Arial"/>
          <w:sz w:val="17"/>
          <w:szCs w:val="17"/>
          <w:color w:val="010000"/>
        </w:rPr>
      </w:pPr>
      <w:r>
        <w:rPr>
          <w:rFonts w:ascii="Arial" w:cs="Arial" w:eastAsia="Arial" w:hAnsi="Arial"/>
          <w:sz w:val="17"/>
          <w:szCs w:val="17"/>
          <w:color w:val="auto"/>
        </w:rPr>
        <w:t xml:space="preserve">A Subsidiary Guarantor shall automatically be released from its obligations under the Loan Documents upon the consummation of any transaction permitted by this Agreement as a result of which such Subsidiary Guarantor ceases to be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so required by this Agreement, the Required Lenders shall have consented to such transaction and the terms of such consent shall not have provided otherwise. Upon any sale or other disposition (other than any lease or license) by any Loan Party (other than to the Borrower or any Subsidiary) of any Collateral in a transaction permitted under this Agreement, or upon the effectiveness of any written consent to the release of the security interest created under any Collateral Document in any Collateral pursuant to Section 9.02, the security interests in such Collateral created by the Collateral Documents shall be automatically released. In connection with any termination or release pursuant to this Section (including pursuant to clause (b) or (c) below),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except as may otherwise be expressly agreed in writing by the Administrative Agent and such Loan Party.</w:t>
      </w:r>
    </w:p>
    <w:p>
      <w:pPr>
        <w:spacing w:after="0" w:line="156" w:lineRule="exact"/>
        <w:rPr>
          <w:rFonts w:ascii="Arial" w:cs="Arial" w:eastAsia="Arial" w:hAnsi="Arial"/>
          <w:sz w:val="17"/>
          <w:szCs w:val="17"/>
          <w:color w:val="010000"/>
        </w:rPr>
      </w:pPr>
    </w:p>
    <w:p>
      <w:pPr>
        <w:jc w:val="both"/>
        <w:ind w:firstLine="1278"/>
        <w:spacing w:after="0" w:line="232" w:lineRule="auto"/>
        <w:tabs>
          <w:tab w:leader="none" w:pos="1896"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Further, the Administrative Agent may (and is hereby irrevocably authorized by each Lender to), upon the request of the Borrower, release any Subsidiary Guarantor from its obligations under the Subsidiary Guaranty, if (i) such Subsidiary Guarantor is no longer a Material Domestic Subsidiary, becomes an Excluded Subsidiary or is otherwise not required pursuant to the terms of this Agreement to be a Subsidiary Guarantor or (ii) such release is approved, authorized or ratified by the requisite Lenders pursuant to Section 9.02.</w:t>
      </w:r>
    </w:p>
    <w:p>
      <w:pPr>
        <w:spacing w:after="0" w:line="153" w:lineRule="exact"/>
        <w:rPr>
          <w:rFonts w:ascii="Arial" w:cs="Arial" w:eastAsia="Arial" w:hAnsi="Arial"/>
          <w:sz w:val="18"/>
          <w:szCs w:val="18"/>
          <w:color w:val="010000"/>
        </w:rPr>
      </w:pPr>
    </w:p>
    <w:p>
      <w:pPr>
        <w:jc w:val="both"/>
        <w:ind w:firstLine="1278"/>
        <w:spacing w:after="0" w:line="224" w:lineRule="auto"/>
        <w:tabs>
          <w:tab w:leader="none" w:pos="1898"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At such time as the principal and interest on the Loans, all LC Disbursements, the fees, expenses and other amounts payable under the Loan Documents and the other Secured Obligations (other than Swap Obligations not yet due and payable, Banking Services Obligations not yet due and payable, Unliquidated Obligations for which no claim has been made and other Obligations expressly stated to survive such payment and termination) shall have been paid in full in cash, the Commitments shall have been terminated and no Letters of Credit shall be outstanding (or any outstanding Letters of Credit shall have been cash collateralized or backstopped pursuant to arrangements reasonably satisfactory to the Administrative Agent) (the foregoing, collectively, the “</w:t>
      </w:r>
      <w:r>
        <w:rPr>
          <w:rFonts w:ascii="Arial" w:cs="Arial" w:eastAsia="Arial" w:hAnsi="Arial"/>
          <w:sz w:val="18"/>
          <w:szCs w:val="18"/>
          <w:u w:val="single" w:color="auto"/>
          <w:color w:val="auto"/>
        </w:rPr>
        <w:t>Final Release Conditions</w:t>
      </w:r>
      <w:r>
        <w:rPr>
          <w:rFonts w:ascii="Arial" w:cs="Arial" w:eastAsia="Arial" w:hAnsi="Arial"/>
          <w:sz w:val="18"/>
          <w:szCs w:val="18"/>
          <w:color w:val="auto"/>
        </w:rPr>
        <w:t>”), each Subsidiary Guaranty and all obligations (other than those expressly stated to survive such termination) of each Subsidiary Guarantor thereunder shall automatically terminate, all without delivery of any instrument or performance of any act by any Person.</w:t>
      </w:r>
    </w:p>
    <w:p>
      <w:pPr>
        <w:spacing w:after="0" w:line="151" w:lineRule="exact"/>
        <w:rPr>
          <w:sz w:val="20"/>
          <w:szCs w:val="20"/>
          <w:color w:val="auto"/>
        </w:rPr>
      </w:pPr>
    </w:p>
    <w:p>
      <w:pPr>
        <w:jc w:val="both"/>
        <w:ind w:firstLine="1272"/>
        <w:spacing w:after="0" w:line="215" w:lineRule="auto"/>
        <w:rPr>
          <w:sz w:val="20"/>
          <w:szCs w:val="20"/>
          <w:color w:val="auto"/>
        </w:rPr>
      </w:pPr>
      <w:r>
        <w:rPr>
          <w:rFonts w:ascii="Arial" w:cs="Arial" w:eastAsia="Arial" w:hAnsi="Arial"/>
          <w:sz w:val="19"/>
          <w:szCs w:val="19"/>
          <w:color w:val="010000"/>
        </w:rPr>
        <w:t>SECTION 1.15.</w:t>
      </w:r>
      <w:r>
        <w:rPr>
          <w:rFonts w:ascii="Arial" w:cs="Arial" w:eastAsia="Arial" w:hAnsi="Arial"/>
          <w:sz w:val="19"/>
          <w:szCs w:val="19"/>
          <w:u w:val="single" w:color="auto"/>
          <w:color w:val="000000"/>
        </w:rPr>
        <w:t>Appointment for Perfection</w:t>
      </w:r>
      <w:r>
        <w:rPr>
          <w:rFonts w:ascii="Arial" w:cs="Arial" w:eastAsia="Arial" w:hAnsi="Arial"/>
          <w:sz w:val="19"/>
          <w:szCs w:val="19"/>
          <w:color w:val="000000"/>
        </w:rPr>
        <w:t>. Each Lender hereby appoints each other Lender as its agent for the purpose of</w:t>
      </w:r>
      <w:r>
        <w:rPr>
          <w:rFonts w:ascii="Arial" w:cs="Arial" w:eastAsia="Arial" w:hAnsi="Arial"/>
          <w:sz w:val="19"/>
          <w:szCs w:val="19"/>
          <w:color w:val="010000"/>
        </w:rPr>
        <w:t xml:space="preserve"> </w:t>
      </w:r>
      <w:r>
        <w:rPr>
          <w:rFonts w:ascii="Arial" w:cs="Arial" w:eastAsia="Arial" w:hAnsi="Arial"/>
          <w:sz w:val="19"/>
          <w:szCs w:val="19"/>
          <w:color w:val="000000"/>
        </w:rPr>
        <w:t>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ectPr>
          <w:pgSz w:w="11900" w:h="16838" w:orient="portrait"/>
          <w:cols w:equalWidth="0" w:num="1">
            <w:col w:w="11240"/>
          </w:cols>
          <w:pgMar w:left="320" w:top="1375" w:right="339" w:bottom="1440" w:gutter="0" w:footer="0" w:header="0"/>
        </w:sectPr>
      </w:pPr>
    </w:p>
    <w:bookmarkStart w:id="141" w:name="page142"/>
    <w:bookmarkEnd w:id="141"/>
    <w:p>
      <w:pPr>
        <w:jc w:val="both"/>
        <w:ind w:firstLine="1272"/>
        <w:spacing w:after="0" w:line="211" w:lineRule="auto"/>
        <w:rPr>
          <w:sz w:val="20"/>
          <w:szCs w:val="20"/>
          <w:color w:val="auto"/>
        </w:rPr>
      </w:pPr>
      <w:r>
        <w:rPr>
          <w:rFonts w:ascii="Arial" w:cs="Arial" w:eastAsia="Arial" w:hAnsi="Arial"/>
          <w:sz w:val="19"/>
          <w:szCs w:val="19"/>
          <w:color w:val="010000"/>
        </w:rPr>
        <w:t>SECTION 1.16.</w:t>
      </w:r>
      <w:r>
        <w:rPr>
          <w:rFonts w:ascii="Arial" w:cs="Arial" w:eastAsia="Arial" w:hAnsi="Arial"/>
          <w:sz w:val="19"/>
          <w:szCs w:val="19"/>
          <w:u w:val="single" w:color="auto"/>
          <w:color w:val="000000"/>
        </w:rPr>
        <w:t>Interest Rate Limitation</w:t>
      </w:r>
      <w:r>
        <w:rPr>
          <w:rFonts w:ascii="Arial" w:cs="Arial" w:eastAsia="Arial" w:hAnsi="Arial"/>
          <w:sz w:val="19"/>
          <w:szCs w:val="19"/>
          <w:color w:val="000000"/>
        </w:rPr>
        <w:t>. Notwithstanding anything herein to the contrary, if at any time the interest rate</w:t>
      </w:r>
      <w:r>
        <w:rPr>
          <w:rFonts w:ascii="Arial" w:cs="Arial" w:eastAsia="Arial" w:hAnsi="Arial"/>
          <w:sz w:val="19"/>
          <w:szCs w:val="19"/>
          <w:color w:val="010000"/>
        </w:rPr>
        <w:t xml:space="preserve"> </w:t>
      </w:r>
      <w:r>
        <w:rPr>
          <w:rFonts w:ascii="Arial" w:cs="Arial" w:eastAsia="Arial" w:hAnsi="Arial"/>
          <w:sz w:val="19"/>
          <w:szCs w:val="19"/>
          <w:color w:val="000000"/>
        </w:rPr>
        <w:t>applicable to any Loan, together with all fees, charges and other amounts which are treated as interest on such Loan under applicable law (collectively the “</w:t>
      </w:r>
      <w:r>
        <w:rPr>
          <w:rFonts w:ascii="Arial" w:cs="Arial" w:eastAsia="Arial" w:hAnsi="Arial"/>
          <w:sz w:val="19"/>
          <w:szCs w:val="19"/>
          <w:u w:val="single" w:color="auto"/>
          <w:color w:val="000000"/>
        </w:rPr>
        <w:t>Charges</w:t>
      </w:r>
      <w:r>
        <w:rPr>
          <w:rFonts w:ascii="Arial" w:cs="Arial" w:eastAsia="Arial" w:hAnsi="Arial"/>
          <w:sz w:val="19"/>
          <w:szCs w:val="19"/>
          <w:color w:val="000000"/>
        </w:rPr>
        <w:t>”), shall exceed the maximum lawful rate (the “</w:t>
      </w:r>
      <w:r>
        <w:rPr>
          <w:rFonts w:ascii="Arial" w:cs="Arial" w:eastAsia="Arial" w:hAnsi="Arial"/>
          <w:sz w:val="19"/>
          <w:szCs w:val="19"/>
          <w:u w:val="single" w:color="auto"/>
          <w:color w:val="000000"/>
        </w:rPr>
        <w:t>Maximum Rate</w:t>
      </w:r>
      <w:r>
        <w:rPr>
          <w:rFonts w:ascii="Arial" w:cs="Arial" w:eastAsia="Arial" w:hAnsi="Arial"/>
          <w:sz w:val="19"/>
          <w:szCs w:val="19"/>
          <w:color w:val="00000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9"/>
          <w:szCs w:val="19"/>
          <w:color w:val="010000"/>
        </w:rPr>
        <w:t>SECTION 1.17.</w:t>
      </w:r>
      <w:r>
        <w:rPr>
          <w:rFonts w:ascii="Arial" w:cs="Arial" w:eastAsia="Arial" w:hAnsi="Arial"/>
          <w:sz w:val="19"/>
          <w:szCs w:val="19"/>
          <w:u w:val="single" w:color="auto"/>
          <w:color w:val="000000"/>
        </w:rPr>
        <w:t>No Fiduciary Duty, etc</w:t>
      </w:r>
      <w:r>
        <w:rPr>
          <w:rFonts w:ascii="Arial" w:cs="Arial" w:eastAsia="Arial" w:hAnsi="Arial"/>
          <w:sz w:val="19"/>
          <w:szCs w:val="19"/>
          <w:color w:val="000000"/>
        </w:rPr>
        <w:t>.</w:t>
      </w:r>
    </w:p>
    <w:p>
      <w:pPr>
        <w:spacing w:after="0" w:line="179" w:lineRule="exact"/>
        <w:rPr>
          <w:sz w:val="20"/>
          <w:szCs w:val="20"/>
          <w:color w:val="auto"/>
        </w:rPr>
      </w:pPr>
    </w:p>
    <w:p>
      <w:pPr>
        <w:jc w:val="both"/>
        <w:ind w:firstLine="1278"/>
        <w:spacing w:after="0" w:line="210" w:lineRule="auto"/>
        <w:tabs>
          <w:tab w:leader="none" w:pos="1898" w:val="left"/>
        </w:tabs>
        <w:numPr>
          <w:ilvl w:val="0"/>
          <w:numId w:val="184"/>
        </w:numPr>
        <w:rPr>
          <w:rFonts w:ascii="Arial" w:cs="Arial" w:eastAsia="Arial" w:hAnsi="Arial"/>
          <w:sz w:val="19"/>
          <w:szCs w:val="19"/>
          <w:color w:val="010000"/>
        </w:rPr>
      </w:pPr>
      <w:r>
        <w:rPr>
          <w:rFonts w:ascii="Arial" w:cs="Arial" w:eastAsia="Arial" w:hAnsi="Arial"/>
          <w:sz w:val="19"/>
          <w:szCs w:val="19"/>
          <w:color w:val="auto"/>
        </w:rPr>
        <w:t>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155" w:lineRule="exact"/>
        <w:rPr>
          <w:rFonts w:ascii="Arial" w:cs="Arial" w:eastAsia="Arial" w:hAnsi="Arial"/>
          <w:sz w:val="19"/>
          <w:szCs w:val="19"/>
          <w:color w:val="010000"/>
        </w:rPr>
      </w:pPr>
    </w:p>
    <w:p>
      <w:pPr>
        <w:jc w:val="both"/>
        <w:ind w:firstLine="1278"/>
        <w:spacing w:after="0" w:line="212" w:lineRule="auto"/>
        <w:tabs>
          <w:tab w:leader="none" w:pos="1896" w:val="left"/>
        </w:tabs>
        <w:numPr>
          <w:ilvl w:val="0"/>
          <w:numId w:val="184"/>
        </w:numPr>
        <w:rPr>
          <w:rFonts w:ascii="Arial" w:cs="Arial" w:eastAsia="Arial" w:hAnsi="Arial"/>
          <w:sz w:val="19"/>
          <w:szCs w:val="19"/>
          <w:color w:val="010000"/>
        </w:rPr>
      </w:pPr>
      <w:r>
        <w:rPr>
          <w:rFonts w:ascii="Arial" w:cs="Arial" w:eastAsia="Arial" w:hAnsi="Arial"/>
          <w:sz w:val="19"/>
          <w:szCs w:val="19"/>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its Subsidiaries and other companies with which the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52" w:lineRule="exact"/>
        <w:rPr>
          <w:rFonts w:ascii="Arial" w:cs="Arial" w:eastAsia="Arial" w:hAnsi="Arial"/>
          <w:sz w:val="19"/>
          <w:szCs w:val="19"/>
          <w:color w:val="010000"/>
        </w:rPr>
      </w:pPr>
    </w:p>
    <w:p>
      <w:pPr>
        <w:jc w:val="both"/>
        <w:ind w:firstLine="1278"/>
        <w:spacing w:after="0" w:line="212" w:lineRule="auto"/>
        <w:tabs>
          <w:tab w:leader="none" w:pos="1898" w:val="left"/>
        </w:tabs>
        <w:numPr>
          <w:ilvl w:val="0"/>
          <w:numId w:val="184"/>
        </w:numPr>
        <w:rPr>
          <w:rFonts w:ascii="Arial" w:cs="Arial" w:eastAsia="Arial" w:hAnsi="Arial"/>
          <w:sz w:val="19"/>
          <w:szCs w:val="19"/>
          <w:color w:val="010000"/>
        </w:rPr>
      </w:pPr>
      <w:r>
        <w:rPr>
          <w:rFonts w:ascii="Arial" w:cs="Arial" w:eastAsia="Arial" w:hAnsi="Arial"/>
          <w:sz w:val="19"/>
          <w:szCs w:val="19"/>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or any of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or any of its Subsidiaries, confidential information obtained from other companies.</w:t>
      </w:r>
    </w:p>
    <w:p>
      <w:pPr>
        <w:spacing w:after="0" w:line="152" w:lineRule="exact"/>
        <w:rPr>
          <w:sz w:val="20"/>
          <w:szCs w:val="20"/>
          <w:color w:val="auto"/>
        </w:rPr>
      </w:pPr>
    </w:p>
    <w:p>
      <w:pPr>
        <w:jc w:val="both"/>
        <w:ind w:firstLine="1272"/>
        <w:spacing w:after="0" w:line="238" w:lineRule="auto"/>
        <w:rPr>
          <w:sz w:val="20"/>
          <w:szCs w:val="20"/>
          <w:color w:val="auto"/>
        </w:rPr>
      </w:pPr>
      <w:r>
        <w:rPr>
          <w:rFonts w:ascii="Arial" w:cs="Arial" w:eastAsia="Arial" w:hAnsi="Arial"/>
          <w:sz w:val="18"/>
          <w:szCs w:val="18"/>
          <w:color w:val="010000"/>
        </w:rPr>
        <w:t>SECTION 1.18.</w:t>
      </w:r>
      <w:r>
        <w:rPr>
          <w:rFonts w:ascii="Arial" w:cs="Arial" w:eastAsia="Arial" w:hAnsi="Arial"/>
          <w:sz w:val="18"/>
          <w:szCs w:val="18"/>
          <w:u w:val="single" w:color="auto"/>
          <w:color w:val="000000"/>
        </w:rPr>
        <w:t>Acknowledgement and Consent to Bail-In of Affected Financial Institutions</w:t>
      </w:r>
      <w:r>
        <w:rPr>
          <w:rFonts w:ascii="Arial" w:cs="Arial" w:eastAsia="Arial" w:hAnsi="Arial"/>
          <w:sz w:val="18"/>
          <w:szCs w:val="18"/>
          <w:color w:val="000000"/>
        </w:rPr>
        <w:t>. Notwithstanding anything to the</w:t>
      </w:r>
      <w:r>
        <w:rPr>
          <w:rFonts w:ascii="Arial" w:cs="Arial" w:eastAsia="Arial" w:hAnsi="Arial"/>
          <w:sz w:val="18"/>
          <w:szCs w:val="18"/>
          <w:color w:val="010000"/>
        </w:rPr>
        <w:t xml:space="preserve"> </w:t>
      </w:r>
      <w:r>
        <w:rPr>
          <w:rFonts w:ascii="Arial" w:cs="Arial" w:eastAsia="Arial" w:hAnsi="Arial"/>
          <w:sz w:val="18"/>
          <w:szCs w:val="18"/>
          <w:color w:val="000000"/>
        </w:rPr>
        <w:t>contrary in any Loan Document or in any other agreement, arrangement or understanding among any such parties, each party hereto acknowledges that any liability of any Affected Financial Institution arising under any Loan Document may be subject to the Write-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103</w:t>
      </w:r>
    </w:p>
    <w:p>
      <w:pPr>
        <w:sectPr>
          <w:pgSz w:w="11900" w:h="16838" w:orient="portrait"/>
          <w:cols w:equalWidth="0" w:num="1">
            <w:col w:w="11240"/>
          </w:cols>
          <w:pgMar w:left="320" w:top="1381" w:right="3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color w:val="auto"/>
        </w:rPr>
        <w:t>Down and Conversion Powers of the applicable Resolution Authority and agrees and consents to, and acknowledges and agrees to be bound by:</w:t>
      </w:r>
    </w:p>
    <w:p>
      <w:pPr>
        <w:spacing w:after="0" w:line="202" w:lineRule="exact"/>
        <w:rPr>
          <w:sz w:val="20"/>
          <w:szCs w:val="20"/>
          <w:color w:val="auto"/>
        </w:rPr>
      </w:pPr>
    </w:p>
    <w:p>
      <w:pPr>
        <w:ind w:firstLine="1278"/>
        <w:spacing w:after="0" w:line="237" w:lineRule="auto"/>
        <w:tabs>
          <w:tab w:leader="none" w:pos="1898" w:val="left"/>
        </w:tabs>
        <w:numPr>
          <w:ilvl w:val="0"/>
          <w:numId w:val="185"/>
        </w:numPr>
        <w:rPr>
          <w:rFonts w:ascii="Arial" w:cs="Arial" w:eastAsia="Arial" w:hAnsi="Arial"/>
          <w:sz w:val="19"/>
          <w:szCs w:val="19"/>
          <w:color w:val="010000"/>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1" w:lineRule="exact"/>
        <w:rPr>
          <w:rFonts w:ascii="Arial" w:cs="Arial" w:eastAsia="Arial" w:hAnsi="Arial"/>
          <w:sz w:val="19"/>
          <w:szCs w:val="19"/>
          <w:color w:val="010000"/>
        </w:rPr>
      </w:pPr>
    </w:p>
    <w:p>
      <w:pPr>
        <w:ind w:left="1900" w:hanging="622"/>
        <w:spacing w:after="0"/>
        <w:tabs>
          <w:tab w:leader="none" w:pos="1900" w:val="left"/>
        </w:tabs>
        <w:numPr>
          <w:ilvl w:val="0"/>
          <w:numId w:val="185"/>
        </w:numPr>
        <w:rPr>
          <w:rFonts w:ascii="Arial" w:cs="Arial" w:eastAsia="Arial" w:hAnsi="Arial"/>
          <w:sz w:val="19"/>
          <w:szCs w:val="19"/>
          <w:color w:val="010000"/>
        </w:rPr>
      </w:pPr>
      <w:r>
        <w:rPr>
          <w:rFonts w:ascii="Arial" w:cs="Arial" w:eastAsia="Arial" w:hAnsi="Arial"/>
          <w:sz w:val="19"/>
          <w:szCs w:val="19"/>
          <w:color w:val="auto"/>
        </w:rPr>
        <w:t>the effects of any Bail-In Action on any such liability, including, if applicable:</w:t>
      </w:r>
    </w:p>
    <w:p>
      <w:pPr>
        <w:spacing w:after="0" w:line="179" w:lineRule="exact"/>
        <w:rPr>
          <w:rFonts w:ascii="Arial" w:cs="Arial" w:eastAsia="Arial" w:hAnsi="Arial"/>
          <w:sz w:val="19"/>
          <w:szCs w:val="19"/>
          <w:color w:val="010000"/>
        </w:rPr>
      </w:pPr>
    </w:p>
    <w:p>
      <w:pPr>
        <w:ind w:left="2540" w:hanging="626"/>
        <w:spacing w:after="0"/>
        <w:tabs>
          <w:tab w:leader="none" w:pos="2540" w:val="left"/>
        </w:tabs>
        <w:numPr>
          <w:ilvl w:val="1"/>
          <w:numId w:val="185"/>
        </w:numPr>
        <w:rPr>
          <w:rFonts w:ascii="Arial" w:cs="Arial" w:eastAsia="Arial" w:hAnsi="Arial"/>
          <w:sz w:val="19"/>
          <w:szCs w:val="19"/>
          <w:color w:val="010000"/>
        </w:rPr>
      </w:pPr>
      <w:r>
        <w:rPr>
          <w:rFonts w:ascii="Arial" w:cs="Arial" w:eastAsia="Arial" w:hAnsi="Arial"/>
          <w:sz w:val="19"/>
          <w:szCs w:val="19"/>
          <w:color w:val="auto"/>
        </w:rPr>
        <w:t>a reduction in full or in part or cancellation of any such liability;</w:t>
      </w:r>
    </w:p>
    <w:p>
      <w:pPr>
        <w:spacing w:after="0" w:line="179" w:lineRule="exact"/>
        <w:rPr>
          <w:rFonts w:ascii="Arial" w:cs="Arial" w:eastAsia="Arial" w:hAnsi="Arial"/>
          <w:sz w:val="19"/>
          <w:szCs w:val="19"/>
          <w:color w:val="010000"/>
        </w:rPr>
      </w:pPr>
    </w:p>
    <w:p>
      <w:pPr>
        <w:jc w:val="both"/>
        <w:ind w:left="640" w:firstLine="1274"/>
        <w:spacing w:after="0" w:line="220" w:lineRule="auto"/>
        <w:tabs>
          <w:tab w:leader="none" w:pos="2547" w:val="left"/>
        </w:tabs>
        <w:numPr>
          <w:ilvl w:val="1"/>
          <w:numId w:val="185"/>
        </w:numPr>
        <w:rPr>
          <w:rFonts w:ascii="Arial" w:cs="Arial" w:eastAsia="Arial" w:hAnsi="Arial"/>
          <w:sz w:val="19"/>
          <w:szCs w:val="19"/>
          <w:color w:val="010000"/>
        </w:rPr>
      </w:pPr>
      <w:r>
        <w:rPr>
          <w:rFonts w:ascii="Arial" w:cs="Arial" w:eastAsia="Arial" w:hAnsi="Arial"/>
          <w:sz w:val="19"/>
          <w:szCs w:val="19"/>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2" w:lineRule="exact"/>
        <w:rPr>
          <w:rFonts w:ascii="Arial" w:cs="Arial" w:eastAsia="Arial" w:hAnsi="Arial"/>
          <w:sz w:val="19"/>
          <w:szCs w:val="19"/>
          <w:color w:val="010000"/>
        </w:rPr>
      </w:pPr>
    </w:p>
    <w:p>
      <w:pPr>
        <w:ind w:left="640" w:firstLine="1274"/>
        <w:spacing w:after="0" w:line="237" w:lineRule="auto"/>
        <w:tabs>
          <w:tab w:leader="none" w:pos="2548" w:val="left"/>
        </w:tabs>
        <w:numPr>
          <w:ilvl w:val="1"/>
          <w:numId w:val="185"/>
        </w:numPr>
        <w:rPr>
          <w:rFonts w:ascii="Arial" w:cs="Arial" w:eastAsia="Arial" w:hAnsi="Arial"/>
          <w:sz w:val="19"/>
          <w:szCs w:val="19"/>
          <w:color w:val="010000"/>
        </w:rPr>
      </w:pPr>
      <w:r>
        <w:rPr>
          <w:rFonts w:ascii="Arial" w:cs="Arial" w:eastAsia="Arial" w:hAnsi="Arial"/>
          <w:sz w:val="19"/>
          <w:szCs w:val="19"/>
          <w:color w:val="auto"/>
        </w:rPr>
        <w:t>the variation of the terms of such liability in connection with the exercise of the Write-Down and Conversion Powers of the applicable Resolution Authority.</w:t>
      </w:r>
    </w:p>
    <w:p>
      <w:pPr>
        <w:spacing w:after="0" w:line="151" w:lineRule="exact"/>
        <w:rPr>
          <w:sz w:val="20"/>
          <w:szCs w:val="20"/>
          <w:color w:val="auto"/>
        </w:rPr>
      </w:pPr>
    </w:p>
    <w:p>
      <w:pPr>
        <w:jc w:val="both"/>
        <w:ind w:firstLine="1272"/>
        <w:spacing w:after="0" w:line="212" w:lineRule="auto"/>
        <w:rPr>
          <w:sz w:val="20"/>
          <w:szCs w:val="20"/>
          <w:color w:val="auto"/>
        </w:rPr>
      </w:pPr>
      <w:r>
        <w:rPr>
          <w:rFonts w:ascii="Arial" w:cs="Arial" w:eastAsia="Arial" w:hAnsi="Arial"/>
          <w:sz w:val="19"/>
          <w:szCs w:val="19"/>
          <w:color w:val="010000"/>
        </w:rPr>
        <w:t>SECTION 1.19.</w:t>
      </w:r>
      <w:r>
        <w:rPr>
          <w:rFonts w:ascii="Arial" w:cs="Arial" w:eastAsia="Arial" w:hAnsi="Arial"/>
          <w:sz w:val="19"/>
          <w:szCs w:val="19"/>
          <w:u w:val="single" w:color="auto"/>
          <w:color w:val="000000"/>
        </w:rPr>
        <w:t>Acknowledgement Regarding Any Supported QFCs</w:t>
      </w:r>
      <w:r>
        <w:rPr>
          <w:rFonts w:ascii="Arial" w:cs="Arial" w:eastAsia="Arial" w:hAnsi="Arial"/>
          <w:sz w:val="19"/>
          <w:szCs w:val="19"/>
          <w:color w:val="000000"/>
        </w:rPr>
        <w:t>. To the extent that the Loan Documents provide support,</w:t>
      </w:r>
      <w:r>
        <w:rPr>
          <w:rFonts w:ascii="Arial" w:cs="Arial" w:eastAsia="Arial" w:hAnsi="Arial"/>
          <w:sz w:val="19"/>
          <w:szCs w:val="19"/>
          <w:color w:val="010000"/>
        </w:rPr>
        <w:t xml:space="preserve"> </w:t>
      </w:r>
      <w:r>
        <w:rPr>
          <w:rFonts w:ascii="Arial" w:cs="Arial" w:eastAsia="Arial" w:hAnsi="Arial"/>
          <w:sz w:val="19"/>
          <w:szCs w:val="19"/>
          <w:color w:val="000000"/>
        </w:rPr>
        <w:t>through a guarantee or otherwise, for Swap Agreements or any other agreement or instrument that is a QFC (such support “</w:t>
      </w:r>
      <w:r>
        <w:rPr>
          <w:rFonts w:ascii="Arial" w:cs="Arial" w:eastAsia="Arial" w:hAnsi="Arial"/>
          <w:sz w:val="19"/>
          <w:szCs w:val="19"/>
          <w:u w:val="single" w:color="auto"/>
          <w:color w:val="000000"/>
        </w:rPr>
        <w:t>QFC Credit</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Support</w:t>
      </w:r>
      <w:r>
        <w:rPr>
          <w:rFonts w:ascii="Arial" w:cs="Arial" w:eastAsia="Arial" w:hAnsi="Arial"/>
          <w:sz w:val="19"/>
          <w:szCs w:val="19"/>
          <w:color w:val="000000"/>
        </w:rPr>
        <w:t>” and each such QFC a “</w:t>
      </w:r>
      <w:r>
        <w:rPr>
          <w:rFonts w:ascii="Arial" w:cs="Arial" w:eastAsia="Arial" w:hAnsi="Arial"/>
          <w:sz w:val="19"/>
          <w:szCs w:val="19"/>
          <w:u w:val="single" w:color="auto"/>
          <w:color w:val="000000"/>
        </w:rPr>
        <w:t>Supported QFC</w:t>
      </w:r>
      <w:r>
        <w:rPr>
          <w:rFonts w:ascii="Arial" w:cs="Arial" w:eastAsia="Arial" w:hAnsi="Arial"/>
          <w:sz w:val="19"/>
          <w:szCs w:val="19"/>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000000"/>
        </w:rPr>
        <w:t>U.S. Special Resolution Regimes</w:t>
      </w:r>
      <w:r>
        <w:rPr>
          <w:rFonts w:ascii="Arial" w:cs="Arial" w:eastAsia="Arial" w:hAnsi="Arial"/>
          <w:sz w:val="19"/>
          <w:szCs w:val="19"/>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2"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1" w:lineRule="exact"/>
        <w:rPr>
          <w:sz w:val="20"/>
          <w:szCs w:val="20"/>
          <w:color w:val="auto"/>
        </w:rPr>
      </w:pPr>
    </w:p>
    <w:p>
      <w:pPr>
        <w:jc w:val="both"/>
        <w:ind w:firstLine="1272"/>
        <w:spacing w:after="0" w:line="212" w:lineRule="auto"/>
        <w:rPr>
          <w:sz w:val="20"/>
          <w:szCs w:val="20"/>
          <w:color w:val="auto"/>
        </w:rPr>
      </w:pPr>
      <w:r>
        <w:rPr>
          <w:rFonts w:ascii="Arial" w:cs="Arial" w:eastAsia="Arial" w:hAnsi="Arial"/>
          <w:sz w:val="19"/>
          <w:szCs w:val="19"/>
          <w:color w:val="010000"/>
        </w:rPr>
        <w:t>SECTION 1.20.</w:t>
      </w:r>
      <w:r>
        <w:rPr>
          <w:rFonts w:ascii="Arial" w:cs="Arial" w:eastAsia="Arial" w:hAnsi="Arial"/>
          <w:sz w:val="19"/>
          <w:szCs w:val="19"/>
          <w:u w:val="single" w:color="auto"/>
          <w:color w:val="000000"/>
        </w:rPr>
        <w:t>Judgment Currency</w:t>
      </w:r>
      <w:r>
        <w:rPr>
          <w:rFonts w:ascii="Arial" w:cs="Arial" w:eastAsia="Arial" w:hAnsi="Arial"/>
          <w:sz w:val="19"/>
          <w:szCs w:val="19"/>
          <w:color w:val="000000"/>
        </w:rPr>
        <w:t>. If, for the purposes of obtaining judgment in any court, it is necessary to convert a sum</w:t>
      </w:r>
      <w:r>
        <w:rPr>
          <w:rFonts w:ascii="Arial" w:cs="Arial" w:eastAsia="Arial" w:hAnsi="Arial"/>
          <w:sz w:val="19"/>
          <w:szCs w:val="19"/>
          <w:color w:val="010000"/>
        </w:rPr>
        <w:t xml:space="preserve"> </w:t>
      </w:r>
      <w:r>
        <w:rPr>
          <w:rFonts w:ascii="Arial" w:cs="Arial" w:eastAsia="Arial" w:hAnsi="Arial"/>
          <w:sz w:val="19"/>
          <w:szCs w:val="19"/>
          <w:color w:val="000000"/>
        </w:rPr>
        <w:t>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Arial" w:cs="Arial" w:eastAsia="Arial" w:hAnsi="Arial"/>
          <w:sz w:val="19"/>
          <w:szCs w:val="19"/>
          <w:u w:val="single" w:color="auto"/>
          <w:color w:val="000000"/>
        </w:rPr>
        <w:t>Judgment Currency</w:t>
      </w:r>
      <w:r>
        <w:rPr>
          <w:rFonts w:ascii="Arial" w:cs="Arial" w:eastAsia="Arial" w:hAnsi="Arial"/>
          <w:sz w:val="19"/>
          <w:szCs w:val="19"/>
          <w:color w:val="000000"/>
        </w:rPr>
        <w:t>”) other than that in which such sum is denominated in accordance with the applicable provisions of this Agreement (the “</w:t>
      </w:r>
      <w:r>
        <w:rPr>
          <w:rFonts w:ascii="Arial" w:cs="Arial" w:eastAsia="Arial" w:hAnsi="Arial"/>
          <w:sz w:val="19"/>
          <w:szCs w:val="19"/>
          <w:u w:val="single" w:color="auto"/>
          <w:color w:val="000000"/>
        </w:rPr>
        <w:t>Agreement Currency</w:t>
      </w:r>
      <w:r>
        <w:rPr>
          <w:rFonts w:ascii="Arial" w:cs="Arial" w:eastAsia="Arial" w:hAnsi="Arial"/>
          <w:sz w:val="19"/>
          <w:szCs w:val="19"/>
          <w:color w:val="000000"/>
        </w:rPr>
        <w:t>”), be discharged only to the extent that on the Business Day following receipt by the Administrative Agent or such Lender, as the case may be, of any sum adjudged to be so due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ectPr>
          <w:pgSz w:w="11900" w:h="16838" w:orient="portrait"/>
          <w:cols w:equalWidth="0" w:num="1">
            <w:col w:w="11240"/>
          </w:cols>
          <w:pgMar w:left="320" w:top="1381" w:right="339" w:bottom="1440" w:gutter="0" w:footer="0" w:header="0"/>
        </w:sectPr>
      </w:pPr>
    </w:p>
    <w:bookmarkStart w:id="143" w:name="page144"/>
    <w:bookmarkEnd w:id="143"/>
    <w:p>
      <w:pPr>
        <w:jc w:val="both"/>
        <w:spacing w:after="0" w:line="225" w:lineRule="auto"/>
        <w:rPr>
          <w:sz w:val="20"/>
          <w:szCs w:val="20"/>
          <w:color w:val="auto"/>
        </w:rPr>
      </w:pPr>
      <w:r>
        <w:rPr>
          <w:rFonts w:ascii="Arial" w:cs="Arial" w:eastAsia="Arial" w:hAnsi="Arial"/>
          <w:sz w:val="18"/>
          <w:szCs w:val="18"/>
          <w:color w:val="auto"/>
        </w:rPr>
        <w:t>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285"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010000"/>
        </w:rPr>
        <w:t>Article X</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Borrower Guarantee</w:t>
      </w:r>
    </w:p>
    <w:p>
      <w:pPr>
        <w:spacing w:after="0" w:line="100" w:lineRule="exact"/>
        <w:rPr>
          <w:sz w:val="20"/>
          <w:szCs w:val="20"/>
          <w:color w:val="auto"/>
        </w:rPr>
      </w:pPr>
    </w:p>
    <w:p>
      <w:pPr>
        <w:jc w:val="both"/>
        <w:ind w:firstLine="1272"/>
        <w:spacing w:after="0" w:line="215" w:lineRule="auto"/>
        <w:rPr>
          <w:sz w:val="20"/>
          <w:szCs w:val="20"/>
          <w:color w:val="auto"/>
        </w:rPr>
      </w:pPr>
      <w:r>
        <w:rPr>
          <w:rFonts w:ascii="Arial" w:cs="Arial" w:eastAsia="Arial" w:hAnsi="Arial"/>
          <w:sz w:val="19"/>
          <w:szCs w:val="19"/>
          <w:color w:val="auto"/>
        </w:rPr>
        <w:t>In order to induce the Lenders to extend credit to the Borrower hereunder and for other good and valuable consideration (the receipt and sufficiency of which are hereby acknowledged), the Borrower hereby absolutely and irrevocably and unconditionally guarantees, as a primary obligor and not merely as a surety, the payment when and as due of the Specified Ancillary Obligations of the Subsidiaries. The Borrower further agrees that the due and punctual payment of such Specified Ancillary Obligations may be extended or renewed, in whole or in part, without notice to or further assent from it, and that it will remain bound upon its guarantee hereunder notwithstanding any such extension or renewal of any such Specified Ancillary Obligation.</w:t>
      </w:r>
    </w:p>
    <w:p>
      <w:pPr>
        <w:spacing w:after="0" w:line="151" w:lineRule="exact"/>
        <w:rPr>
          <w:sz w:val="20"/>
          <w:szCs w:val="20"/>
          <w:color w:val="auto"/>
        </w:rPr>
      </w:pPr>
    </w:p>
    <w:p>
      <w:pPr>
        <w:jc w:val="both"/>
        <w:ind w:firstLine="1272"/>
        <w:spacing w:after="0" w:line="231" w:lineRule="auto"/>
        <w:rPr>
          <w:sz w:val="20"/>
          <w:szCs w:val="20"/>
          <w:color w:val="auto"/>
        </w:rPr>
      </w:pPr>
      <w:r>
        <w:rPr>
          <w:rFonts w:ascii="Arial" w:cs="Arial" w:eastAsia="Arial" w:hAnsi="Arial"/>
          <w:sz w:val="17"/>
          <w:szCs w:val="17"/>
          <w:color w:val="auto"/>
        </w:rPr>
        <w:t>The Borrower waives presentment to, demand of payment from and protest to any Subsidiary of any of the Specified Ancillary Obligations, and also waives notice of acceptance of its obligations and notice of protest for nonpayment. The obligations of the Borrower hereunder shall not be affected by (a) the failure of any applicable Lender (or any of its Affiliates) to assert any claim or demand or to enforce any right or remedy against any Subsidiary under the provisions of any Banking Services Agreement, any Swap Agreement or otherwise; (b) any extension or renewal of any of the Specified Ancillary Obligations; (c) any rescission, waiver, amendment or modification of, or release from, any of the terms or provisions of this Agreement, any other Loan Document, any Banking Services Agreement, any Swap Agreement or other agreement; (d) any default, failure or delay, willful or otherwise, in the performance of any of the Specified Ancillary Obligations; (e) the failure of any applicable Lender (or any of its Affiliates) to take any steps to perfect and maintain any security interest in, or to preserve any rights to, any security or collateral for the Specified Ancillary Obligations, if any; (f) any change in the corporate, partnership or other existence, structure or ownership of any Subsidiary or any other guarantor of any of the Specified Ancillary Obligations; (g) the enforceability or validity of the Specified Ancillary Obligations or any part thereof or the genuineness, enforceability or validity of any agreement relating thereto or with respect to any collateral securing the Specified Ancillary Obligations or any part thereof, or any other invalidity or unenforceability relating to or against any Subsidiary or any other guarantor of any of the Specified Ancillary Obligations, for any reason related to this Agreement, any other Loan Document, any Banking Services Agreement, any Swap Agreement, or any provision of applicable law, decree, order or regulation of any jurisdiction purporting to prohibit the payment by such Subsidiary or any other guarantor of the Specified Ancillary Obligations, of any of the Specified Ancillary Obligations or otherwise affecting any term of any of the Specified Ancillary Obligations; or (h) any other act, omission or delay to do any other act which may or might in any manner or to any extent vary the risk of the Borrower or otherwise operate as a discharge of a guarantor as a matter of law or equity or which would impair or eliminate any right of the Borrower to subrogation.</w:t>
      </w:r>
    </w:p>
    <w:p>
      <w:pPr>
        <w:spacing w:after="0" w:line="164"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auto"/>
        </w:rPr>
        <w:t>The Borrower further agrees that its agreement hereunder constitutes a guarantee of payment when due (whether or not any bankruptcy or similar proceeding shall have stayed the accrual or collection of any of the Specified Ancillary Obligations or operated as a discharge thereof) and not merely of collection, and waives any right to require that any resort be had by any applicable Lender (or any of its Affiliates) to any balance of any deposit account or credit on the books of the Administrative Agent, the Issuing Bank or any Lender in favor of any Subsidiary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ectPr>
          <w:pgSz w:w="11900" w:h="16838" w:orient="portrait"/>
          <w:cols w:equalWidth="0" w:num="1">
            <w:col w:w="11240"/>
          </w:cols>
          <w:pgMar w:left="320" w:top="1381" w:right="339" w:bottom="1440" w:gutter="0" w:footer="0" w:header="0"/>
        </w:sectPr>
      </w:pPr>
    </w:p>
    <w:bookmarkStart w:id="144" w:name="page145"/>
    <w:bookmarkEnd w:id="144"/>
    <w:p>
      <w:pPr>
        <w:jc w:val="both"/>
        <w:ind w:firstLine="1272"/>
        <w:spacing w:after="0" w:line="220" w:lineRule="auto"/>
        <w:rPr>
          <w:sz w:val="20"/>
          <w:szCs w:val="20"/>
          <w:color w:val="auto"/>
        </w:rPr>
      </w:pPr>
      <w:r>
        <w:rPr>
          <w:rFonts w:ascii="Arial" w:cs="Arial" w:eastAsia="Arial" w:hAnsi="Arial"/>
          <w:sz w:val="19"/>
          <w:szCs w:val="19"/>
          <w:color w:val="auto"/>
        </w:rPr>
        <w:t>The obligations of the Borrower hereunder shall not be subject to any reduction, limitation, impairment or termination for any reason, and shall not be subject to any defense or setoff, counterclaim, recoupment or termination whatsoever, by reason of the invalidity, illegality or unenforceability of any of the Specified Ancillary Obligations, any impossibility in the performance of any of the Specified Ancillary Obligations or otherwise.</w:t>
      </w:r>
    </w:p>
    <w:p>
      <w:pPr>
        <w:spacing w:after="0" w:line="153" w:lineRule="exact"/>
        <w:rPr>
          <w:sz w:val="20"/>
          <w:szCs w:val="20"/>
          <w:color w:val="auto"/>
        </w:rPr>
      </w:pPr>
    </w:p>
    <w:p>
      <w:pPr>
        <w:jc w:val="both"/>
        <w:ind w:firstLine="1272"/>
        <w:spacing w:after="0" w:line="215" w:lineRule="auto"/>
        <w:rPr>
          <w:sz w:val="20"/>
          <w:szCs w:val="20"/>
          <w:color w:val="auto"/>
        </w:rPr>
      </w:pPr>
      <w:r>
        <w:rPr>
          <w:rFonts w:ascii="Arial" w:cs="Arial" w:eastAsia="Arial" w:hAnsi="Arial"/>
          <w:sz w:val="19"/>
          <w:szCs w:val="19"/>
          <w:color w:val="auto"/>
        </w:rPr>
        <w:t>The Borrower further agrees that its obligations hereunder shall constitute a continuing and irrevocable guarantee of all Specified Ancillary Obligations now or hereafter existing and shall continue to be effective or be reinstated, as the case may be, if at any time payment, or any part thereof, of any Specified Ancillary Obligation (including a payment effected through exercise of a right of setoff) is rescinded, or is or must otherwise be restored or returned by any applicable Lender (or any of its Affiliates) upon the insolvency, bankruptcy or reorganization of any Subsidiary or otherwise (including pursuant to any settlement entered into by a holder of Specified Ancillary Obligations in its discretion).</w:t>
      </w:r>
    </w:p>
    <w:p>
      <w:pPr>
        <w:spacing w:after="0" w:line="151" w:lineRule="exact"/>
        <w:rPr>
          <w:sz w:val="20"/>
          <w:szCs w:val="20"/>
          <w:color w:val="auto"/>
        </w:rPr>
      </w:pPr>
    </w:p>
    <w:p>
      <w:pPr>
        <w:jc w:val="both"/>
        <w:ind w:firstLine="1272"/>
        <w:spacing w:after="0" w:line="232" w:lineRule="auto"/>
        <w:rPr>
          <w:sz w:val="20"/>
          <w:szCs w:val="20"/>
          <w:color w:val="auto"/>
        </w:rPr>
      </w:pPr>
      <w:r>
        <w:rPr>
          <w:rFonts w:ascii="Arial" w:cs="Arial" w:eastAsia="Arial" w:hAnsi="Arial"/>
          <w:sz w:val="17"/>
          <w:szCs w:val="17"/>
          <w:color w:val="auto"/>
        </w:rPr>
        <w:t>In furtherance of the foregoing and not in limitation of any other right which any applicable Lender (or any of its Affiliates) may have at law or in equity against the Borrower by virtue hereof, upon the failure of any Subsidiary to pay any Specified Ancillary Obligation when and as the same shall become due, whether at maturity, by acceleration, after notice of prepayment or otherwise, the Borrower hereby promises to and will, upon receipt of written demand by any applicable Lender (or any of its Affiliates), forthwith pay, or cause to be paid, to such applicable Lender (or any of its Affiliates) in cash an amount equal to the unpaid principal amount of such Specified Ancillary Obligations then due, together with accrued and unpaid interest thereon. The Borrower further agrees that if payment in respect of any Specified Ancillary Obligation shall be due in a currency other than Dollars and/or at a place of payment other than New York, Chicago or any other office, branch, affiliate or correspondent bank of the applicable Lender for such currency and if, by reason of any Change in Law, disruption of currency or foreign exchange markets, war or civil disturbance or other event, payment of such Specified Ancillary Obligation in such currency or at such place of payment shall be impossible or, in the reasonable judgment of any applicable Lender (or any of its Affiliates), disadvantageous to such applicable Lender (or any of its Affiliates) in any material respect, then, at the election of such applicable Lender, the Borrower shall make payment of such Specified Ancillary Obligation in Dollars (based upon the applicable equivalent Dollar amount of such Specified Ancillary Obligation on the date of payment as determined by the Administrative Agent) and/or in New York, Chicago or such other payment office as is designated by such applicable Lender (or its Affiliate) and, as a separate and independent obligation, shall indemnify such applicable Lender (and any of its Affiliates) against any losses or reasonable out-of-pocket expenses that it shall sustain as a result of such alternative payment.</w:t>
      </w:r>
    </w:p>
    <w:p>
      <w:pPr>
        <w:spacing w:after="0" w:line="160"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Upon payment by the Borrower of any sums as provided above, all rights of the Borrower against any Subsidiary arising as a result thereof by way of right of subrogation or otherwise shall in all respects be subordinated and junior in right of payment to the prior indefeasible payment in full in cash of all the Specified Ancillary Obligations owed by such Subsidiary to the applicable Lender (or its applicable Affiliates).</w:t>
      </w:r>
    </w:p>
    <w:p>
      <w:pPr>
        <w:spacing w:after="0" w:line="153" w:lineRule="exact"/>
        <w:rPr>
          <w:sz w:val="20"/>
          <w:szCs w:val="20"/>
          <w:color w:val="auto"/>
        </w:rPr>
      </w:pPr>
    </w:p>
    <w:p>
      <w:pPr>
        <w:jc w:val="both"/>
        <w:ind w:firstLine="1272"/>
        <w:spacing w:after="0" w:line="225" w:lineRule="auto"/>
        <w:rPr>
          <w:sz w:val="20"/>
          <w:szCs w:val="20"/>
          <w:color w:val="auto"/>
        </w:rPr>
      </w:pPr>
      <w:r>
        <w:rPr>
          <w:rFonts w:ascii="Arial" w:cs="Arial" w:eastAsia="Arial" w:hAnsi="Arial"/>
          <w:sz w:val="18"/>
          <w:szCs w:val="18"/>
          <w:color w:val="auto"/>
        </w:rPr>
        <w:t>The Borrower hereby absolutely, unconditionally and irrevocably undertakes to provide such funds or other support as may be needed from time to time by each Subsidiary Guarantor to honor all of its obligations under the Subsidiary Guaranty in respect of Specified Swap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 shall only be liable under this paragraph for the maximum amount of such liability that can be hereby incurred without rendering its obligations under this paragraph or otherwise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voidable under applicable law relating to fraudulent conveyance or fraudulent transfer, and not for any greater amount). The Borrower intends that this paragraph constitute, and this paragraph shall be deemed to constitute, a “keepwell, support, or other agreement” for the benefit of each Subsidiary Guarantor for all purposes of Section 1a(18)(A)(v)(II) of the Commodity Exchange Act.</w:t>
      </w:r>
    </w:p>
    <w:p>
      <w:pPr>
        <w:spacing w:after="0" w:line="152" w:lineRule="exact"/>
        <w:rPr>
          <w:sz w:val="20"/>
          <w:szCs w:val="20"/>
          <w:color w:val="auto"/>
        </w:rPr>
      </w:pPr>
    </w:p>
    <w:p>
      <w:pPr>
        <w:jc w:val="both"/>
        <w:ind w:firstLine="1272"/>
        <w:spacing w:after="0" w:line="237" w:lineRule="auto"/>
        <w:rPr>
          <w:sz w:val="20"/>
          <w:szCs w:val="20"/>
          <w:color w:val="auto"/>
        </w:rPr>
      </w:pPr>
      <w:r>
        <w:rPr>
          <w:rFonts w:ascii="Arial" w:cs="Arial" w:eastAsia="Arial" w:hAnsi="Arial"/>
          <w:sz w:val="19"/>
          <w:szCs w:val="19"/>
          <w:color w:val="auto"/>
        </w:rPr>
        <w:t>Nothing shall discharge or satisfy the liability of the Borrower hereunder except the full performance and payment in cash of the Secured Obligations.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ectPr>
          <w:pgSz w:w="11900" w:h="16838" w:orient="portrait"/>
          <w:cols w:equalWidth="0" w:num="1">
            <w:col w:w="11240"/>
          </w:cols>
          <w:pgMar w:left="320" w:top="1381" w:right="339" w:bottom="1440" w:gutter="0" w:footer="0" w:header="0"/>
        </w:sectPr>
      </w:pPr>
    </w:p>
    <w:bookmarkStart w:id="145" w:name="page146"/>
    <w:bookmarkEnd w:id="145"/>
    <w:p>
      <w:pPr>
        <w:ind w:firstLine="1272"/>
        <w:spacing w:after="0" w:line="237" w:lineRule="auto"/>
        <w:rPr>
          <w:sz w:val="20"/>
          <w:szCs w:val="20"/>
          <w:color w:val="auto"/>
        </w:rPr>
      </w:pPr>
      <w:r>
        <w:rPr>
          <w:rFonts w:ascii="Arial" w:cs="Arial" w:eastAsia="Arial" w:hAnsi="Arial"/>
          <w:sz w:val="19"/>
          <w:szCs w:val="19"/>
          <w:color w:val="auto"/>
        </w:rPr>
        <w:t>IN WITNESS WHEREOF, the parties hereto have caused this Agreement to be duly executed and delivered by their respective authorized officers as of the day and year first above written.</w:t>
      </w:r>
    </w:p>
    <w:p>
      <w:pPr>
        <w:spacing w:after="0" w:line="135"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COMMVAULT SYSTEMS, INC.,</w:t>
      </w:r>
    </w:p>
    <w:p>
      <w:pPr>
        <w:ind w:left="3820"/>
        <w:spacing w:after="0"/>
        <w:rPr>
          <w:sz w:val="20"/>
          <w:szCs w:val="20"/>
          <w:color w:val="auto"/>
        </w:rPr>
      </w:pPr>
      <w:r>
        <w:rPr>
          <w:rFonts w:ascii="Arial" w:cs="Arial" w:eastAsia="Arial" w:hAnsi="Arial"/>
          <w:sz w:val="19"/>
          <w:szCs w:val="19"/>
          <w:color w:val="auto"/>
        </w:rPr>
        <w:t>as the Borrower</w:t>
      </w:r>
    </w:p>
    <w:p>
      <w:pPr>
        <w:spacing w:after="0" w:line="358" w:lineRule="exact"/>
        <w:rPr>
          <w:sz w:val="20"/>
          <w:szCs w:val="20"/>
          <w:color w:val="auto"/>
        </w:rPr>
      </w:pPr>
    </w:p>
    <w:p>
      <w:pPr>
        <w:ind w:left="3820"/>
        <w:spacing w:after="0"/>
        <w:tabs>
          <w:tab w:leader="none" w:pos="4280" w:val="left"/>
        </w:tabs>
        <w:rPr>
          <w:sz w:val="20"/>
          <w:szCs w:val="20"/>
          <w:color w:val="auto"/>
        </w:rPr>
      </w:pPr>
      <w:r>
        <w:rPr>
          <w:rFonts w:ascii="Arial" w:cs="Arial" w:eastAsia="Arial" w:hAnsi="Arial"/>
          <w:sz w:val="19"/>
          <w:szCs w:val="19"/>
          <w:color w:val="auto"/>
        </w:rPr>
        <w:t>By</w:t>
        <w:tab/>
        <w:t>/s/ Brian M. Carolan</w:t>
      </w:r>
    </w:p>
    <w:p>
      <w:pPr>
        <w:ind w:left="4300"/>
        <w:spacing w:after="0" w:line="203" w:lineRule="auto"/>
        <w:rPr>
          <w:sz w:val="20"/>
          <w:szCs w:val="20"/>
          <w:color w:val="auto"/>
        </w:rPr>
      </w:pPr>
      <w:r>
        <w:rPr>
          <w:rFonts w:ascii="Arial" w:cs="Arial" w:eastAsia="Arial" w:hAnsi="Arial"/>
          <w:sz w:val="19"/>
          <w:szCs w:val="19"/>
          <w:color w:val="auto"/>
        </w:rPr>
        <w:t>Name: Brian M.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-116205</wp:posOffset>
            </wp:positionV>
            <wp:extent cx="12604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jc w:val="center"/>
        <w:ind w:right="-19"/>
        <w:spacing w:after="0"/>
        <w:rPr>
          <w:sz w:val="20"/>
          <w:szCs w:val="20"/>
          <w:color w:val="auto"/>
        </w:rPr>
      </w:pPr>
      <w:r>
        <w:rPr>
          <w:rFonts w:ascii="Arial" w:cs="Arial" w:eastAsia="Arial" w:hAnsi="Arial"/>
          <w:sz w:val="16"/>
          <w:szCs w:val="16"/>
          <w:color w:val="auto"/>
        </w:rPr>
        <w:t>Commvault Systems, Inc.</w:t>
      </w:r>
    </w:p>
    <w:p>
      <w:pPr>
        <w:sectPr>
          <w:pgSz w:w="11900" w:h="16838" w:orient="portrait"/>
          <w:cols w:equalWidth="0" w:num="1">
            <w:col w:w="11240"/>
          </w:cols>
          <w:pgMar w:left="320" w:top="1381" w:right="339" w:bottom="1440" w:gutter="0" w:footer="0" w:header="0"/>
        </w:sectPr>
      </w:pPr>
    </w:p>
    <w:bookmarkStart w:id="146" w:name="page147"/>
    <w:bookmarkEnd w:id="146"/>
    <w:p>
      <w:pPr>
        <w:ind w:left="2700"/>
        <w:spacing w:after="0" w:line="237" w:lineRule="auto"/>
        <w:rPr>
          <w:sz w:val="20"/>
          <w:szCs w:val="20"/>
          <w:color w:val="auto"/>
        </w:rPr>
      </w:pPr>
      <w:r>
        <w:rPr>
          <w:rFonts w:ascii="Arial" w:cs="Arial" w:eastAsia="Arial" w:hAnsi="Arial"/>
          <w:sz w:val="19"/>
          <w:szCs w:val="19"/>
          <w:color w:val="auto"/>
        </w:rPr>
        <w:t>JPMORGAN CHASE BANK, N.A., individually as a Lender, as the Swingline Lender, as the Issuing Bank and as Administrative Agent</w:t>
      </w:r>
    </w:p>
    <w:p>
      <w:pPr>
        <w:spacing w:after="0" w:line="347"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19"/>
          <w:szCs w:val="19"/>
          <w:color w:val="auto"/>
        </w:rPr>
        <w:t>By</w:t>
        <w:tab/>
        <w:t>/s/ David Tepper</w:t>
      </w:r>
    </w:p>
    <w:p>
      <w:pPr>
        <w:ind w:left="3180"/>
        <w:spacing w:after="0" w:line="203" w:lineRule="auto"/>
        <w:rPr>
          <w:sz w:val="20"/>
          <w:szCs w:val="20"/>
          <w:color w:val="auto"/>
        </w:rPr>
      </w:pPr>
      <w:r>
        <w:rPr>
          <w:rFonts w:ascii="Arial" w:cs="Arial" w:eastAsia="Arial" w:hAnsi="Arial"/>
          <w:sz w:val="19"/>
          <w:szCs w:val="19"/>
          <w:color w:val="auto"/>
        </w:rPr>
        <w:t>Name: David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-116205</wp:posOffset>
            </wp:positionV>
            <wp:extent cx="10668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ind w:left="318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Signature Page to Credit Agreement</w:t>
      </w:r>
    </w:p>
    <w:p>
      <w:pPr>
        <w:jc w:val="center"/>
        <w:ind w:right="1000"/>
        <w:spacing w:after="0"/>
        <w:rPr>
          <w:sz w:val="20"/>
          <w:szCs w:val="20"/>
          <w:color w:val="auto"/>
        </w:rPr>
      </w:pPr>
      <w:r>
        <w:rPr>
          <w:rFonts w:ascii="Arial" w:cs="Arial" w:eastAsia="Arial" w:hAnsi="Arial"/>
          <w:sz w:val="16"/>
          <w:szCs w:val="16"/>
          <w:color w:val="auto"/>
        </w:rPr>
        <w:t>Commvault Systems, Inc.</w:t>
      </w:r>
    </w:p>
    <w:p>
      <w:pPr>
        <w:sectPr>
          <w:pgSz w:w="11900" w:h="16838" w:orient="portrait"/>
          <w:cols w:equalWidth="0" w:num="1">
            <w:col w:w="10000"/>
          </w:cols>
          <w:pgMar w:left="1440" w:top="1381" w:right="45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Sanjay Mirchandani, certify that:</w:t>
      </w:r>
    </w:p>
    <w:p>
      <w:pPr>
        <w:spacing w:after="0" w:line="217" w:lineRule="exact"/>
        <w:rPr>
          <w:sz w:val="20"/>
          <w:szCs w:val="20"/>
          <w:color w:val="auto"/>
        </w:rPr>
      </w:pPr>
    </w:p>
    <w:p>
      <w:pPr>
        <w:ind w:left="640" w:hanging="634"/>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17" w:lineRule="exact"/>
        <w:rPr>
          <w:rFonts w:ascii="Arial" w:cs="Arial" w:eastAsia="Arial" w:hAnsi="Arial"/>
          <w:sz w:val="18"/>
          <w:szCs w:val="18"/>
          <w:color w:val="auto"/>
        </w:rPr>
      </w:pPr>
    </w:p>
    <w:p>
      <w:pPr>
        <w:jc w:val="both"/>
        <w:ind w:left="640" w:hanging="634"/>
        <w:spacing w:after="0" w:line="248" w:lineRule="auto"/>
        <w:tabs>
          <w:tab w:leader="none" w:pos="62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jc w:val="both"/>
        <w:ind w:left="640" w:right="20" w:hanging="634"/>
        <w:spacing w:after="0" w:line="280" w:lineRule="auto"/>
        <w:tabs>
          <w:tab w:leader="none" w:pos="62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7"/>
          <w:szCs w:val="17"/>
          <w:color w:val="auto"/>
        </w:rPr>
      </w:pPr>
    </w:p>
    <w:p>
      <w:pPr>
        <w:jc w:val="both"/>
        <w:ind w:left="640" w:hanging="634"/>
        <w:spacing w:after="0" w:line="260" w:lineRule="auto"/>
        <w:tabs>
          <w:tab w:leader="none" w:pos="62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6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24" w:lineRule="exact"/>
        <w:rPr>
          <w:rFonts w:ascii="Arial" w:cs="Arial" w:eastAsia="Arial" w:hAnsi="Arial"/>
          <w:sz w:val="17"/>
          <w:szCs w:val="17"/>
          <w:color w:val="auto"/>
        </w:rPr>
      </w:pPr>
    </w:p>
    <w:p>
      <w:pPr>
        <w:jc w:val="both"/>
        <w:ind w:left="1280" w:hanging="320"/>
        <w:spacing w:after="0" w:line="245" w:lineRule="auto"/>
        <w:tabs>
          <w:tab w:leader="none" w:pos="127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jc w:val="both"/>
        <w:ind w:left="1280" w:hanging="320"/>
        <w:spacing w:after="0" w:line="248" w:lineRule="auto"/>
        <w:tabs>
          <w:tab w:leader="none" w:pos="127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jc w:val="both"/>
        <w:ind w:left="640" w:hanging="634"/>
        <w:spacing w:after="0" w:line="248" w:lineRule="auto"/>
        <w:tabs>
          <w:tab w:leader="none" w:pos="62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13" w:lineRule="exact"/>
        <w:rPr>
          <w:rFonts w:ascii="Arial" w:cs="Arial" w:eastAsia="Arial" w:hAnsi="Arial"/>
          <w:sz w:val="18"/>
          <w:szCs w:val="18"/>
          <w:color w:val="auto"/>
        </w:rPr>
      </w:pPr>
    </w:p>
    <w:p>
      <w:pPr>
        <w:jc w:val="both"/>
        <w:ind w:left="1280" w:hanging="320"/>
        <w:spacing w:after="0" w:line="245" w:lineRule="auto"/>
        <w:tabs>
          <w:tab w:leader="none" w:pos="127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1280" w:hanging="320"/>
        <w:spacing w:after="0" w:line="251" w:lineRule="auto"/>
        <w:tabs>
          <w:tab w:leader="none" w:pos="127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3810</wp:posOffset>
            </wp:positionV>
            <wp:extent cx="32137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Sanjay Mirchandani</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 President and Chief Executive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2022</w:t>
      </w:r>
    </w:p>
    <w:p>
      <w:pPr>
        <w:sectPr>
          <w:pgSz w:w="11900" w:h="16838" w:orient="portrait"/>
          <w:cols w:equalWidth="0" w:num="1">
            <w:col w:w="11240"/>
          </w:cols>
          <w:pgMar w:left="320" w:top="872"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17" w:lineRule="exact"/>
        <w:rPr>
          <w:sz w:val="20"/>
          <w:szCs w:val="20"/>
          <w:color w:val="auto"/>
        </w:rPr>
      </w:pPr>
    </w:p>
    <w:p>
      <w:pPr>
        <w:ind w:left="640" w:hanging="634"/>
        <w:spacing w:after="0"/>
        <w:tabs>
          <w:tab w:leader="none" w:pos="6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17" w:lineRule="exact"/>
        <w:rPr>
          <w:rFonts w:ascii="Arial" w:cs="Arial" w:eastAsia="Arial" w:hAnsi="Arial"/>
          <w:sz w:val="18"/>
          <w:szCs w:val="18"/>
          <w:color w:val="auto"/>
        </w:rPr>
      </w:pPr>
    </w:p>
    <w:p>
      <w:pPr>
        <w:jc w:val="both"/>
        <w:ind w:left="640" w:hanging="634"/>
        <w:spacing w:after="0" w:line="248" w:lineRule="auto"/>
        <w:tabs>
          <w:tab w:leader="none" w:pos="62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jc w:val="both"/>
        <w:ind w:left="640" w:right="20" w:hanging="634"/>
        <w:spacing w:after="0" w:line="280" w:lineRule="auto"/>
        <w:tabs>
          <w:tab w:leader="none" w:pos="62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7"/>
          <w:szCs w:val="17"/>
          <w:color w:val="auto"/>
        </w:rPr>
      </w:pPr>
    </w:p>
    <w:p>
      <w:pPr>
        <w:jc w:val="both"/>
        <w:ind w:left="640" w:hanging="634"/>
        <w:spacing w:after="0" w:line="260" w:lineRule="auto"/>
        <w:tabs>
          <w:tab w:leader="none" w:pos="62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6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24" w:lineRule="exact"/>
        <w:rPr>
          <w:rFonts w:ascii="Arial" w:cs="Arial" w:eastAsia="Arial" w:hAnsi="Arial"/>
          <w:sz w:val="17"/>
          <w:szCs w:val="17"/>
          <w:color w:val="auto"/>
        </w:rPr>
      </w:pPr>
    </w:p>
    <w:p>
      <w:pPr>
        <w:jc w:val="both"/>
        <w:ind w:left="1280" w:hanging="320"/>
        <w:spacing w:after="0" w:line="245" w:lineRule="auto"/>
        <w:tabs>
          <w:tab w:leader="none" w:pos="127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jc w:val="both"/>
        <w:ind w:left="1280" w:hanging="320"/>
        <w:spacing w:after="0" w:line="248" w:lineRule="auto"/>
        <w:tabs>
          <w:tab w:leader="none" w:pos="127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2" w:lineRule="exact"/>
        <w:rPr>
          <w:rFonts w:ascii="Arial" w:cs="Arial" w:eastAsia="Arial" w:hAnsi="Arial"/>
          <w:sz w:val="18"/>
          <w:szCs w:val="18"/>
          <w:color w:val="auto"/>
        </w:rPr>
      </w:pPr>
    </w:p>
    <w:p>
      <w:pPr>
        <w:jc w:val="both"/>
        <w:ind w:left="640" w:hanging="634"/>
        <w:spacing w:after="0" w:line="248" w:lineRule="auto"/>
        <w:tabs>
          <w:tab w:leader="none" w:pos="62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13" w:lineRule="exact"/>
        <w:rPr>
          <w:rFonts w:ascii="Arial" w:cs="Arial" w:eastAsia="Arial" w:hAnsi="Arial"/>
          <w:sz w:val="18"/>
          <w:szCs w:val="18"/>
          <w:color w:val="auto"/>
        </w:rPr>
      </w:pPr>
    </w:p>
    <w:p>
      <w:pPr>
        <w:jc w:val="both"/>
        <w:ind w:left="1280" w:hanging="320"/>
        <w:spacing w:after="0" w:line="245" w:lineRule="auto"/>
        <w:tabs>
          <w:tab w:leader="none" w:pos="127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1280" w:hanging="320"/>
        <w:spacing w:after="0" w:line="251" w:lineRule="auto"/>
        <w:tabs>
          <w:tab w:leader="none" w:pos="127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3810</wp:posOffset>
            </wp:positionV>
            <wp:extent cx="32137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Brian Carolan</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Vice President and Chief Financial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2022</w:t>
      </w:r>
    </w:p>
    <w:p>
      <w:pPr>
        <w:sectPr>
          <w:pgSz w:w="11900" w:h="16838" w:orient="portrait"/>
          <w:cols w:equalWidth="0" w:num="1">
            <w:col w:w="11240"/>
          </w:cols>
          <w:pgMar w:left="320" w:top="872"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7"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December 31, 2021 as filed with the Securities and Exchange Commission (the “Report”), I, Sanjay Mirchandani, Director, President and Chief Executive Officer of the Company, certify, pursuant to 18 U.S.C. § 1350, as adopted pursuant to § 906 of the Sarbanes-Oxley Act of 2002, that:</w:t>
      </w:r>
    </w:p>
    <w:p>
      <w:pPr>
        <w:spacing w:after="0" w:line="114" w:lineRule="exact"/>
        <w:rPr>
          <w:sz w:val="20"/>
          <w:szCs w:val="20"/>
          <w:color w:val="auto"/>
        </w:rPr>
      </w:pPr>
    </w:p>
    <w:p>
      <w:pPr>
        <w:ind w:left="560" w:hanging="316"/>
        <w:spacing w:after="0"/>
        <w:tabs>
          <w:tab w:leader="none" w:pos="5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5" w:lineRule="exact"/>
        <w:rPr>
          <w:rFonts w:ascii="Arial" w:cs="Arial" w:eastAsia="Arial" w:hAnsi="Arial"/>
          <w:sz w:val="18"/>
          <w:szCs w:val="18"/>
          <w:color w:val="auto"/>
        </w:rPr>
      </w:pPr>
    </w:p>
    <w:p>
      <w:pPr>
        <w:ind w:left="560" w:hanging="316"/>
        <w:spacing w:after="0" w:line="251" w:lineRule="auto"/>
        <w:tabs>
          <w:tab w:leader="none" w:pos="55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34074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741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Sanjay Mirchandani</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President and Chief Executive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January 26, 2022</w:t>
      </w:r>
    </w:p>
    <w:p>
      <w:pPr>
        <w:sectPr>
          <w:pgSz w:w="11900" w:h="16838" w:orient="portrait"/>
          <w:cols w:equalWidth="0" w:num="1">
            <w:col w:w="11240"/>
          </w:cols>
          <w:pgMar w:left="320" w:top="872"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Quarterly Report of Commvault Systems, Inc. (the “Company”) on Form 10-Q for the period ended December 31,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2021 as filed with the Securities and Exchange Commission (the “Report”), I, Brian Carolan, Vice President and Chief Financial Officer of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Company, certify, pursuant to 18 U.S.C. § 1350, as adopted pursuant to § 906 of the Sarbanes-Oxley Act of 2002, that:</w:t>
      </w:r>
    </w:p>
    <w:p>
      <w:pPr>
        <w:spacing w:after="0" w:line="124" w:lineRule="exact"/>
        <w:rPr>
          <w:sz w:val="20"/>
          <w:szCs w:val="20"/>
          <w:color w:val="auto"/>
        </w:rPr>
      </w:pPr>
    </w:p>
    <w:p>
      <w:pPr>
        <w:ind w:left="560" w:hanging="316"/>
        <w:spacing w:after="0"/>
        <w:tabs>
          <w:tab w:leader="none" w:pos="5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5" w:lineRule="exact"/>
        <w:rPr>
          <w:rFonts w:ascii="Arial" w:cs="Arial" w:eastAsia="Arial" w:hAnsi="Arial"/>
          <w:sz w:val="18"/>
          <w:szCs w:val="18"/>
          <w:color w:val="auto"/>
        </w:rPr>
      </w:pPr>
    </w:p>
    <w:p>
      <w:pPr>
        <w:ind w:left="560" w:hanging="316"/>
        <w:spacing w:after="0" w:line="251" w:lineRule="auto"/>
        <w:tabs>
          <w:tab w:leader="none" w:pos="55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34074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741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Carolan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January 26, 2022</w:t>
      </w:r>
    </w:p>
    <w:sectPr>
      <w:pgSz w:w="11900" w:h="16838" w:orient="portrait"/>
      <w:cols w:equalWidth="0" w:num="1">
        <w:col w:w="11240"/>
      </w:cols>
      <w:pgMar w:left="320" w:top="8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1."/>
      <w:numFmt w:val="decimal"/>
      <w:start w:val="1"/>
    </w:lvl>
  </w:abstractNum>
  <w:abstractNum w:abstractNumId="3">
    <w:nsid w:val="5FB8370B"/>
    <w:multiLevelType w:val="hybridMultilevel"/>
    <w:lvl w:ilvl="0">
      <w:lvlJc w:val="left"/>
      <w:lvlText w:val="%1."/>
      <w:numFmt w:val="decimal"/>
      <w:start w:val="2"/>
    </w:lvl>
  </w:abstractNum>
  <w:abstractNum w:abstractNumId="4">
    <w:nsid w:val="50801EE1"/>
    <w:multiLevelType w:val="hybridMultilevel"/>
    <w:lvl w:ilvl="0">
      <w:lvlJc w:val="left"/>
      <w:lvlText w:val="%1."/>
      <w:numFmt w:val="decimal"/>
      <w:start w:val="3"/>
    </w:lvl>
  </w:abstractNum>
  <w:abstractNum w:abstractNumId="5">
    <w:nsid w:val="488AC1A"/>
    <w:multiLevelType w:val="hybridMultilevel"/>
    <w:lvl w:ilvl="0">
      <w:lvlJc w:val="left"/>
      <w:lvlText w:val="%1."/>
      <w:numFmt w:val="decimal"/>
      <w:start w:val="4"/>
    </w:lvl>
  </w:abstractNum>
  <w:abstractNum w:abstractNumId="6">
    <w:nsid w:val="5FB8011C"/>
    <w:multiLevelType w:val="hybridMultilevel"/>
    <w:lvl w:ilvl="0">
      <w:lvlJc w:val="left"/>
      <w:lvlText w:val="%1."/>
      <w:numFmt w:val="decimal"/>
      <w:start w:val="5"/>
    </w:lvl>
  </w:abstractNum>
  <w:abstractNum w:abstractNumId="7">
    <w:nsid w:val="6AA78F7F"/>
    <w:multiLevelType w:val="hybridMultilevel"/>
    <w:lvl w:ilvl="0">
      <w:lvlJc w:val="left"/>
      <w:lvlText w:val="%1."/>
      <w:numFmt w:val="decimal"/>
      <w:start w:val="6"/>
    </w:lvl>
  </w:abstractNum>
  <w:abstractNum w:abstractNumId="8">
    <w:nsid w:val="7672BD23"/>
    <w:multiLevelType w:val="hybridMultilevel"/>
    <w:lvl w:ilvl="0">
      <w:lvlJc w:val="left"/>
      <w:lvlText w:val="%1."/>
      <w:numFmt w:val="decimal"/>
      <w:start w:val="7"/>
    </w:lvl>
  </w:abstractNum>
  <w:abstractNum w:abstractNumId="9">
    <w:nsid w:val="6FC75AF8"/>
    <w:multiLevelType w:val="hybridMultilevel"/>
    <w:lvl w:ilvl="0">
      <w:lvlJc w:val="left"/>
      <w:lvlText w:val="%1."/>
      <w:numFmt w:val="decimal"/>
      <w:start w:val="8"/>
    </w:lvl>
  </w:abstractNum>
  <w:abstractNum w:abstractNumId="10">
    <w:nsid w:val="6A5F7029"/>
    <w:multiLevelType w:val="hybridMultilevel"/>
    <w:lvl w:ilvl="0">
      <w:lvlJc w:val="left"/>
      <w:lvlText w:val="%1."/>
      <w:numFmt w:val="decimal"/>
      <w:start w:val="9"/>
    </w:lvl>
  </w:abstractNum>
  <w:abstractNum w:abstractNumId="11">
    <w:nsid w:val="7D5E18F8"/>
    <w:multiLevelType w:val="hybridMultilevel"/>
    <w:lvl w:ilvl="0">
      <w:lvlJc w:val="left"/>
      <w:lvlText w:val="(%1)"/>
      <w:numFmt w:val="decimal"/>
      <w:start w:val="1"/>
    </w:lvl>
  </w:abstractNum>
  <w:abstractNum w:abstractNumId="12">
    <w:nsid w:val="5F3534A4"/>
    <w:multiLevelType w:val="hybridMultilevel"/>
    <w:lvl w:ilvl="0">
      <w:lvlJc w:val="left"/>
      <w:lvlText w:val="%1."/>
      <w:numFmt w:val="decimal"/>
      <w:start w:val="10"/>
    </w:lvl>
  </w:abstractNum>
  <w:abstractNum w:abstractNumId="13">
    <w:nsid w:val="73A1821B"/>
    <w:multiLevelType w:val="hybridMultilevel"/>
    <w:lvl w:ilvl="0">
      <w:lvlJc w:val="left"/>
      <w:lvlText w:val="%1."/>
      <w:numFmt w:val="decimal"/>
      <w:start w:val="11"/>
    </w:lvl>
  </w:abstractNum>
  <w:abstractNum w:abstractNumId="14">
    <w:nsid w:val="7DE67713"/>
    <w:multiLevelType w:val="hybridMultilevel"/>
    <w:lvl w:ilvl="0">
      <w:lvlJc w:val="left"/>
      <w:lvlText w:val="•"/>
      <w:numFmt w:val="bullet"/>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endash "/>
      <w:numFmt w:val="bullet"/>
      <w:start w:val="1"/>
    </w:lvl>
    <w:lvl w:ilvl="1">
      <w:lvlJc w:val="left"/>
      <w:lvlText w:val="•"/>
      <w:numFmt w:val="bullet"/>
      <w:start w:val="1"/>
    </w:lvl>
    <w:lvl w:ilvl="2">
      <w:lvlJc w:val="left"/>
      <w:lvlText w:val="•"/>
      <w:numFmt w:val="bullet"/>
      <w:start w:val="1"/>
    </w:lvl>
  </w:abstractNum>
  <w:abstractNum w:abstractNumId="17">
    <w:nsid w:val="14FCE74E"/>
    <w:multiLevelType w:val="hybridMultilevel"/>
    <w:lvl w:ilvl="0">
      <w:lvlJc w:val="left"/>
      <w:lvlText w:val="▪"/>
      <w:numFmt w:val="bullet"/>
      <w:start w:val="1"/>
    </w:lvl>
  </w:abstractNum>
  <w:abstractNum w:abstractNumId="18">
    <w:nsid w:val="6A3DD3E8"/>
    <w:multiLevelType w:val="hybridMultilevel"/>
    <w:lvl w:ilvl="0">
      <w:lvlJc w:val="left"/>
      <w:lvlText w:val="\endash "/>
      <w:numFmt w:val="bullet"/>
      <w:start w:val="1"/>
    </w:lvl>
  </w:abstractNum>
  <w:abstractNum w:abstractNumId="19">
    <w:nsid w:val="71C91298"/>
    <w:multiLevelType w:val="hybridMultilevel"/>
    <w:lvl w:ilvl="0">
      <w:lvlJc w:val="left"/>
      <w:lvlText w:val="\endash "/>
      <w:numFmt w:val="bullet"/>
      <w:start w:val="1"/>
    </w:lvl>
    <w:lvl w:ilvl="1">
      <w:lvlJc w:val="left"/>
      <w:lvlText w:val="•"/>
      <w:numFmt w:val="bullet"/>
      <w:start w:val="1"/>
    </w:lvl>
  </w:abstractNum>
  <w:abstractNum w:abstractNumId="20">
    <w:nsid w:val="9DAF632"/>
    <w:multiLevelType w:val="hybridMultilevel"/>
    <w:lvl w:ilvl="0">
      <w:lvlJc w:val="left"/>
      <w:lvlText w:val="•"/>
      <w:numFmt w:val="bullet"/>
      <w:start w:val="1"/>
    </w:lvl>
  </w:abstractNum>
  <w:abstractNum w:abstractNumId="21">
    <w:nsid w:val="53299938"/>
    <w:multiLevelType w:val="hybridMultilevel"/>
    <w:lvl w:ilvl="0">
      <w:lvlJc w:val="left"/>
      <w:lvlText w:val="\endash "/>
      <w:numFmt w:val="bullet"/>
      <w:start w:val="1"/>
    </w:lvl>
    <w:lvl w:ilvl="1">
      <w:lvlJc w:val="left"/>
      <w:lvlText w:val="•"/>
      <w:numFmt w:val="bullet"/>
      <w:start w:val="1"/>
    </w:lvl>
    <w:lvl w:ilvl="2">
      <w:lvlJc w:val="left"/>
      <w:lvlText w:val="•"/>
      <w:numFmt w:val="bullet"/>
      <w:start w:val="1"/>
    </w:lvl>
  </w:abstractNum>
  <w:abstractNum w:abstractNumId="22">
    <w:nsid w:val="1FBFE8E0"/>
    <w:multiLevelType w:val="hybridMultilevel"/>
    <w:lvl w:ilvl="0">
      <w:lvlJc w:val="left"/>
      <w:lvlText w:val="▪"/>
      <w:numFmt w:val="bullet"/>
      <w:start w:val="1"/>
    </w:lvl>
  </w:abstractNum>
  <w:abstractNum w:abstractNumId="23">
    <w:nsid w:val="5092CA79"/>
    <w:multiLevelType w:val="hybridMultilevel"/>
    <w:lvl w:ilvl="0">
      <w:lvlJc w:val="left"/>
      <w:lvlText w:val="\endash "/>
      <w:numFmt w:val="bullet"/>
      <w:start w:val="1"/>
    </w:lvl>
  </w:abstractNum>
  <w:abstractNum w:abstractNumId="24">
    <w:nsid w:val="1D545C4D"/>
    <w:multiLevelType w:val="hybridMultilevel"/>
    <w:lvl w:ilvl="0">
      <w:lvlJc w:val="left"/>
      <w:lvlText w:val="\endash "/>
      <w:numFmt w:val="bullet"/>
      <w:start w:val="1"/>
    </w:lvl>
    <w:lvl w:ilvl="1">
      <w:lvlJc w:val="left"/>
      <w:lvlText w:val="•"/>
      <w:numFmt w:val="bullet"/>
      <w:start w:val="1"/>
    </w:lvl>
  </w:abstractNum>
  <w:abstractNum w:abstractNumId="25">
    <w:nsid w:val="59ADEA3D"/>
    <w:multiLevelType w:val="hybridMultilevel"/>
    <w:lvl w:ilvl="0">
      <w:lvlJc w:val="left"/>
      <w:lvlText w:val="\endash "/>
      <w:numFmt w:val="bullet"/>
      <w:start w:val="1"/>
    </w:lvl>
  </w:abstractNum>
  <w:abstractNum w:abstractNumId="26">
    <w:nsid w:val="288F1A34"/>
    <w:multiLevelType w:val="hybridMultilevel"/>
    <w:lvl w:ilvl="0">
      <w:lvlJc w:val="left"/>
      <w:lvlText w:val="\endash "/>
      <w:numFmt w:val="bullet"/>
      <w:start w:val="1"/>
    </w:lvl>
  </w:abstractNum>
  <w:abstractNum w:abstractNumId="27">
    <w:nsid w:val="2A155DBC"/>
    <w:multiLevelType w:val="hybridMultilevel"/>
    <w:lvl w:ilvl="0">
      <w:lvlJc w:val="left"/>
      <w:lvlText w:val="*"/>
      <w:numFmt w:val="bullet"/>
      <w:start w:val="1"/>
    </w:lvl>
  </w:abstractNum>
  <w:abstractNum w:abstractNumId="28">
    <w:nsid w:val="1D9F6E5F"/>
    <w:multiLevelType w:val="hybridMultilevel"/>
    <w:lvl w:ilvl="0">
      <w:lvlJc w:val="left"/>
      <w:lvlText w:val="%1"/>
      <w:numFmt w:val="decimal"/>
      <w:start w:val="104"/>
    </w:lvl>
  </w:abstractNum>
  <w:abstractNum w:abstractNumId="29">
    <w:nsid w:val="97E1B4E"/>
    <w:multiLevelType w:val="hybridMultilevel"/>
    <w:lvl w:ilvl="0">
      <w:lvlJc w:val="left"/>
      <w:lvlText w:val="(%1)"/>
      <w:numFmt w:val="lowerLetter"/>
      <w:start w:val="2"/>
    </w:lvl>
  </w:abstractNum>
  <w:abstractNum w:abstractNumId="30">
    <w:nsid w:val="51088277"/>
    <w:multiLevelType w:val="hybridMultilevel"/>
    <w:lvl w:ilvl="0">
      <w:lvlJc w:val="left"/>
      <w:lvlText w:val="(%1)"/>
      <w:numFmt w:val="lowerLetter"/>
      <w:start w:val="1"/>
    </w:lvl>
  </w:abstractNum>
  <w:abstractNum w:abstractNumId="31">
    <w:nsid w:val="1CA0C5FA"/>
    <w:multiLevelType w:val="hybridMultilevel"/>
    <w:lvl w:ilvl="0">
      <w:lvlJc w:val="left"/>
      <w:lvlText w:val="(%1)"/>
      <w:numFmt w:val="lowerRoman"/>
      <w:start w:val="1"/>
    </w:lvl>
  </w:abstractNum>
  <w:abstractNum w:abstractNumId="32">
    <w:nsid w:val="53584BCB"/>
    <w:multiLevelType w:val="hybridMultilevel"/>
    <w:lvl w:ilvl="0">
      <w:lvlJc w:val="left"/>
      <w:lvlText w:val="(%1)"/>
      <w:numFmt w:val="lowerRoman"/>
      <w:start w:val="3"/>
    </w:lvl>
  </w:abstractNum>
  <w:abstractNum w:abstractNumId="33">
    <w:nsid w:val="415E286C"/>
    <w:multiLevelType w:val="hybridMultilevel"/>
    <w:lvl w:ilvl="0">
      <w:lvlJc w:val="left"/>
      <w:lvlText w:val="(%1)"/>
      <w:numFmt w:val="decimal"/>
      <w:start w:val="1"/>
    </w:lvl>
  </w:abstractNum>
  <w:abstractNum w:abstractNumId="34">
    <w:nsid w:val="7C58FD05"/>
    <w:multiLevelType w:val="hybridMultilevel"/>
    <w:lvl w:ilvl="0">
      <w:lvlJc w:val="left"/>
      <w:lvlText w:val="(%1)"/>
      <w:numFmt w:val="decimal"/>
      <w:start w:val="2"/>
    </w:lvl>
  </w:abstractNum>
  <w:abstractNum w:abstractNumId="35">
    <w:nsid w:val="23D86AAC"/>
    <w:multiLevelType w:val="hybridMultilevel"/>
    <w:lvl w:ilvl="0">
      <w:lvlJc w:val="left"/>
      <w:lvlText w:val="(%1)"/>
      <w:numFmt w:val="decimal"/>
      <w:start w:val="1"/>
    </w:lvl>
  </w:abstractNum>
  <w:abstractNum w:abstractNumId="36">
    <w:nsid w:val="45E6D486"/>
    <w:multiLevelType w:val="hybridMultilevel"/>
    <w:lvl w:ilvl="0">
      <w:lvlJc w:val="left"/>
      <w:lvlText w:val="(%1)"/>
      <w:numFmt w:val="decimal"/>
      <w:start w:val="3"/>
    </w:lvl>
  </w:abstractNum>
  <w:abstractNum w:abstractNumId="37">
    <w:nsid w:val="5C10FE21"/>
    <w:multiLevelType w:val="hybridMultilevel"/>
    <w:lvl w:ilvl="0">
      <w:lvlJc w:val="left"/>
      <w:lvlText w:val="(%1)"/>
      <w:numFmt w:val="lowerLetter"/>
      <w:start w:val="2"/>
    </w:lvl>
  </w:abstractNum>
  <w:abstractNum w:abstractNumId="38">
    <w:nsid w:val="E7FFA2B"/>
    <w:multiLevelType w:val="hybridMultilevel"/>
    <w:lvl w:ilvl="0">
      <w:lvlJc w:val="left"/>
      <w:lvlText w:val="(%1)"/>
      <w:numFmt w:val="lowerRoman"/>
      <w:start w:val="1"/>
    </w:lvl>
  </w:abstractNum>
  <w:abstractNum w:abstractNumId="39">
    <w:nsid w:val="3C5991AA"/>
    <w:multiLevelType w:val="hybridMultilevel"/>
    <w:lvl w:ilvl="0">
      <w:lvlJc w:val="left"/>
      <w:lvlText w:val="(%1)"/>
      <w:numFmt w:val="lowerRoman"/>
      <w:start w:val="1"/>
    </w:lvl>
  </w:abstractNum>
  <w:abstractNum w:abstractNumId="40">
    <w:nsid w:val="4BD8591A"/>
    <w:multiLevelType w:val="hybridMultilevel"/>
    <w:lvl w:ilvl="0">
      <w:lvlJc w:val="left"/>
      <w:lvlText w:val="(%1)"/>
      <w:numFmt w:val="lowerLetter"/>
      <w:start w:val="8"/>
    </w:lvl>
  </w:abstractNum>
  <w:abstractNum w:abstractNumId="41">
    <w:nsid w:val="78DF6A55"/>
    <w:multiLevelType w:val="hybridMultilevel"/>
    <w:lvl w:ilvl="0">
      <w:lvlJc w:val="left"/>
      <w:lvlText w:val="(%1)"/>
      <w:numFmt w:val="lowerLetter"/>
      <w:start w:val="2"/>
    </w:lvl>
  </w:abstractNum>
  <w:abstractNum w:abstractNumId="42">
    <w:nsid w:val="39B7AAA2"/>
    <w:multiLevelType w:val="hybridMultilevel"/>
    <w:lvl w:ilvl="0">
      <w:lvlJc w:val="left"/>
      <w:lvlText w:val="(%1)"/>
      <w:numFmt w:val="lowerLetter"/>
      <w:start w:val="1"/>
    </w:lvl>
  </w:abstractNum>
  <w:abstractNum w:abstractNumId="43">
    <w:nsid w:val="2B0D8DBE"/>
    <w:multiLevelType w:val="hybridMultilevel"/>
    <w:lvl w:ilvl="0">
      <w:lvlJc w:val="left"/>
      <w:lvlText w:val="(%1)"/>
      <w:numFmt w:val="lowerLetter"/>
      <w:start w:val="3"/>
    </w:lvl>
  </w:abstractNum>
  <w:abstractNum w:abstractNumId="44">
    <w:nsid w:val="6C80EC70"/>
    <w:multiLevelType w:val="hybridMultilevel"/>
    <w:lvl w:ilvl="0">
      <w:lvlJc w:val="left"/>
      <w:lvlText w:val="(%1)"/>
      <w:numFmt w:val="lowerLetter"/>
      <w:start w:val="14"/>
    </w:lvl>
  </w:abstractNum>
  <w:abstractNum w:abstractNumId="45">
    <w:nsid w:val="379E21B5"/>
    <w:multiLevelType w:val="hybridMultilevel"/>
    <w:lvl w:ilvl="0">
      <w:lvlJc w:val="left"/>
      <w:lvlText w:val="(%1)"/>
      <w:numFmt w:val="lowerLetter"/>
      <w:start w:val="1"/>
    </w:lvl>
  </w:abstractNum>
  <w:abstractNum w:abstractNumId="46">
    <w:nsid w:val="69E373"/>
    <w:multiLevelType w:val="hybridMultilevel"/>
    <w:lvl w:ilvl="0">
      <w:lvlJc w:val="left"/>
      <w:lvlText w:val="(%1)"/>
      <w:numFmt w:val="lowerLetter"/>
      <w:start w:val="1"/>
    </w:lvl>
  </w:abstractNum>
  <w:abstractNum w:abstractNumId="47">
    <w:nsid w:val="2C27173B"/>
    <w:multiLevelType w:val="hybridMultilevel"/>
    <w:lvl w:ilvl="0">
      <w:lvlJc w:val="left"/>
      <w:lvlText w:val="(%1)"/>
      <w:numFmt w:val="lowerLetter"/>
      <w:start w:val="1"/>
    </w:lvl>
  </w:abstractNum>
  <w:abstractNum w:abstractNumId="48">
    <w:nsid w:val="4C9B0904"/>
    <w:multiLevelType w:val="hybridMultilevel"/>
    <w:lvl w:ilvl="0">
      <w:lvlJc w:val="left"/>
      <w:lvlText w:val="(%1)"/>
      <w:numFmt w:val="lowerLetter"/>
      <w:start w:val="1"/>
    </w:lvl>
  </w:abstractNum>
  <w:abstractNum w:abstractNumId="49">
    <w:nsid w:val="6AA7B75C"/>
    <w:multiLevelType w:val="hybridMultilevel"/>
    <w:lvl w:ilvl="0">
      <w:lvlJc w:val="left"/>
      <w:lvlText w:val="(%1)"/>
      <w:numFmt w:val="lowerRoman"/>
      <w:start w:val="1"/>
    </w:lvl>
  </w:abstractNum>
  <w:abstractNum w:abstractNumId="50">
    <w:nsid w:val="1DF029D3"/>
    <w:multiLevelType w:val="hybridMultilevel"/>
    <w:lvl w:ilvl="0">
      <w:lvlJc w:val="left"/>
      <w:lvlText w:val="(%1)"/>
      <w:numFmt w:val="lowerRoman"/>
      <w:start w:val="5"/>
    </w:lvl>
  </w:abstractNum>
  <w:abstractNum w:abstractNumId="51">
    <w:nsid w:val="5675FF36"/>
    <w:multiLevelType w:val="hybridMultilevel"/>
    <w:lvl w:ilvl="0">
      <w:lvlJc w:val="left"/>
      <w:lvlText w:val="(%1)"/>
      <w:numFmt w:val="lowerLetter"/>
      <w:start w:val="1"/>
    </w:lvl>
  </w:abstractNum>
  <w:abstractNum w:abstractNumId="52">
    <w:nsid w:val="3DD15094"/>
    <w:multiLevelType w:val="hybridMultilevel"/>
    <w:lvl w:ilvl="0">
      <w:lvlJc w:val="left"/>
      <w:lvlText w:val="%1"/>
      <w:numFmt w:val="lowerLetter"/>
      <w:start w:val="1"/>
    </w:lvl>
    <w:lvl w:ilvl="1">
      <w:lvlJc w:val="left"/>
      <w:lvlText w:val="(%2)"/>
      <w:numFmt w:val="lowerLetter"/>
      <w:start w:val="4"/>
    </w:lvl>
  </w:abstractNum>
  <w:abstractNum w:abstractNumId="53">
    <w:nsid w:val="3DB012B3"/>
    <w:multiLevelType w:val="hybridMultilevel"/>
    <w:lvl w:ilvl="0">
      <w:lvlJc w:val="left"/>
      <w:lvlText w:val="(%1)"/>
      <w:numFmt w:val="lowerLetter"/>
      <w:start w:val="9"/>
    </w:lvl>
    <w:lvl w:ilvl="1">
      <w:lvlJc w:val="left"/>
      <w:lvlText w:val="(%2)"/>
      <w:numFmt w:val="lowerLetter"/>
      <w:start w:val="5"/>
    </w:lvl>
  </w:abstractNum>
  <w:abstractNum w:abstractNumId="54">
    <w:nsid w:val="2708C9AF"/>
    <w:multiLevelType w:val="hybridMultilevel"/>
    <w:lvl w:ilvl="0">
      <w:lvlJc w:val="left"/>
      <w:lvlText w:val="%1"/>
      <w:numFmt w:val="lowerLetter"/>
      <w:start w:val="1"/>
    </w:lvl>
    <w:lvl w:ilvl="1">
      <w:lvlJc w:val="left"/>
      <w:lvlText w:val="(%2)"/>
      <w:numFmt w:val="lowerLetter"/>
      <w:start w:val="1"/>
    </w:lvl>
  </w:abstractNum>
  <w:abstractNum w:abstractNumId="55">
    <w:nsid w:val="5B25ACE2"/>
    <w:multiLevelType w:val="hybridMultilevel"/>
    <w:lvl w:ilvl="0">
      <w:lvlJc w:val="left"/>
      <w:lvlText w:val="(%1)"/>
      <w:numFmt w:val="lowerLetter"/>
      <w:start w:val="35"/>
    </w:lvl>
    <w:lvl w:ilvl="1">
      <w:lvlJc w:val="left"/>
      <w:lvlText w:val="%2"/>
      <w:numFmt w:val="lowerLetter"/>
      <w:start w:val="1"/>
    </w:lvl>
  </w:abstractNum>
  <w:abstractNum w:abstractNumId="56">
    <w:nsid w:val="175DFCF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7">
    <w:nsid w:val="4F97E3E4"/>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58">
    <w:nsid w:val="53B0A9E"/>
    <w:multiLevelType w:val="hybridMultilevel"/>
    <w:lvl w:ilvl="0">
      <w:lvlJc w:val="left"/>
      <w:lvlText w:val="(%1)"/>
      <w:numFmt w:val="lowerLetter"/>
      <w:start w:val="5"/>
    </w:lvl>
    <w:lvl w:ilvl="1">
      <w:lvlJc w:val="left"/>
      <w:lvlText w:val="(%2)"/>
      <w:numFmt w:val="lowerLetter"/>
      <w:start w:val="5"/>
    </w:lvl>
    <w:lvl w:ilvl="2">
      <w:lvlJc w:val="left"/>
      <w:lvlText w:val="%3"/>
      <w:numFmt w:val="lowerRoman"/>
      <w:start w:val="1"/>
    </w:lvl>
  </w:abstractNum>
  <w:abstractNum w:abstractNumId="59">
    <w:nsid w:val="34FD6B4F"/>
    <w:multiLevelType w:val="hybridMultilevel"/>
    <w:lvl w:ilvl="0">
      <w:lvlJc w:val="left"/>
      <w:lvlText w:val="(%1)"/>
      <w:numFmt w:val="lowerLetter"/>
      <w:start w:val="6"/>
    </w:lvl>
  </w:abstractNum>
  <w:abstractNum w:abstractNumId="60">
    <w:nsid w:val="5915FF32"/>
    <w:multiLevelType w:val="hybridMultilevel"/>
    <w:lvl w:ilvl="0">
      <w:lvlJc w:val="left"/>
      <w:lvlText w:val="(%1)"/>
      <w:numFmt w:val="lowerLetter"/>
      <w:start w:val="8"/>
    </w:lvl>
    <w:lvl w:ilvl="1">
      <w:lvlJc w:val="left"/>
      <w:lvlText w:val="(%2)"/>
      <w:numFmt w:val="upperLetter"/>
      <w:start w:val="2"/>
    </w:lvl>
  </w:abstractNum>
  <w:abstractNum w:abstractNumId="61">
    <w:nsid w:val="56438D15"/>
    <w:multiLevelType w:val="hybridMultilevel"/>
    <w:lvl w:ilvl="0">
      <w:lvlJc w:val="left"/>
      <w:lvlText w:val="(%1)"/>
      <w:numFmt w:val="lowerLetter"/>
      <w:start w:val="11"/>
    </w:lvl>
  </w:abstractNum>
  <w:abstractNum w:abstractNumId="62">
    <w:nsid w:val="519E3149"/>
    <w:multiLevelType w:val="hybridMultilevel"/>
    <w:lvl w:ilvl="0">
      <w:lvlJc w:val="left"/>
      <w:lvlText w:val="(%1)"/>
      <w:numFmt w:val="lowerLetter"/>
      <w:start w:val="1"/>
    </w:lvl>
  </w:abstractNum>
  <w:abstractNum w:abstractNumId="63">
    <w:nsid w:val="2C6E4AFD"/>
    <w:multiLevelType w:val="hybridMultilevel"/>
    <w:lvl w:ilvl="0">
      <w:lvlJc w:val="left"/>
      <w:lvlText w:val="(%1)"/>
      <w:numFmt w:val="lowerLetter"/>
      <w:start w:val="1"/>
    </w:lvl>
  </w:abstractNum>
  <w:abstractNum w:abstractNumId="64">
    <w:nsid w:val="17A1B582"/>
    <w:multiLevelType w:val="hybridMultilevel"/>
    <w:lvl w:ilvl="0">
      <w:lvlJc w:val="left"/>
      <w:lvlText w:val="(%1)"/>
      <w:numFmt w:val="lowerLetter"/>
      <w:start w:val="2"/>
    </w:lvl>
  </w:abstractNum>
  <w:abstractNum w:abstractNumId="65">
    <w:nsid w:val="4DF72E4E"/>
    <w:multiLevelType w:val="hybridMultilevel"/>
    <w:lvl w:ilvl="0">
      <w:lvlJc w:val="left"/>
      <w:lvlText w:val="(%1)"/>
      <w:numFmt w:val="lowerRoman"/>
      <w:start w:val="1"/>
    </w:lvl>
  </w:abstractNum>
  <w:abstractNum w:abstractNumId="66">
    <w:nsid w:val="5046B5A9"/>
    <w:multiLevelType w:val="hybridMultilevel"/>
    <w:lvl w:ilvl="0">
      <w:lvlJc w:val="left"/>
      <w:lvlText w:val="%1"/>
      <w:numFmt w:val="lowerLetter"/>
      <w:start w:val="1"/>
    </w:lvl>
    <w:lvl w:ilvl="1">
      <w:lvlJc w:val="left"/>
      <w:lvlText w:val="(%2)"/>
      <w:numFmt w:val="lowerLetter"/>
      <w:start w:val="4"/>
    </w:lvl>
  </w:abstractNum>
  <w:abstractNum w:abstractNumId="67">
    <w:nsid w:val="5D888A08"/>
    <w:multiLevelType w:val="hybridMultilevel"/>
    <w:lvl w:ilvl="0">
      <w:lvlJc w:val="left"/>
      <w:lvlText w:val="(%1)"/>
      <w:numFmt w:val="lowerLetter"/>
      <w:start w:val="35"/>
    </w:lvl>
    <w:lvl w:ilvl="1">
      <w:lvlJc w:val="left"/>
      <w:lvlText w:val="%2"/>
      <w:numFmt w:val="lowerLetter"/>
      <w:start w:val="1"/>
    </w:lvl>
  </w:abstractNum>
  <w:abstractNum w:abstractNumId="68">
    <w:nsid w:val="2A082C70"/>
    <w:multiLevelType w:val="hybridMultilevel"/>
    <w:lvl w:ilvl="0">
      <w:lvlJc w:val="left"/>
      <w:lvlText w:val="(%1)"/>
      <w:numFmt w:val="lowerLetter"/>
      <w:start w:val="1"/>
    </w:lvl>
  </w:abstractNum>
  <w:abstractNum w:abstractNumId="69">
    <w:nsid w:val="5EC6AFD4"/>
    <w:multiLevelType w:val="hybridMultilevel"/>
    <w:lvl w:ilvl="0">
      <w:lvlJc w:val="left"/>
      <w:lvlText w:val="(%1)"/>
      <w:numFmt w:val="lowerLetter"/>
      <w:start w:val="2"/>
    </w:lvl>
  </w:abstractNum>
  <w:abstractNum w:abstractNumId="70">
    <w:nsid w:val="19E21BB2"/>
    <w:multiLevelType w:val="hybridMultilevel"/>
    <w:lvl w:ilvl="0">
      <w:lvlJc w:val="left"/>
      <w:lvlText w:val="(%1)"/>
      <w:numFmt w:val="lowerLetter"/>
      <w:start w:val="1"/>
    </w:lvl>
  </w:abstractNum>
  <w:abstractNum w:abstractNumId="71">
    <w:nsid w:val="75E0858A"/>
    <w:multiLevelType w:val="hybridMultilevel"/>
    <w:lvl w:ilvl="0">
      <w:lvlJc w:val="left"/>
      <w:lvlText w:val="(%1)"/>
      <w:numFmt w:val="lowerRoman"/>
      <w:start w:val="1"/>
    </w:lvl>
  </w:abstractNum>
  <w:abstractNum w:abstractNumId="72">
    <w:nsid w:val="57A61A29"/>
    <w:multiLevelType w:val="hybridMultilevel"/>
    <w:lvl w:ilvl="0">
      <w:lvlJc w:val="left"/>
      <w:lvlText w:val="(%1)"/>
      <w:numFmt w:val="lowerLetter"/>
      <w:start w:val="1"/>
    </w:lvl>
  </w:abstractNum>
  <w:abstractNum w:abstractNumId="73">
    <w:nsid w:val="5399C654"/>
    <w:multiLevelType w:val="hybridMultilevel"/>
    <w:lvl w:ilvl="0">
      <w:lvlJc w:val="left"/>
      <w:lvlText w:val="(%1)"/>
      <w:numFmt w:val="lowerLetter"/>
      <w:start w:val="3"/>
    </w:lvl>
  </w:abstractNum>
  <w:abstractNum w:abstractNumId="74">
    <w:nsid w:val="20EE1348"/>
    <w:multiLevelType w:val="hybridMultilevel"/>
    <w:lvl w:ilvl="0">
      <w:lvlJc w:val="left"/>
      <w:lvlText w:val="(%1)"/>
      <w:numFmt w:val="lowerLetter"/>
      <w:start w:val="1"/>
    </w:lvl>
  </w:abstractNum>
  <w:abstractNum w:abstractNumId="75">
    <w:nsid w:val="4427069A"/>
    <w:multiLevelType w:val="hybridMultilevel"/>
    <w:lvl w:ilvl="0">
      <w:lvlJc w:val="left"/>
      <w:lvlText w:val="(%1)"/>
      <w:numFmt w:val="lowerLetter"/>
      <w:start w:val="1"/>
    </w:lvl>
  </w:abstractNum>
  <w:abstractNum w:abstractNumId="76">
    <w:nsid w:val="B37E80A"/>
    <w:multiLevelType w:val="hybridMultilevel"/>
    <w:lvl w:ilvl="0">
      <w:lvlJc w:val="left"/>
      <w:lvlText w:val="(%1)"/>
      <w:numFmt w:val="lowerRoman"/>
      <w:start w:val="1"/>
    </w:lvl>
  </w:abstractNum>
  <w:abstractNum w:abstractNumId="77">
    <w:nsid w:val="2157F6BC"/>
    <w:multiLevelType w:val="hybridMultilevel"/>
    <w:lvl w:ilvl="0">
      <w:lvlJc w:val="left"/>
      <w:lvlText w:val="(%1)"/>
      <w:numFmt w:val="lowerRoman"/>
      <w:start w:val="2"/>
    </w:lvl>
  </w:abstractNum>
  <w:abstractNum w:abstractNumId="78">
    <w:nsid w:val="704E1DD5"/>
    <w:multiLevelType w:val="hybridMultilevel"/>
    <w:lvl w:ilvl="0">
      <w:lvlJc w:val="left"/>
      <w:lvlText w:val="(%1)"/>
      <w:numFmt w:val="decimal"/>
      <w:start w:val="2"/>
    </w:lvl>
    <w:lvl w:ilvl="1">
      <w:lvlJc w:val="left"/>
      <w:lvlText w:val="(%2)"/>
      <w:numFmt w:val="lowerLetter"/>
      <w:start w:val="2"/>
    </w:lvl>
  </w:abstractNum>
  <w:abstractNum w:abstractNumId="79">
    <w:nsid w:val="57D2F10E"/>
    <w:multiLevelType w:val="hybridMultilevel"/>
    <w:lvl w:ilvl="0">
      <w:lvlJc w:val="left"/>
      <w:lvlText w:val="(%1)"/>
      <w:numFmt w:val="lowerLetter"/>
      <w:start w:val="5"/>
    </w:lvl>
  </w:abstractNum>
  <w:abstractNum w:abstractNumId="80">
    <w:nsid w:val="BFFAE18"/>
    <w:multiLevelType w:val="hybridMultilevel"/>
    <w:lvl w:ilvl="0">
      <w:lvlJc w:val="left"/>
      <w:lvlText w:val="(%1)"/>
      <w:numFmt w:val="lowerLetter"/>
      <w:start w:val="1"/>
    </w:lvl>
  </w:abstractNum>
  <w:abstractNum w:abstractNumId="81">
    <w:nsid w:val="E3E47A8"/>
    <w:multiLevelType w:val="hybridMultilevel"/>
    <w:lvl w:ilvl="0">
      <w:lvlJc w:val="left"/>
      <w:lvlText w:val="(%1)"/>
      <w:numFmt w:val="lowerRoman"/>
      <w:start w:val="1"/>
    </w:lvl>
  </w:abstractNum>
  <w:abstractNum w:abstractNumId="82">
    <w:nsid w:val="2E48F044"/>
    <w:multiLevelType w:val="hybridMultilevel"/>
    <w:lvl w:ilvl="0">
      <w:lvlJc w:val="left"/>
      <w:lvlText w:val="(%1)"/>
      <w:numFmt w:val="lowerRoman"/>
      <w:start w:val="3"/>
    </w:lvl>
  </w:abstractNum>
  <w:abstractNum w:abstractNumId="83">
    <w:nsid w:val="49D0FEAC"/>
    <w:multiLevelType w:val="hybridMultilevel"/>
    <w:lvl w:ilvl="0">
      <w:lvlJc w:val="left"/>
      <w:lvlText w:val="(%1)"/>
      <w:numFmt w:val="lowerLetter"/>
      <w:start w:val="2"/>
    </w:lvl>
  </w:abstractNum>
  <w:abstractNum w:abstractNumId="84">
    <w:nsid w:val="4BEE5A5B"/>
    <w:multiLevelType w:val="hybridMultilevel"/>
    <w:lvl w:ilvl="0">
      <w:lvlJc w:val="left"/>
      <w:lvlText w:val="(%1)"/>
      <w:numFmt w:val="lowerLetter"/>
      <w:start w:val="1"/>
    </w:lvl>
  </w:abstractNum>
  <w:abstractNum w:abstractNumId="85">
    <w:nsid w:val="5551B9F3"/>
    <w:multiLevelType w:val="hybridMultilevel"/>
    <w:lvl w:ilvl="0">
      <w:lvlJc w:val="left"/>
      <w:lvlText w:val="(%1)"/>
      <w:numFmt w:val="lowerLetter"/>
      <w:start w:val="1"/>
    </w:lvl>
  </w:abstractNum>
  <w:abstractNum w:abstractNumId="86">
    <w:nsid w:val="24F6AB8E"/>
    <w:multiLevelType w:val="hybridMultilevel"/>
    <w:lvl w:ilvl="0">
      <w:lvlJc w:val="left"/>
      <w:lvlText w:val="(%1)"/>
      <w:numFmt w:val="lowerLetter"/>
      <w:start w:val="5"/>
    </w:lvl>
  </w:abstractNum>
  <w:abstractNum w:abstractNumId="87">
    <w:nsid w:val="634C574C"/>
    <w:multiLevelType w:val="hybridMultilevel"/>
    <w:lvl w:ilvl="0">
      <w:lvlJc w:val="left"/>
      <w:lvlText w:val="(%1)"/>
      <w:numFmt w:val="lowerRoman"/>
      <w:start w:val="1"/>
    </w:lvl>
    <w:lvl w:ilvl="1">
      <w:lvlJc w:val="left"/>
      <w:lvlText w:val="(%2)"/>
      <w:numFmt w:val="upperLetter"/>
      <w:start w:val="1"/>
    </w:lvl>
  </w:abstractNum>
  <w:abstractNum w:abstractNumId="88">
    <w:nsid w:val="24E99DD7"/>
    <w:multiLevelType w:val="hybridMultilevel"/>
    <w:lvl w:ilvl="0">
      <w:lvlJc w:val="left"/>
      <w:lvlText w:val="(%1)"/>
      <w:numFmt w:val="decimal"/>
      <w:start w:val="1"/>
    </w:lvl>
  </w:abstractNum>
  <w:abstractNum w:abstractNumId="89">
    <w:nsid w:val="2A31B62D"/>
    <w:multiLevelType w:val="hybridMultilevel"/>
    <w:lvl w:ilvl="0">
      <w:lvlJc w:val="left"/>
      <w:lvlText w:val="(%1)"/>
      <w:numFmt w:val="decimal"/>
      <w:start w:val="2"/>
    </w:lvl>
  </w:abstractNum>
  <w:abstractNum w:abstractNumId="90">
    <w:nsid w:val="1849C29B"/>
    <w:multiLevelType w:val="hybridMultilevel"/>
    <w:lvl w:ilvl="0">
      <w:lvlJc w:val="left"/>
      <w:lvlText w:val="%1"/>
      <w:numFmt w:val="lowerRoman"/>
      <w:start w:val="1"/>
    </w:lvl>
    <w:lvl w:ilvl="1">
      <w:lvlJc w:val="left"/>
      <w:lvlText w:val="(%2)"/>
      <w:numFmt w:val="upperLetter"/>
      <w:start w:val="3"/>
    </w:lvl>
  </w:abstractNum>
  <w:abstractNum w:abstractNumId="91">
    <w:nsid w:val="7DFF9D09"/>
    <w:multiLevelType w:val="hybridMultilevel"/>
    <w:lvl w:ilvl="0">
      <w:lvlJc w:val="left"/>
      <w:lvlText w:val="(%1)"/>
      <w:numFmt w:val="lowerRoman"/>
      <w:start w:val="1"/>
    </w:lvl>
    <w:lvl w:ilvl="1">
      <w:lvlJc w:val="left"/>
      <w:lvlText w:val="%2"/>
      <w:numFmt w:val="upperLetter"/>
      <w:start w:val="1"/>
    </w:lvl>
  </w:abstractNum>
  <w:abstractNum w:abstractNumId="92">
    <w:nsid w:val="754342"/>
    <w:multiLevelType w:val="hybridMultilevel"/>
    <w:lvl w:ilvl="0">
      <w:lvlJc w:val="left"/>
      <w:lvlText w:val="(%1)"/>
      <w:numFmt w:val="lowerLetter"/>
      <w:start w:val="7"/>
    </w:lvl>
  </w:abstractNum>
  <w:abstractNum w:abstractNumId="93">
    <w:nsid w:val="69E7F3E5"/>
    <w:multiLevelType w:val="hybridMultilevel"/>
    <w:lvl w:ilvl="0">
      <w:lvlJc w:val="left"/>
      <w:lvlText w:val="(%1)"/>
      <w:numFmt w:val="lowerLetter"/>
      <w:start w:val="1"/>
    </w:lvl>
  </w:abstractNum>
  <w:abstractNum w:abstractNumId="94">
    <w:nsid w:val="2A6DE806"/>
    <w:multiLevelType w:val="hybridMultilevel"/>
    <w:lvl w:ilvl="0">
      <w:lvlJc w:val="left"/>
      <w:lvlText w:val="(%1)"/>
      <w:numFmt w:val="lowerLetter"/>
      <w:start w:val="3"/>
    </w:lvl>
  </w:abstractNum>
  <w:abstractNum w:abstractNumId="95">
    <w:nsid w:val="1816F8C4"/>
    <w:multiLevelType w:val="hybridMultilevel"/>
    <w:lvl w:ilvl="0">
      <w:lvlJc w:val="left"/>
      <w:lvlText w:val="%1"/>
      <w:numFmt w:val="lowerLetter"/>
      <w:start w:val="1"/>
    </w:lvl>
    <w:lvl w:ilvl="1">
      <w:lvlJc w:val="left"/>
      <w:lvlText w:val="(%2)"/>
      <w:numFmt w:val="lowerLetter"/>
      <w:start w:val="1"/>
    </w:lvl>
  </w:abstractNum>
  <w:abstractNum w:abstractNumId="96">
    <w:nsid w:val="37DF2233"/>
    <w:multiLevelType w:val="hybridMultilevel"/>
    <w:lvl w:ilvl="0">
      <w:lvlJc w:val="left"/>
      <w:lvlText w:val="(%1)"/>
      <w:numFmt w:val="lowerLetter"/>
      <w:start w:val="9"/>
    </w:lvl>
    <w:lvl w:ilvl="1">
      <w:lvlJc w:val="left"/>
      <w:lvlText w:val="(%2)"/>
      <w:numFmt w:val="lowerLetter"/>
      <w:start w:val="2"/>
    </w:lvl>
  </w:abstractNum>
  <w:abstractNum w:abstractNumId="97">
    <w:nsid w:val="7AB49DAF"/>
    <w:multiLevelType w:val="hybridMultilevel"/>
    <w:lvl w:ilvl="0">
      <w:lvlJc w:val="left"/>
      <w:lvlText w:val="(%1)"/>
      <w:numFmt w:val="lowerLetter"/>
      <w:start w:val="35"/>
    </w:lvl>
    <w:lvl w:ilvl="1">
      <w:lvlJc w:val="left"/>
      <w:lvlText w:val="%2"/>
      <w:numFmt w:val="lowerLetter"/>
      <w:start w:val="1"/>
    </w:lvl>
  </w:abstractNum>
  <w:abstractNum w:abstractNumId="98">
    <w:nsid w:val="759F82CD"/>
    <w:multiLevelType w:val="hybridMultilevel"/>
    <w:lvl w:ilvl="0">
      <w:lvlJc w:val="left"/>
      <w:lvlText w:val="(%1)"/>
      <w:numFmt w:val="lowerRoman"/>
      <w:start w:val="1"/>
    </w:lvl>
  </w:abstractNum>
  <w:abstractNum w:abstractNumId="99">
    <w:nsid w:val="61E74EA3"/>
    <w:multiLevelType w:val="hybridMultilevel"/>
    <w:lvl w:ilvl="0">
      <w:lvlJc w:val="left"/>
      <w:lvlText w:val="(%1)"/>
      <w:numFmt w:val="lowerLetter"/>
      <w:start w:val="2"/>
    </w:lvl>
  </w:abstractNum>
  <w:abstractNum w:abstractNumId="100">
    <w:nsid w:val="597B4D84"/>
    <w:multiLevelType w:val="hybridMultilevel"/>
    <w:lvl w:ilvl="0">
      <w:lvlJc w:val="left"/>
      <w:lvlText w:val="(%1)"/>
      <w:numFmt w:val="lowerLetter"/>
      <w:start w:val="3"/>
    </w:lvl>
  </w:abstractNum>
  <w:abstractNum w:abstractNumId="101">
    <w:nsid w:val="F819E7F"/>
    <w:multiLevelType w:val="hybridMultilevel"/>
    <w:lvl w:ilvl="0">
      <w:lvlJc w:val="left"/>
      <w:lvlText w:val="%1"/>
      <w:numFmt w:val="decimal"/>
      <w:start w:val="1"/>
    </w:lvl>
    <w:lvl w:ilvl="1">
      <w:lvlJc w:val="left"/>
      <w:lvlText w:val="(%2)"/>
      <w:numFmt w:val="lowerRoman"/>
      <w:start w:val="1"/>
    </w:lvl>
  </w:abstractNum>
  <w:abstractNum w:abstractNumId="102">
    <w:nsid w:val="57C7D42D"/>
    <w:multiLevelType w:val="hybridMultilevel"/>
    <w:lvl w:ilvl="0">
      <w:lvlJc w:val="left"/>
      <w:lvlText w:val="(%1)"/>
      <w:numFmt w:val="decimal"/>
      <w:start w:val="1"/>
    </w:lvl>
    <w:lvl w:ilvl="1">
      <w:lvlJc w:val="left"/>
      <w:lvlText w:val="(%2)"/>
      <w:numFmt w:val="lowerRoman"/>
      <w:start w:val="3"/>
    </w:lvl>
  </w:abstractNum>
  <w:abstractNum w:abstractNumId="103">
    <w:nsid w:val="312167AD"/>
    <w:multiLevelType w:val="hybridMultilevel"/>
    <w:lvl w:ilvl="0">
      <w:lvlJc w:val="left"/>
      <w:lvlText w:val="(%1)"/>
      <w:numFmt w:val="lowerRoman"/>
      <w:start w:val="4"/>
    </w:lvl>
  </w:abstractNum>
  <w:abstractNum w:abstractNumId="104">
    <w:nsid w:val="631B64D4"/>
    <w:multiLevelType w:val="hybridMultilevel"/>
    <w:lvl w:ilvl="0">
      <w:lvlJc w:val="left"/>
      <w:lvlText w:val="(%1)"/>
      <w:numFmt w:val="lowerLetter"/>
      <w:start w:val="5"/>
    </w:lvl>
  </w:abstractNum>
  <w:abstractNum w:abstractNumId="105">
    <w:nsid w:val="78B5E776"/>
    <w:multiLevelType w:val="hybridMultilevel"/>
    <w:lvl w:ilvl="0">
      <w:lvlJc w:val="left"/>
      <w:lvlText w:val="(%1)"/>
      <w:numFmt w:val="lowerLetter"/>
      <w:start w:val="1"/>
    </w:lvl>
  </w:abstractNum>
  <w:abstractNum w:abstractNumId="106">
    <w:nsid w:val="75486E47"/>
    <w:multiLevelType w:val="hybridMultilevel"/>
    <w:lvl w:ilvl="0">
      <w:lvlJc w:val="left"/>
      <w:lvlText w:val="(%1)"/>
      <w:numFmt w:val="lowerLetter"/>
      <w:start w:val="1"/>
    </w:lvl>
  </w:abstractNum>
  <w:abstractNum w:abstractNumId="107">
    <w:nsid w:val="6E534CDE"/>
    <w:multiLevelType w:val="hybridMultilevel"/>
    <w:lvl w:ilvl="0">
      <w:lvlJc w:val="left"/>
      <w:lvlText w:val="(%1)"/>
      <w:numFmt w:val="lowerLetter"/>
      <w:start w:val="2"/>
    </w:lvl>
  </w:abstractNum>
  <w:abstractNum w:abstractNumId="108">
    <w:nsid w:val="1A0DDE32"/>
    <w:multiLevelType w:val="hybridMultilevel"/>
    <w:lvl w:ilvl="0">
      <w:lvlJc w:val="left"/>
      <w:lvlText w:val="(%1)"/>
      <w:numFmt w:val="lowerLetter"/>
      <w:start w:val="1"/>
    </w:lvl>
  </w:abstractNum>
  <w:abstractNum w:abstractNumId="109">
    <w:nsid w:val="65968C1C"/>
    <w:multiLevelType w:val="hybridMultilevel"/>
    <w:lvl w:ilvl="0">
      <w:lvlJc w:val="left"/>
      <w:lvlText w:val="(%1)"/>
      <w:numFmt w:val="lowerLetter"/>
      <w:start w:val="1"/>
    </w:lvl>
  </w:abstractNum>
  <w:abstractNum w:abstractNumId="110">
    <w:nsid w:val="46263DEC"/>
    <w:multiLevelType w:val="hybridMultilevel"/>
    <w:lvl w:ilvl="0">
      <w:lvlJc w:val="left"/>
      <w:lvlText w:val="(%1)"/>
      <w:numFmt w:val="lowerLetter"/>
      <w:start w:val="6"/>
    </w:lvl>
  </w:abstractNum>
  <w:abstractNum w:abstractNumId="111">
    <w:nsid w:val="260D8C4A"/>
    <w:multiLevelType w:val="hybridMultilevel"/>
    <w:lvl w:ilvl="0">
      <w:lvlJc w:val="left"/>
      <w:lvlText w:val="(%1)"/>
      <w:numFmt w:val="lowerLetter"/>
      <w:start w:val="1"/>
    </w:lvl>
  </w:abstractNum>
  <w:abstractNum w:abstractNumId="112">
    <w:nsid w:val="73D4D3C4"/>
    <w:multiLevelType w:val="hybridMultilevel"/>
    <w:lvl w:ilvl="0">
      <w:lvlJc w:val="left"/>
      <w:lvlText w:val="(%1)"/>
      <w:numFmt w:val="lowerLetter"/>
      <w:start w:val="1"/>
    </w:lvl>
  </w:abstractNum>
  <w:abstractNum w:abstractNumId="113">
    <w:nsid w:val="746F2E30"/>
    <w:multiLevelType w:val="hybridMultilevel"/>
    <w:lvl w:ilvl="0">
      <w:lvlJc w:val="left"/>
      <w:lvlText w:val="(%1)"/>
      <w:numFmt w:val="lowerLetter"/>
      <w:start w:val="2"/>
    </w:lvl>
  </w:abstractNum>
  <w:abstractNum w:abstractNumId="114">
    <w:nsid w:val="6FDE8AF6"/>
    <w:multiLevelType w:val="hybridMultilevel"/>
    <w:lvl w:ilvl="0">
      <w:lvlJc w:val="left"/>
      <w:lvlText w:val="(%1)"/>
      <w:numFmt w:val="lowerLetter"/>
      <w:start w:val="1"/>
    </w:lvl>
  </w:abstractNum>
  <w:abstractNum w:abstractNumId="115">
    <w:nsid w:val="3FC32E20"/>
    <w:multiLevelType w:val="hybridMultilevel"/>
    <w:lvl w:ilvl="0">
      <w:lvlJc w:val="left"/>
      <w:lvlText w:val="(%1)"/>
      <w:numFmt w:val="lowerLetter"/>
      <w:start w:val="1"/>
    </w:lvl>
  </w:abstractNum>
  <w:abstractNum w:abstractNumId="116">
    <w:nsid w:val="49C0E823"/>
    <w:multiLevelType w:val="hybridMultilevel"/>
    <w:lvl w:ilvl="0">
      <w:lvlJc w:val="left"/>
      <w:lvlText w:val="(%1)"/>
      <w:numFmt w:val="lowerLetter"/>
      <w:start w:val="4"/>
    </w:lvl>
  </w:abstractNum>
  <w:abstractNum w:abstractNumId="117">
    <w:nsid w:val="14D53685"/>
    <w:multiLevelType w:val="hybridMultilevel"/>
    <w:lvl w:ilvl="0">
      <w:lvlJc w:val="left"/>
      <w:lvlText w:val="(%1)"/>
      <w:numFmt w:val="lowerLetter"/>
      <w:start w:val="1"/>
    </w:lvl>
  </w:abstractNum>
  <w:abstractNum w:abstractNumId="118">
    <w:nsid w:val="230F856C"/>
    <w:multiLevelType w:val="hybridMultilevel"/>
    <w:lvl w:ilvl="0">
      <w:lvlJc w:val="left"/>
      <w:lvlText w:val="(%1)"/>
      <w:numFmt w:val="lowerLetter"/>
      <w:start w:val="4"/>
    </w:lvl>
  </w:abstractNum>
  <w:abstractNum w:abstractNumId="119">
    <w:nsid w:val="6EAA85FB"/>
    <w:multiLevelType w:val="hybridMultilevel"/>
    <w:lvl w:ilvl="0">
      <w:lvlJc w:val="left"/>
      <w:lvlText w:val="(%1)"/>
      <w:numFmt w:val="lowerLetter"/>
      <w:start w:val="14"/>
    </w:lvl>
  </w:abstractNum>
  <w:abstractNum w:abstractNumId="120">
    <w:nsid w:val="3F06ECB2"/>
    <w:multiLevelType w:val="hybridMultilevel"/>
    <w:lvl w:ilvl="0">
      <w:lvlJc w:val="left"/>
      <w:lvlText w:val="(%1)"/>
      <w:numFmt w:val="lowerLetter"/>
      <w:start w:val="1"/>
    </w:lvl>
  </w:abstractNum>
  <w:abstractNum w:abstractNumId="121">
    <w:nsid w:val="3B594807"/>
    <w:multiLevelType w:val="hybridMultilevel"/>
    <w:lvl w:ilvl="0">
      <w:lvlJc w:val="left"/>
      <w:lvlText w:val="(%1)"/>
      <w:numFmt w:val="lowerLetter"/>
      <w:start w:val="10"/>
    </w:lvl>
  </w:abstractNum>
  <w:abstractNum w:abstractNumId="122">
    <w:nsid w:val="6CAA2304"/>
    <w:multiLevelType w:val="hybridMultilevel"/>
    <w:lvl w:ilvl="0">
      <w:lvlJc w:val="left"/>
      <w:lvlText w:val="(%1)"/>
      <w:numFmt w:val="lowerRoman"/>
      <w:start w:val="10"/>
    </w:lvl>
  </w:abstractNum>
  <w:abstractNum w:abstractNumId="123">
    <w:nsid w:val="3F7C2FF4"/>
    <w:multiLevelType w:val="hybridMultilevel"/>
    <w:lvl w:ilvl="0">
      <w:lvlJc w:val="left"/>
      <w:lvlText w:val="(%1)"/>
      <w:numFmt w:val="lowerLetter"/>
      <w:start w:val="1"/>
    </w:lvl>
  </w:abstractNum>
  <w:abstractNum w:abstractNumId="124">
    <w:nsid w:val="25413BEC"/>
    <w:multiLevelType w:val="hybridMultilevel"/>
    <w:lvl w:ilvl="0">
      <w:lvlJc w:val="left"/>
      <w:lvlText w:val="(%1)"/>
      <w:numFmt w:val="lowerRoman"/>
      <w:start w:val="1"/>
    </w:lvl>
  </w:abstractNum>
  <w:abstractNum w:abstractNumId="125">
    <w:nsid w:val="17180B0B"/>
    <w:multiLevelType w:val="hybridMultilevel"/>
    <w:lvl w:ilvl="0">
      <w:lvlJc w:val="left"/>
      <w:lvlText w:val="(%1)"/>
      <w:numFmt w:val="lowerLetter"/>
      <w:start w:val="2"/>
    </w:lvl>
  </w:abstractNum>
  <w:abstractNum w:abstractNumId="126">
    <w:nsid w:val="579328B9"/>
    <w:multiLevelType w:val="hybridMultilevel"/>
    <w:lvl w:ilvl="0">
      <w:lvlJc w:val="left"/>
      <w:lvlText w:val="(%1)"/>
      <w:numFmt w:val="lowerLetter"/>
      <w:start w:val="1"/>
    </w:lvl>
  </w:abstractNum>
  <w:abstractNum w:abstractNumId="127">
    <w:nsid w:val="5D205E20"/>
    <w:multiLevelType w:val="hybridMultilevel"/>
    <w:lvl w:ilvl="0">
      <w:lvlJc w:val="left"/>
      <w:lvlText w:val="(%1)"/>
      <w:numFmt w:val="lowerLetter"/>
      <w:start w:val="1"/>
    </w:lvl>
  </w:abstractNum>
  <w:abstractNum w:abstractNumId="128">
    <w:nsid w:val="11CCA8BA"/>
    <w:multiLevelType w:val="hybridMultilevel"/>
    <w:lvl w:ilvl="0">
      <w:lvlJc w:val="left"/>
      <w:lvlText w:val="(%1)"/>
      <w:numFmt w:val="lowerLetter"/>
      <w:start w:val="14"/>
    </w:lvl>
  </w:abstractNum>
  <w:abstractNum w:abstractNumId="129">
    <w:nsid w:val="4D32AB86"/>
    <w:multiLevelType w:val="hybridMultilevel"/>
    <w:lvl w:ilvl="0">
      <w:lvlJc w:val="left"/>
      <w:lvlText w:val="(%1)"/>
      <w:numFmt w:val="lowerLetter"/>
      <w:start w:val="1"/>
    </w:lvl>
  </w:abstractNum>
  <w:abstractNum w:abstractNumId="130">
    <w:nsid w:val="3F07ACC3"/>
    <w:multiLevelType w:val="hybridMultilevel"/>
    <w:lvl w:ilvl="0">
      <w:lvlJc w:val="left"/>
      <w:lvlText w:val="(%1)"/>
      <w:numFmt w:val="lowerLetter"/>
      <w:start w:val="4"/>
    </w:lvl>
  </w:abstractNum>
  <w:abstractNum w:abstractNumId="131">
    <w:nsid w:val="6B47F63E"/>
    <w:multiLevelType w:val="hybridMultilevel"/>
    <w:lvl w:ilvl="0">
      <w:lvlJc w:val="left"/>
      <w:lvlText w:val="(%1)"/>
      <w:numFmt w:val="lowerLetter"/>
      <w:start w:val="5"/>
    </w:lvl>
  </w:abstractNum>
  <w:abstractNum w:abstractNumId="132">
    <w:nsid w:val="5CB44A05"/>
    <w:multiLevelType w:val="hybridMultilevel"/>
    <w:lvl w:ilvl="0">
      <w:lvlJc w:val="left"/>
      <w:lvlText w:val="(%1)"/>
      <w:numFmt w:val="lowerLetter"/>
      <w:start w:val="1"/>
    </w:lvl>
  </w:abstractNum>
  <w:abstractNum w:abstractNumId="133">
    <w:nsid w:val="16CF80F1"/>
    <w:multiLevelType w:val="hybridMultilevel"/>
    <w:lvl w:ilvl="0">
      <w:lvlJc w:val="left"/>
      <w:lvlText w:val="(%1)"/>
      <w:numFmt w:val="lowerLetter"/>
      <w:start w:val="1"/>
    </w:lvl>
  </w:abstractNum>
  <w:abstractNum w:abstractNumId="134">
    <w:nsid w:val="1C695DEC"/>
    <w:multiLevelType w:val="hybridMultilevel"/>
    <w:lvl w:ilvl="0">
      <w:lvlJc w:val="left"/>
      <w:lvlText w:val="(%1)"/>
      <w:numFmt w:val="lowerLetter"/>
      <w:start w:val="7"/>
    </w:lvl>
  </w:abstractNum>
  <w:abstractNum w:abstractNumId="135">
    <w:nsid w:val="3FCFAED9"/>
    <w:multiLevelType w:val="hybridMultilevel"/>
    <w:lvl w:ilvl="0">
      <w:lvlJc w:val="left"/>
      <w:lvlText w:val="(%1)"/>
      <w:numFmt w:val="lowerLetter"/>
      <w:start w:val="1"/>
    </w:lvl>
  </w:abstractNum>
  <w:abstractNum w:abstractNumId="136">
    <w:nsid w:val="F856867"/>
    <w:multiLevelType w:val="hybridMultilevel"/>
    <w:lvl w:ilvl="0">
      <w:lvlJc w:val="left"/>
      <w:lvlText w:val="(%1)"/>
      <w:numFmt w:val="lowerLetter"/>
      <w:start w:val="1"/>
    </w:lvl>
  </w:abstractNum>
  <w:abstractNum w:abstractNumId="137">
    <w:nsid w:val="11B1CC33"/>
    <w:multiLevelType w:val="hybridMultilevel"/>
    <w:lvl w:ilvl="0">
      <w:lvlJc w:val="left"/>
      <w:lvlText w:val="(%1)"/>
      <w:numFmt w:val="lowerLetter"/>
      <w:start w:val="5"/>
    </w:lvl>
  </w:abstractNum>
  <w:abstractNum w:abstractNumId="138">
    <w:nsid w:val="2E22FBB7"/>
    <w:multiLevelType w:val="hybridMultilevel"/>
    <w:lvl w:ilvl="0">
      <w:lvlJc w:val="left"/>
      <w:lvlText w:val="(%1)"/>
      <w:numFmt w:val="lowerLetter"/>
      <w:start w:val="10"/>
    </w:lvl>
  </w:abstractNum>
  <w:abstractNum w:abstractNumId="139">
    <w:nsid w:val="29934699"/>
    <w:multiLevelType w:val="hybridMultilevel"/>
    <w:lvl w:ilvl="0">
      <w:lvlJc w:val="left"/>
      <w:lvlText w:val="(%1)"/>
      <w:numFmt w:val="lowerLetter"/>
      <w:start w:val="1"/>
    </w:lvl>
  </w:abstractNum>
  <w:abstractNum w:abstractNumId="140">
    <w:nsid w:val="77485850"/>
    <w:multiLevelType w:val="hybridMultilevel"/>
    <w:lvl w:ilvl="0">
      <w:lvlJc w:val="left"/>
      <w:lvlText w:val="(%1)"/>
      <w:numFmt w:val="lowerLetter"/>
      <w:start w:val="1"/>
    </w:lvl>
  </w:abstractNum>
  <w:abstractNum w:abstractNumId="141">
    <w:nsid w:val="744939A3"/>
    <w:multiLevelType w:val="hybridMultilevel"/>
    <w:lvl w:ilvl="0">
      <w:lvlJc w:val="left"/>
      <w:lvlText w:val="(%1)"/>
      <w:numFmt w:val="lowerRoman"/>
      <w:start w:val="1"/>
    </w:lvl>
  </w:abstractNum>
  <w:abstractNum w:abstractNumId="142">
    <w:nsid w:val="4FA0D2E3"/>
    <w:multiLevelType w:val="hybridMultilevel"/>
    <w:lvl w:ilvl="0">
      <w:lvlJc w:val="left"/>
      <w:lvlText w:val="(%1)"/>
      <w:numFmt w:val="lowerRoman"/>
      <w:start w:val="3"/>
    </w:lvl>
  </w:abstractNum>
  <w:abstractNum w:abstractNumId="143">
    <w:nsid w:val="6B1D2C14"/>
    <w:multiLevelType w:val="hybridMultilevel"/>
    <w:lvl w:ilvl="0">
      <w:lvlJc w:val="left"/>
      <w:lvlText w:val="(%1)"/>
      <w:numFmt w:val="lowerLetter"/>
      <w:start w:val="2"/>
    </w:lvl>
  </w:abstractNum>
  <w:abstractNum w:abstractNumId="144">
    <w:nsid w:val="68B867D3"/>
    <w:multiLevelType w:val="hybridMultilevel"/>
    <w:lvl w:ilvl="0">
      <w:lvlJc w:val="left"/>
      <w:lvlText w:val="(%1)"/>
      <w:numFmt w:val="lowerLetter"/>
      <w:start w:val="1"/>
    </w:lvl>
  </w:abstractNum>
  <w:abstractNum w:abstractNumId="145">
    <w:nsid w:val="3F7F5DD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46">
    <w:nsid w:val="2AE05A34"/>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147">
    <w:nsid w:val="32794FF7"/>
    <w:multiLevelType w:val="hybridMultilevel"/>
    <w:lvl w:ilvl="0">
      <w:lvlJc w:val="left"/>
      <w:lvlText w:val="(%1)"/>
      <w:numFmt w:val="lowerLetter"/>
      <w:start w:val="4"/>
    </w:lvl>
    <w:lvl w:ilvl="1">
      <w:lvlJc w:val="left"/>
      <w:lvlText w:val="(%2)"/>
      <w:numFmt w:val="lowerRoman"/>
      <w:start w:val="1"/>
    </w:lvl>
  </w:abstractNum>
  <w:abstractNum w:abstractNumId="148">
    <w:nsid w:val="5454945E"/>
    <w:multiLevelType w:val="hybridMultilevel"/>
    <w:lvl w:ilvl="0">
      <w:lvlJc w:val="left"/>
      <w:lvlText w:val="(%1)"/>
      <w:numFmt w:val="lowerLetter"/>
      <w:start w:val="7"/>
    </w:lvl>
  </w:abstractNum>
  <w:abstractNum w:abstractNumId="149">
    <w:nsid w:val="4DEFDFA0"/>
    <w:multiLevelType w:val="hybridMultilevel"/>
    <w:lvl w:ilvl="0">
      <w:lvlJc w:val="left"/>
      <w:lvlText w:val="(%1)"/>
      <w:numFmt w:val="lowerLetter"/>
      <w:start w:val="1"/>
    </w:lvl>
  </w:abstractNum>
  <w:abstractNum w:abstractNumId="150">
    <w:nsid w:val="2123D5F2"/>
    <w:multiLevelType w:val="hybridMultilevel"/>
    <w:lvl w:ilvl="0">
      <w:lvlJc w:val="left"/>
      <w:lvlText w:val="(%1)"/>
      <w:numFmt w:val="lowerLetter"/>
      <w:start w:val="2"/>
    </w:lvl>
  </w:abstractNum>
  <w:abstractNum w:abstractNumId="151">
    <w:nsid w:val="135B8110"/>
    <w:multiLevelType w:val="hybridMultilevel"/>
    <w:lvl w:ilvl="0">
      <w:lvlJc w:val="left"/>
      <w:lvlText w:val="(%1)"/>
      <w:numFmt w:val="lowerLetter"/>
      <w:start w:val="1"/>
    </w:lvl>
  </w:abstractNum>
  <w:abstractNum w:abstractNumId="152">
    <w:nsid w:val="94927A8"/>
    <w:multiLevelType w:val="hybridMultilevel"/>
    <w:lvl w:ilvl="0">
      <w:lvlJc w:val="left"/>
      <w:lvlText w:val="(%1)"/>
      <w:numFmt w:val="lowerLetter"/>
      <w:start w:val="1"/>
    </w:lvl>
  </w:abstractNum>
  <w:abstractNum w:abstractNumId="153">
    <w:nsid w:val="DCDF8F6"/>
    <w:multiLevelType w:val="hybridMultilevel"/>
    <w:lvl w:ilvl="0">
      <w:lvlJc w:val="left"/>
      <w:lvlText w:val="(%1)"/>
      <w:numFmt w:val="lowerLetter"/>
      <w:start w:val="1"/>
    </w:lvl>
  </w:abstractNum>
  <w:abstractNum w:abstractNumId="154">
    <w:nsid w:val="52D7B105"/>
    <w:multiLevelType w:val="hybridMultilevel"/>
    <w:lvl w:ilvl="0">
      <w:lvlJc w:val="left"/>
      <w:lvlText w:val="(%1)"/>
      <w:numFmt w:val="lowerRoman"/>
      <w:start w:val="1"/>
    </w:lvl>
  </w:abstractNum>
  <w:abstractNum w:abstractNumId="155">
    <w:nsid w:val="2E8A6394"/>
    <w:multiLevelType w:val="hybridMultilevel"/>
    <w:lvl w:ilvl="0">
      <w:lvlJc w:val="left"/>
      <w:lvlText w:val="(%1)"/>
      <w:numFmt w:val="lowerRoman"/>
      <w:start w:val="3"/>
    </w:lvl>
  </w:abstractNum>
  <w:abstractNum w:abstractNumId="156">
    <w:nsid w:val="24E60401"/>
    <w:multiLevelType w:val="hybridMultilevel"/>
    <w:lvl w:ilvl="0">
      <w:lvlJc w:val="left"/>
      <w:lvlText w:val="(%1)"/>
      <w:numFmt w:val="lowerLetter"/>
      <w:start w:val="1"/>
    </w:lvl>
  </w:abstractNum>
  <w:abstractNum w:abstractNumId="157">
    <w:nsid w:val="2A6AD9BE"/>
    <w:multiLevelType w:val="hybridMultilevel"/>
    <w:lvl w:ilvl="0">
      <w:lvlJc w:val="left"/>
      <w:lvlText w:val="(%1)"/>
      <w:numFmt w:val="lowerLetter"/>
      <w:start w:val="2"/>
    </w:lvl>
  </w:abstractNum>
  <w:abstractNum w:abstractNumId="158">
    <w:nsid w:val="BAAC1B4"/>
    <w:multiLevelType w:val="hybridMultilevel"/>
    <w:lvl w:ilvl="0">
      <w:lvlJc w:val="left"/>
      <w:lvlText w:val="(%1)"/>
      <w:numFmt w:val="lowerLetter"/>
      <w:start w:val="1"/>
    </w:lvl>
    <w:lvl w:ilvl="1">
      <w:lvlJc w:val="left"/>
      <w:lvlText w:val="(%2)"/>
      <w:numFmt w:val="lowerRoman"/>
      <w:start w:val="1"/>
    </w:lvl>
  </w:abstractNum>
  <w:abstractNum w:abstractNumId="159">
    <w:nsid w:val="36B2ACBC"/>
    <w:multiLevelType w:val="hybridMultilevel"/>
    <w:lvl w:ilvl="0">
      <w:lvlJc w:val="left"/>
      <w:lvlText w:val="%1"/>
      <w:numFmt w:val="lowerLetter"/>
      <w:start w:val="1"/>
    </w:lvl>
    <w:lvl w:ilvl="1">
      <w:lvlJc w:val="left"/>
      <w:lvlText w:val="(%2)"/>
      <w:numFmt w:val="lowerLetter"/>
      <w:start w:val="3"/>
    </w:lvl>
  </w:abstractNum>
  <w:abstractNum w:abstractNumId="160">
    <w:nsid w:val="779D8544"/>
    <w:multiLevelType w:val="hybridMultilevel"/>
    <w:lvl w:ilvl="0">
      <w:lvlJc w:val="left"/>
      <w:lvlText w:val="(%1)"/>
      <w:numFmt w:val="lowerLetter"/>
      <w:start w:val="35"/>
    </w:lvl>
    <w:lvl w:ilvl="1">
      <w:lvlJc w:val="left"/>
      <w:lvlText w:val="%2"/>
      <w:numFmt w:val="lowerLetter"/>
      <w:start w:val="1"/>
    </w:lvl>
  </w:abstractNum>
  <w:abstractNum w:abstractNumId="161">
    <w:nsid w:val="4AB26E78"/>
    <w:multiLevelType w:val="hybridMultilevel"/>
    <w:lvl w:ilvl="0">
      <w:lvlJc w:val="left"/>
      <w:lvlText w:val="(%1)"/>
      <w:numFmt w:val="lowerLetter"/>
      <w:start w:val="1"/>
    </w:lvl>
  </w:abstractNum>
  <w:abstractNum w:abstractNumId="162">
    <w:nsid w:val="21FAA2FA"/>
    <w:multiLevelType w:val="hybridMultilevel"/>
    <w:lvl w:ilvl="0">
      <w:lvlJc w:val="left"/>
      <w:lvlText w:val="(%1)"/>
      <w:numFmt w:val="lowerRoman"/>
      <w:start w:val="1"/>
    </w:lvl>
  </w:abstractNum>
  <w:abstractNum w:abstractNumId="163">
    <w:nsid w:val="5451CF49"/>
    <w:multiLevelType w:val="hybridMultilevel"/>
    <w:lvl w:ilvl="0">
      <w:lvlJc w:val="left"/>
      <w:lvlText w:val="(%1)"/>
      <w:numFmt w:val="lowerLetter"/>
      <w:start w:val="2"/>
    </w:lvl>
  </w:abstractNum>
  <w:abstractNum w:abstractNumId="164">
    <w:nsid w:val="6181EF69"/>
    <w:multiLevelType w:val="hybridMultilevel"/>
    <w:lvl w:ilvl="0">
      <w:lvlJc w:val="left"/>
      <w:lvlText w:val="(%1)"/>
      <w:numFmt w:val="lowerLetter"/>
      <w:start w:val="1"/>
    </w:lvl>
  </w:abstractNum>
  <w:abstractNum w:abstractNumId="165">
    <w:nsid w:val="3E6400E6"/>
    <w:multiLevelType w:val="hybridMultilevel"/>
    <w:lvl w:ilvl="0">
      <w:lvlJc w:val="left"/>
      <w:lvlText w:val="%1"/>
      <w:numFmt w:val="lowerLetter"/>
      <w:start w:val="1"/>
    </w:lvl>
    <w:lvl w:ilvl="1">
      <w:lvlJc w:val="left"/>
      <w:lvlText w:val="(%2)"/>
      <w:numFmt w:val="lowerLetter"/>
      <w:start w:val="3"/>
    </w:lvl>
  </w:abstractNum>
  <w:abstractNum w:abstractNumId="166">
    <w:nsid w:val="14217E23"/>
    <w:multiLevelType w:val="hybridMultilevel"/>
    <w:lvl w:ilvl="0">
      <w:lvlJc w:val="left"/>
      <w:lvlText w:val="(%1)"/>
      <w:numFmt w:val="lowerLetter"/>
      <w:start w:val="35"/>
    </w:lvl>
    <w:lvl w:ilvl="1">
      <w:lvlJc w:val="left"/>
      <w:lvlText w:val="%2"/>
      <w:numFmt w:val="lowerLetter"/>
      <w:start w:val="1"/>
    </w:lvl>
  </w:abstractNum>
  <w:abstractNum w:abstractNumId="167">
    <w:nsid w:val="710757D0"/>
    <w:multiLevelType w:val="hybridMultilevel"/>
    <w:lvl w:ilvl="0">
      <w:lvlJc w:val="left"/>
      <w:lvlText w:val="(%1)"/>
      <w:numFmt w:val="lowerLetter"/>
      <w:start w:val="5"/>
    </w:lvl>
  </w:abstractNum>
  <w:abstractNum w:abstractNumId="168">
    <w:nsid w:val="5015CD1A"/>
    <w:multiLevelType w:val="hybridMultilevel"/>
    <w:lvl w:ilvl="0">
      <w:lvlJc w:val="left"/>
      <w:lvlText w:val="(%1)"/>
      <w:numFmt w:val="lowerLetter"/>
      <w:start w:val="1"/>
    </w:lvl>
  </w:abstractNum>
  <w:abstractNum w:abstractNumId="169">
    <w:nsid w:val="424479DA"/>
    <w:multiLevelType w:val="hybridMultilevel"/>
    <w:lvl w:ilvl="0">
      <w:lvlJc w:val="left"/>
      <w:lvlText w:val="(%1)"/>
      <w:numFmt w:val="lowerLetter"/>
      <w:start w:val="2"/>
    </w:lvl>
  </w:abstractNum>
  <w:abstractNum w:abstractNumId="170">
    <w:nsid w:val="1A9A9E69"/>
    <w:multiLevelType w:val="hybridMultilevel"/>
    <w:lvl w:ilvl="0">
      <w:lvlJc w:val="left"/>
      <w:lvlText w:val="(%1)"/>
      <w:numFmt w:val="lowerLetter"/>
      <w:start w:val="4"/>
    </w:lvl>
  </w:abstractNum>
  <w:abstractNum w:abstractNumId="171">
    <w:nsid w:val="475E256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72">
    <w:nsid w:val="368DB37E"/>
    <w:multiLevelType w:val="hybridMultilevel"/>
    <w:lvl w:ilvl="0">
      <w:lvlJc w:val="left"/>
      <w:lvlText w:val="(%1)"/>
      <w:numFmt w:val="lowerLetter"/>
      <w:start w:val="9"/>
    </w:lvl>
    <w:lvl w:ilvl="1">
      <w:lvlJc w:val="left"/>
      <w:lvlText w:val="(%2)"/>
      <w:numFmt w:val="lowerLetter"/>
      <w:start w:val="2"/>
    </w:lvl>
    <w:lvl w:ilvl="2">
      <w:lvlJc w:val="left"/>
      <w:lvlText w:val="(%3)"/>
      <w:numFmt w:val="upperLetter"/>
      <w:start w:val="1"/>
    </w:lvl>
  </w:abstractNum>
  <w:abstractNum w:abstractNumId="173">
    <w:nsid w:val="6A3B714C"/>
    <w:multiLevelType w:val="hybridMultilevel"/>
    <w:lvl w:ilvl="0">
      <w:lvlJc w:val="left"/>
      <w:lvlText w:val="(%1)"/>
      <w:numFmt w:val="lowerRoman"/>
      <w:start w:val="2"/>
    </w:lvl>
  </w:abstractNum>
  <w:abstractNum w:abstractNumId="174">
    <w:nsid w:val="327B517E"/>
    <w:multiLevelType w:val="hybridMultilevel"/>
    <w:lvl w:ilvl="0">
      <w:lvlJc w:val="left"/>
      <w:lvlText w:val="(%1)"/>
      <w:numFmt w:val="upperLetter"/>
      <w:start w:val="1"/>
    </w:lvl>
  </w:abstractNum>
  <w:abstractNum w:abstractNumId="175">
    <w:nsid w:val="1F461B51"/>
    <w:multiLevelType w:val="hybridMultilevel"/>
    <w:lvl w:ilvl="0">
      <w:lvlJc w:val="left"/>
      <w:lvlText w:val="(%1)"/>
      <w:numFmt w:val="lowerRoman"/>
      <w:start w:val="3"/>
    </w:lvl>
  </w:abstractNum>
  <w:abstractNum w:abstractNumId="176">
    <w:nsid w:val="29BACF25"/>
    <w:multiLevelType w:val="hybridMultilevel"/>
    <w:lvl w:ilvl="0">
      <w:lvlJc w:val="left"/>
      <w:lvlText w:val="(%1)"/>
      <w:numFmt w:val="lowerRoman"/>
      <w:start w:val="4"/>
    </w:lvl>
  </w:abstractNum>
  <w:abstractNum w:abstractNumId="177">
    <w:nsid w:val="5D5BABB3"/>
    <w:multiLevelType w:val="hybridMultilevel"/>
    <w:lvl w:ilvl="0">
      <w:lvlJc w:val="left"/>
      <w:lvlText w:val="%1"/>
      <w:numFmt w:val="upperLetter"/>
      <w:start w:val="1"/>
    </w:lvl>
    <w:lvl w:ilvl="1">
      <w:lvlJc w:val="left"/>
      <w:lvlText w:val="(%2)"/>
      <w:numFmt w:val="lowerLetter"/>
      <w:start w:val="3"/>
    </w:lvl>
  </w:abstractNum>
  <w:abstractNum w:abstractNumId="178">
    <w:nsid w:val="51BF6B48"/>
    <w:multiLevelType w:val="hybridMultilevel"/>
    <w:lvl w:ilvl="0">
      <w:lvlJc w:val="left"/>
      <w:lvlText w:val="(%1)"/>
      <w:numFmt w:val="upperLetter"/>
      <w:start w:val="2"/>
    </w:lvl>
    <w:lvl w:ilvl="1">
      <w:lvlJc w:val="left"/>
      <w:lvlText w:val="%2"/>
      <w:numFmt w:val="lowerLetter"/>
      <w:start w:val="1"/>
    </w:lvl>
  </w:abstractNum>
  <w:abstractNum w:abstractNumId="179">
    <w:nsid w:val="7E0F6384"/>
    <w:multiLevelType w:val="hybridMultilevel"/>
    <w:lvl w:ilvl="0">
      <w:lvlJc w:val="left"/>
      <w:lvlText w:val="(%1)"/>
      <w:numFmt w:val="lowerLetter"/>
      <w:start w:val="4"/>
    </w:lvl>
  </w:abstractNum>
  <w:abstractNum w:abstractNumId="180">
    <w:nsid w:val="2B4B8B53"/>
    <w:multiLevelType w:val="hybridMultilevel"/>
    <w:lvl w:ilvl="0">
      <w:lvlJc w:val="left"/>
      <w:lvlText w:val="(%1)"/>
      <w:numFmt w:val="lowerLetter"/>
      <w:start w:val="1"/>
    </w:lvl>
  </w:abstractNum>
  <w:abstractNum w:abstractNumId="181">
    <w:nsid w:val="72E3413A"/>
    <w:multiLevelType w:val="hybridMultilevel"/>
    <w:lvl w:ilvl="0">
      <w:lvlJc w:val="left"/>
      <w:lvlText w:val="(%1)"/>
      <w:numFmt w:val="lowerLetter"/>
      <w:start w:val="8"/>
    </w:lvl>
  </w:abstractNum>
  <w:abstractNum w:abstractNumId="182">
    <w:nsid w:val="116AE494"/>
    <w:multiLevelType w:val="hybridMultilevel"/>
    <w:lvl w:ilvl="0">
      <w:lvlJc w:val="left"/>
      <w:lvlText w:val="(%1)"/>
      <w:numFmt w:val="lowerLetter"/>
      <w:start w:val="1"/>
    </w:lvl>
  </w:abstractNum>
  <w:abstractNum w:abstractNumId="183">
    <w:nsid w:val="3494B2FB"/>
    <w:multiLevelType w:val="hybridMultilevel"/>
    <w:lvl w:ilvl="0">
      <w:lvlJc w:val="left"/>
      <w:lvlText w:val="(%1)"/>
      <w:numFmt w:val="lowerLetter"/>
      <w:start w:val="1"/>
    </w:lvl>
  </w:abstractNum>
  <w:abstractNum w:abstractNumId="184">
    <w:nsid w:val="B13A31"/>
    <w:multiLevelType w:val="hybridMultilevel"/>
    <w:lvl w:ilvl="0">
      <w:lvlJc w:val="left"/>
      <w:lvlText w:val="(%1)"/>
      <w:numFmt w:val="lowerLetter"/>
      <w:start w:val="1"/>
    </w:lvl>
    <w:lvl w:ilvl="1">
      <w:lvlJc w:val="left"/>
      <w:lvlText w:val="(%2)"/>
      <w:numFmt w:val="lowerRoman"/>
      <w:start w:val="1"/>
    </w:lvl>
  </w:abstractNum>
  <w:abstractNum w:abstractNumId="185">
    <w:nsid w:val="64429599"/>
    <w:multiLevelType w:val="hybridMultilevel"/>
    <w:lvl w:ilvl="0">
      <w:lvlJc w:val="left"/>
      <w:lvlText w:val="%1."/>
      <w:numFmt w:val="decimal"/>
      <w:start w:val="1"/>
    </w:lvl>
    <w:lvl w:ilvl="1">
      <w:lvlJc w:val="left"/>
      <w:lvlText w:val="(%2)"/>
      <w:numFmt w:val="lowerLetter"/>
      <w:start w:val="1"/>
    </w:lvl>
  </w:abstractNum>
  <w:abstractNum w:abstractNumId="186">
    <w:nsid w:val="631F1690"/>
    <w:multiLevelType w:val="hybridMultilevel"/>
    <w:lvl w:ilvl="0">
      <w:lvlJc w:val="left"/>
      <w:lvlText w:val="%1."/>
      <w:numFmt w:val="decimal"/>
      <w:start w:val="1"/>
    </w:lvl>
    <w:lvl w:ilvl="1">
      <w:lvlJc w:val="left"/>
      <w:lvlText w:val="(%2)"/>
      <w:numFmt w:val="lowerLetter"/>
      <w:start w:val="1"/>
    </w:lvl>
  </w:abstractNum>
  <w:abstractNum w:abstractNumId="187">
    <w:nsid w:val="25973E32"/>
    <w:multiLevelType w:val="hybridMultilevel"/>
    <w:lvl w:ilvl="0">
      <w:lvlJc w:val="left"/>
      <w:lvlText w:val="(%1)"/>
      <w:numFmt w:val="decimal"/>
      <w:start w:val="1"/>
    </w:lvl>
  </w:abstractNum>
  <w:abstractNum w:abstractNumId="188">
    <w:nsid w:val="EAD6F5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2022-01-26T13:10:33Z</dcterms:created>
  <dcterms:modified xsi:type="dcterms:W3CDTF">2022-01-26T13:10:33Z</dcterms:modified>
</cp:coreProperties>
</file>