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Merrill Gary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1293</w:t>
            </w:r>
          </w:p>
        </w:tc>
        <w:tc>
          <w:tcPr>
            <w:tcW w:w="1377" w:type="dxa"/>
            <w:tcBorders/>
            <w:vAlign w:val="center"/>
          </w:tcPr>
          <w:p>
            <w:pPr>
              <w:pStyle w:val="TableContents"/>
              <w:bidi w:val="0"/>
              <w:spacing w:before="0" w:after="283"/>
              <w:jc w:val="left"/>
              <w:rPr/>
            </w:pPr>
            <w:r>
              <w:rPr/>
              <w:t>184640.37</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1293</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05/19/2026</w:t>
            </w:r>
          </w:p>
        </w:tc>
        <w:tc>
          <w:tcPr>
            <w:tcW w:w="1557" w:type="dxa"/>
            <w:tcBorders/>
            <w:vAlign w:val="center"/>
          </w:tcPr>
          <w:p>
            <w:pPr>
              <w:pStyle w:val="TableContents"/>
              <w:bidi w:val="0"/>
              <w:spacing w:before="0" w:after="283"/>
              <w:jc w:val="left"/>
              <w:rPr/>
            </w:pPr>
            <w:r>
              <w:rPr/>
              <w:t>4560</w:t>
            </w:r>
          </w:p>
        </w:tc>
        <w:tc>
          <w:tcPr>
            <w:tcW w:w="1754" w:type="dxa"/>
            <w:tcBorders/>
            <w:vAlign w:val="center"/>
          </w:tcPr>
          <w:p>
            <w:pPr>
              <w:pStyle w:val="TableContents"/>
              <w:bidi w:val="0"/>
              <w:spacing w:before="0" w:after="283"/>
              <w:jc w:val="left"/>
              <w:rPr/>
            </w:pPr>
            <w:r>
              <w:rPr/>
              <w:t>479276.22</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05/22/2026</w:t>
            </w:r>
          </w:p>
        </w:tc>
        <w:tc>
          <w:tcPr>
            <w:tcW w:w="1557" w:type="dxa"/>
            <w:tcBorders/>
            <w:vAlign w:val="center"/>
          </w:tcPr>
          <w:p>
            <w:pPr>
              <w:pStyle w:val="TableContents"/>
              <w:bidi w:val="0"/>
              <w:spacing w:before="0" w:after="283"/>
              <w:jc w:val="left"/>
              <w:rPr/>
            </w:pPr>
            <w:r>
              <w:rPr/>
              <w:t>3777</w:t>
            </w:r>
          </w:p>
        </w:tc>
        <w:tc>
          <w:tcPr>
            <w:tcW w:w="1754" w:type="dxa"/>
            <w:tcBorders/>
            <w:vAlign w:val="center"/>
          </w:tcPr>
          <w:p>
            <w:pPr>
              <w:pStyle w:val="TableContents"/>
              <w:bidi w:val="0"/>
              <w:spacing w:before="0" w:after="283"/>
              <w:jc w:val="left"/>
              <w:rPr/>
            </w:pPr>
            <w:r>
              <w:rPr/>
              <w:t>405615.81</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05/26/2026</w:t>
            </w:r>
          </w:p>
        </w:tc>
        <w:tc>
          <w:tcPr>
            <w:tcW w:w="1557" w:type="dxa"/>
            <w:tcBorders/>
            <w:vAlign w:val="center"/>
          </w:tcPr>
          <w:p>
            <w:pPr>
              <w:pStyle w:val="TableContents"/>
              <w:bidi w:val="0"/>
              <w:spacing w:before="0" w:after="283"/>
              <w:jc w:val="left"/>
              <w:rPr/>
            </w:pPr>
            <w:r>
              <w:rPr/>
              <w:t>4554</w:t>
            </w:r>
          </w:p>
        </w:tc>
        <w:tc>
          <w:tcPr>
            <w:tcW w:w="1754" w:type="dxa"/>
            <w:tcBorders/>
            <w:vAlign w:val="center"/>
          </w:tcPr>
          <w:p>
            <w:pPr>
              <w:pStyle w:val="TableContents"/>
              <w:bidi w:val="0"/>
              <w:spacing w:before="0" w:after="283"/>
              <w:jc w:val="left"/>
              <w:rPr/>
            </w:pPr>
            <w:r>
              <w:rPr/>
              <w:t>485911.80</w:t>
            </w:r>
          </w:p>
        </w:tc>
      </w:tr>
      <w:tr>
        <w:trPr/>
        <w:tc>
          <w:tcPr>
            <w:tcW w:w="3030" w:type="dxa"/>
            <w:tcBorders/>
            <w:vAlign w:val="center"/>
          </w:tcPr>
          <w:p>
            <w:pPr>
              <w:pStyle w:val="TableContents"/>
              <w:bidi w:val="0"/>
              <w:spacing w:before="0" w:after="283"/>
              <w:jc w:val="left"/>
              <w:rPr/>
            </w:pPr>
            <w:r>
              <w:rPr/>
              <w:t>Gary Merrill</w:t>
              <w:br/>
              <w:t>1 Commvault Way</w:t>
              <w:br/>
              <w:t>Tinton Falls   NJ   07724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08/18/2026</w:t>
            </w:r>
          </w:p>
        </w:tc>
        <w:tc>
          <w:tcPr>
            <w:tcW w:w="1557" w:type="dxa"/>
            <w:tcBorders/>
            <w:vAlign w:val="center"/>
          </w:tcPr>
          <w:p>
            <w:pPr>
              <w:pStyle w:val="TableContents"/>
              <w:bidi w:val="0"/>
              <w:spacing w:before="0" w:after="283"/>
              <w:jc w:val="left"/>
              <w:rPr/>
            </w:pPr>
            <w:r>
              <w:rPr/>
              <w:t>1854</w:t>
            </w:r>
          </w:p>
        </w:tc>
        <w:tc>
          <w:tcPr>
            <w:tcW w:w="1754" w:type="dxa"/>
            <w:tcBorders/>
            <w:vAlign w:val="center"/>
          </w:tcPr>
          <w:p>
            <w:pPr>
              <w:pStyle w:val="TableContents"/>
              <w:bidi w:val="0"/>
              <w:spacing w:before="0" w:after="283"/>
              <w:jc w:val="left"/>
              <w:rPr/>
            </w:pPr>
            <w:r>
              <w:rPr/>
              <w:t>266298.74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6"/>
        <w:gridCol w:w="6239"/>
      </w:tblGrid>
      <w:tr>
        <w:trPr/>
        <w:tc>
          <w:tcPr>
            <w:tcW w:w="3966" w:type="dxa"/>
            <w:tcBorders/>
            <w:vAlign w:val="center"/>
          </w:tcPr>
          <w:p>
            <w:pPr>
              <w:pStyle w:val="TableContents"/>
              <w:bidi w:val="0"/>
              <w:spacing w:before="0" w:after="283"/>
              <w:jc w:val="left"/>
              <w:rPr/>
            </w:pPr>
            <w:r>
              <w:rPr/>
              <w:t>Remarks</w:t>
            </w:r>
          </w:p>
        </w:tc>
        <w:tc>
          <w:tcPr>
            <w:tcW w:w="6239" w:type="dxa"/>
            <w:tcBorders/>
            <w:vAlign w:val="center"/>
          </w:tcPr>
          <w:p>
            <w:pPr>
              <w:pStyle w:val="TableContents"/>
              <w:bidi w:val="0"/>
              <w:spacing w:before="0" w:after="283"/>
              <w:jc w:val="left"/>
              <w:rPr>
                <w:sz w:val="4"/>
                <w:szCs w:val="4"/>
              </w:rPr>
            </w:pPr>
            <w:r>
              <w:rPr>
                <w:sz w:val="4"/>
                <w:szCs w:val="4"/>
              </w:rPr>
            </w:r>
          </w:p>
        </w:tc>
      </w:tr>
      <w:tr>
        <w:trPr/>
        <w:tc>
          <w:tcPr>
            <w:tcW w:w="3966" w:type="dxa"/>
            <w:tcBorders/>
            <w:vAlign w:val="center"/>
          </w:tcPr>
          <w:p>
            <w:pPr>
              <w:pStyle w:val="TableContents"/>
              <w:bidi w:val="0"/>
              <w:spacing w:before="0" w:after="283"/>
              <w:jc w:val="left"/>
              <w:rPr/>
            </w:pPr>
            <w:r>
              <w:rPr/>
              <w:t>Date of Notice</w:t>
            </w:r>
          </w:p>
        </w:tc>
        <w:tc>
          <w:tcPr>
            <w:tcW w:w="6239" w:type="dxa"/>
            <w:tcBorders/>
            <w:vAlign w:val="center"/>
          </w:tcPr>
          <w:p>
            <w:pPr>
              <w:pStyle w:val="TableContents"/>
              <w:bidi w:val="0"/>
              <w:spacing w:before="0" w:after="0"/>
              <w:jc w:val="left"/>
              <w:rPr/>
            </w:pPr>
            <w:r>
              <w:rPr/>
              <w:t>08/19/2026</w:t>
            </w:r>
          </w:p>
        </w:tc>
      </w:tr>
      <w:tr>
        <w:trPr/>
        <w:tc>
          <w:tcPr>
            <w:tcW w:w="3966" w:type="dxa"/>
            <w:tcBorders/>
            <w:vAlign w:val="center"/>
          </w:tcPr>
          <w:p>
            <w:pPr>
              <w:pStyle w:val="TableContents"/>
              <w:bidi w:val="0"/>
              <w:spacing w:before="0" w:after="283"/>
              <w:jc w:val="left"/>
              <w:rPr/>
            </w:pPr>
            <w:r>
              <w:rPr/>
              <w:t>Date of Plan Adoption or Giving of Instruction, If Relying on Rule 10b5-1</w:t>
            </w:r>
          </w:p>
        </w:tc>
        <w:tc>
          <w:tcPr>
            <w:tcW w:w="6239"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6" w:type="dxa"/>
            <w:tcBorders/>
            <w:vAlign w:val="center"/>
          </w:tcPr>
          <w:p>
            <w:pPr>
              <w:pStyle w:val="TableContents"/>
              <w:bidi w:val="0"/>
              <w:spacing w:before="0" w:after="283"/>
              <w:jc w:val="left"/>
              <w:rPr/>
            </w:pPr>
            <w:r>
              <w:rPr/>
              <w:t>Signature</w:t>
            </w:r>
          </w:p>
        </w:tc>
        <w:tc>
          <w:tcPr>
            <w:tcW w:w="6239" w:type="dxa"/>
            <w:tcBorders/>
            <w:vAlign w:val="center"/>
          </w:tcPr>
          <w:p>
            <w:pPr>
              <w:pStyle w:val="TableContents"/>
              <w:bidi w:val="0"/>
              <w:spacing w:before="0" w:after="0"/>
              <w:jc w:val="left"/>
              <w:rPr/>
            </w:pPr>
            <w:r>
              <w:rPr/>
              <w:t>/s/ Daniel Tucci, as a duly authorized representative of Fidelity Brokerage Services LLC, as attorney-in-fact for Gary Merrill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3402</Characters>
  <CharactersWithSpaces>4004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