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70"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90" w:type="dxa"/>
        <w:tblCellMar>
          <w:top w:w="0" w:type="dxa"/>
          <w:left w:w="0" w:type="dxa"/>
          <w:bottom w:w="0" w:type="dxa"/>
          <w:right w:w="0" w:type="dxa"/>
        </w:tblCellMar>
      </w:tblPr>
      <w:tr>
        <w:trPr>
          <w:trHeight w:val="210"/>
        </w:trPr>
        <w:tc>
          <w:tcPr>
            <w:tcW w:w="3820" w:type="dxa"/>
            <w:vAlign w:val="bottom"/>
          </w:tcPr>
          <w:p>
            <w:pPr>
              <w:jc w:val="center"/>
              <w:ind w:left="1566"/>
              <w:spacing w:after="0"/>
              <w:rPr>
                <w:sz w:val="20"/>
                <w:szCs w:val="20"/>
                <w:color w:val="auto"/>
              </w:rPr>
            </w:pPr>
            <w:r>
              <w:rPr>
                <w:rFonts w:ascii="Arial" w:cs="Arial" w:eastAsia="Arial" w:hAnsi="Arial"/>
                <w:sz w:val="16"/>
                <w:szCs w:val="16"/>
                <w:b w:val="1"/>
                <w:bCs w:val="1"/>
                <w:color w:val="auto"/>
                <w:w w:val="93"/>
              </w:rPr>
              <w:t>Delaware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jc w:val="right"/>
              <w:ind w:right="222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3820" w:type="dxa"/>
            <w:vAlign w:val="bottom"/>
          </w:tcPr>
          <w:p>
            <w:pPr>
              <w:jc w:val="center"/>
              <w:ind w:left="1566"/>
              <w:spacing w:after="0"/>
              <w:rPr>
                <w:sz w:val="20"/>
                <w:szCs w:val="20"/>
                <w:color w:val="auto"/>
              </w:rPr>
            </w:pPr>
            <w:r>
              <w:rPr>
                <w:rFonts w:ascii="Arial" w:cs="Arial" w:eastAsia="Arial" w:hAnsi="Arial"/>
                <w:sz w:val="13"/>
                <w:szCs w:val="13"/>
                <w:b w:val="1"/>
                <w:bCs w:val="1"/>
                <w:color w:val="auto"/>
                <w:w w:val="88"/>
              </w:rPr>
              <w:t>(State or other jurisdiction of</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00" w:type="dxa"/>
            <w:vAlign w:val="bottom"/>
          </w:tcPr>
          <w:p>
            <w:pPr>
              <w:jc w:val="center"/>
              <w:ind w:right="140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820" w:type="dxa"/>
            <w:vAlign w:val="bottom"/>
          </w:tcPr>
          <w:p>
            <w:pPr>
              <w:jc w:val="center"/>
              <w:ind w:left="1566"/>
              <w:spacing w:after="0"/>
              <w:rPr>
                <w:sz w:val="20"/>
                <w:szCs w:val="20"/>
                <w:color w:val="auto"/>
              </w:rPr>
            </w:pPr>
            <w:r>
              <w:rPr>
                <w:rFonts w:ascii="Arial" w:cs="Arial" w:eastAsia="Arial" w:hAnsi="Arial"/>
                <w:sz w:val="13"/>
                <w:szCs w:val="13"/>
                <w:b w:val="1"/>
                <w:bCs w:val="1"/>
                <w:color w:val="auto"/>
                <w:w w:val="89"/>
              </w:rPr>
              <w:t>incorporation or organization)</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tcPr>
          <w:p>
            <w:pPr>
              <w:jc w:val="center"/>
              <w:ind w:right="140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3820" w:type="dxa"/>
            <w:vAlign w:val="bottom"/>
          </w:tcPr>
          <w:p>
            <w:pPr>
              <w:jc w:val="center"/>
              <w:ind w:left="1566"/>
              <w:spacing w:after="0"/>
              <w:rPr>
                <w:sz w:val="20"/>
                <w:szCs w:val="20"/>
                <w:color w:val="auto"/>
              </w:rPr>
            </w:pPr>
            <w:r>
              <w:rPr>
                <w:rFonts w:ascii="Arial" w:cs="Arial" w:eastAsia="Arial" w:hAnsi="Arial"/>
                <w:sz w:val="16"/>
                <w:szCs w:val="16"/>
                <w:b w:val="1"/>
                <w:bCs w:val="1"/>
                <w:color w:val="auto"/>
                <w:w w:val="94"/>
              </w:rPr>
              <w:t>1 Commvault Way</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10"/>
        </w:trPr>
        <w:tc>
          <w:tcPr>
            <w:tcW w:w="3820" w:type="dxa"/>
            <w:vAlign w:val="bottom"/>
          </w:tcPr>
          <w:p>
            <w:pPr>
              <w:jc w:val="center"/>
              <w:ind w:left="1566"/>
              <w:spacing w:after="0"/>
              <w:rPr>
                <w:sz w:val="20"/>
                <w:szCs w:val="20"/>
                <w:color w:val="auto"/>
              </w:rPr>
            </w:pPr>
            <w:r>
              <w:rPr>
                <w:rFonts w:ascii="Arial" w:cs="Arial" w:eastAsia="Arial" w:hAnsi="Arial"/>
                <w:sz w:val="16"/>
                <w:szCs w:val="16"/>
                <w:b w:val="1"/>
                <w:bCs w:val="1"/>
                <w:color w:val="auto"/>
                <w:w w:val="91"/>
              </w:rPr>
              <w:t>Tinton Falls, New Jersey</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jc w:val="right"/>
              <w:ind w:right="2427"/>
              <w:spacing w:after="0"/>
              <w:rPr>
                <w:sz w:val="20"/>
                <w:szCs w:val="20"/>
                <w:color w:val="auto"/>
              </w:rPr>
            </w:pPr>
            <w:r>
              <w:rPr>
                <w:rFonts w:ascii="Arial" w:cs="Arial" w:eastAsia="Arial" w:hAnsi="Arial"/>
                <w:sz w:val="16"/>
                <w:szCs w:val="16"/>
                <w:b w:val="1"/>
                <w:bCs w:val="1"/>
                <w:color w:val="auto"/>
              </w:rPr>
              <w:t>07724</w:t>
            </w:r>
          </w:p>
        </w:tc>
      </w:tr>
      <w:tr>
        <w:trPr>
          <w:trHeight w:val="206"/>
        </w:trPr>
        <w:tc>
          <w:tcPr>
            <w:tcW w:w="3820" w:type="dxa"/>
            <w:vAlign w:val="bottom"/>
          </w:tcPr>
          <w:p>
            <w:pPr>
              <w:jc w:val="center"/>
              <w:ind w:left="1566"/>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jc w:val="center"/>
              <w:ind w:right="140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3820" w:type="dxa"/>
            <w:vAlign w:val="bottom"/>
          </w:tcPr>
          <w:p>
            <w:pPr>
              <w:spacing w:after="0"/>
              <w:rPr>
                <w:sz w:val="19"/>
                <w:szCs w:val="19"/>
                <w:color w:val="auto"/>
              </w:rPr>
            </w:pPr>
          </w:p>
        </w:tc>
        <w:tc>
          <w:tcPr>
            <w:tcW w:w="2740" w:type="dxa"/>
            <w:vAlign w:val="bottom"/>
            <w:gridSpan w:val="3"/>
          </w:tcPr>
          <w:p>
            <w:pPr>
              <w:jc w:val="center"/>
              <w:ind w:left="799"/>
              <w:spacing w:after="0"/>
              <w:rPr>
                <w:sz w:val="20"/>
                <w:szCs w:val="20"/>
                <w:color w:val="auto"/>
              </w:rPr>
            </w:pPr>
            <w:r>
              <w:rPr>
                <w:rFonts w:ascii="Arial" w:cs="Arial" w:eastAsia="Arial" w:hAnsi="Arial"/>
                <w:sz w:val="18"/>
                <w:szCs w:val="18"/>
                <w:color w:val="auto"/>
                <w:w w:val="92"/>
              </w:rPr>
              <w:t>(</w:t>
            </w:r>
            <w:r>
              <w:rPr>
                <w:rFonts w:ascii="Arial" w:cs="Arial" w:eastAsia="Arial" w:hAnsi="Arial"/>
                <w:sz w:val="16"/>
                <w:szCs w:val="16"/>
                <w:b w:val="1"/>
                <w:bCs w:val="1"/>
                <w:color w:val="auto"/>
                <w:w w:val="92"/>
              </w:rPr>
              <w:t>732) 870-4000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164"/>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900" w:type="dxa"/>
            <w:vAlign w:val="bottom"/>
          </w:tcPr>
          <w:p>
            <w:pPr>
              <w:spacing w:after="0"/>
              <w:rPr>
                <w:sz w:val="14"/>
                <w:szCs w:val="14"/>
                <w:color w:val="auto"/>
              </w:rPr>
            </w:pPr>
          </w:p>
        </w:tc>
      </w:tr>
      <w:tr>
        <w:trPr>
          <w:trHeight w:val="138"/>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900" w:type="dxa"/>
            <w:vAlign w:val="bottom"/>
          </w:tcPr>
          <w:p>
            <w:pPr>
              <w:spacing w:after="0"/>
              <w:rPr>
                <w:sz w:val="11"/>
                <w:szCs w:val="11"/>
                <w:color w:val="auto"/>
              </w:rPr>
            </w:pPr>
          </w:p>
        </w:tc>
      </w:tr>
      <w:tr>
        <w:trPr>
          <w:trHeight w:val="508"/>
        </w:trPr>
        <w:tc>
          <w:tcPr>
            <w:tcW w:w="3820" w:type="dxa"/>
            <w:vAlign w:val="bottom"/>
          </w:tcPr>
          <w:p>
            <w:pPr>
              <w:spacing w:after="0"/>
              <w:rPr>
                <w:sz w:val="24"/>
                <w:szCs w:val="24"/>
                <w:color w:val="auto"/>
              </w:rPr>
            </w:pPr>
          </w:p>
        </w:tc>
        <w:tc>
          <w:tcPr>
            <w:tcW w:w="3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900" w:type="dxa"/>
            <w:vAlign w:val="bottom"/>
          </w:tcPr>
          <w:p>
            <w:pPr>
              <w:spacing w:after="0"/>
              <w:rPr>
                <w:sz w:val="24"/>
                <w:szCs w:val="24"/>
                <w:color w:val="auto"/>
              </w:rPr>
            </w:pPr>
          </w:p>
        </w:tc>
      </w:tr>
      <w:tr>
        <w:trPr>
          <w:trHeight w:val="147"/>
        </w:trPr>
        <w:tc>
          <w:tcPr>
            <w:tcW w:w="3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3900" w:type="dxa"/>
            <w:vAlign w:val="bottom"/>
            <w:tcBorders>
              <w:bottom w:val="single" w:sz="8" w:color="auto"/>
            </w:tcBorders>
          </w:tcPr>
          <w:p>
            <w:pPr>
              <w:spacing w:after="0"/>
              <w:rPr>
                <w:sz w:val="12"/>
                <w:szCs w:val="12"/>
                <w:color w:val="auto"/>
              </w:rPr>
            </w:pPr>
          </w:p>
        </w:tc>
      </w:tr>
      <w:tr>
        <w:trPr>
          <w:trHeight w:val="217"/>
        </w:trPr>
        <w:tc>
          <w:tcPr>
            <w:tcW w:w="3820" w:type="dxa"/>
            <w:vAlign w:val="bottom"/>
            <w:tcBorders>
              <w:left w:val="single" w:sz="8" w:color="auto"/>
            </w:tcBorders>
          </w:tcPr>
          <w:p>
            <w:pPr>
              <w:jc w:val="center"/>
              <w:ind w:left="746"/>
              <w:spacing w:after="0"/>
              <w:rPr>
                <w:sz w:val="20"/>
                <w:szCs w:val="20"/>
                <w:color w:val="auto"/>
              </w:rPr>
            </w:pPr>
            <w:r>
              <w:rPr>
                <w:rFonts w:ascii="Arial" w:cs="Arial" w:eastAsia="Arial" w:hAnsi="Arial"/>
                <w:sz w:val="16"/>
                <w:szCs w:val="16"/>
                <w:b w:val="1"/>
                <w:bCs w:val="1"/>
                <w:color w:val="auto"/>
                <w:w w:val="87"/>
              </w:rPr>
              <w:t>Title of each class</w:t>
            </w:r>
          </w:p>
        </w:tc>
        <w:tc>
          <w:tcPr>
            <w:tcW w:w="2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Borders>
              <w:right w:val="single" w:sz="8" w:color="auto"/>
            </w:tcBorders>
          </w:tcPr>
          <w:p>
            <w:pPr>
              <w:jc w:val="center"/>
              <w:ind w:right="787"/>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82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r>
        <w:trPr>
          <w:trHeight w:val="217"/>
        </w:trPr>
        <w:tc>
          <w:tcPr>
            <w:tcW w:w="3820" w:type="dxa"/>
            <w:vAlign w:val="bottom"/>
            <w:tcBorders>
              <w:left w:val="single" w:sz="8" w:color="auto"/>
            </w:tcBorders>
          </w:tcPr>
          <w:p>
            <w:pPr>
              <w:jc w:val="center"/>
              <w:ind w:left="746"/>
              <w:spacing w:after="0"/>
              <w:rPr>
                <w:sz w:val="20"/>
                <w:szCs w:val="20"/>
                <w:color w:val="auto"/>
              </w:rPr>
            </w:pPr>
            <w:r>
              <w:rPr>
                <w:rFonts w:ascii="Arial" w:cs="Arial" w:eastAsia="Arial" w:hAnsi="Arial"/>
                <w:sz w:val="16"/>
                <w:szCs w:val="16"/>
                <w:color w:val="auto"/>
                <w:w w:val="91"/>
              </w:rPr>
              <w:t>Common Stock</w:t>
            </w:r>
          </w:p>
        </w:tc>
        <w:tc>
          <w:tcPr>
            <w:tcW w:w="2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CVLT</w:t>
            </w:r>
          </w:p>
        </w:tc>
        <w:tc>
          <w:tcPr>
            <w:tcW w:w="840" w:type="dxa"/>
            <w:vAlign w:val="bottom"/>
            <w:gridSpan w:val="2"/>
          </w:tcPr>
          <w:p>
            <w:pPr>
              <w:spacing w:after="0"/>
              <w:rPr>
                <w:sz w:val="18"/>
                <w:szCs w:val="18"/>
                <w:color w:val="auto"/>
              </w:rPr>
            </w:pPr>
          </w:p>
        </w:tc>
        <w:tc>
          <w:tcPr>
            <w:tcW w:w="3900" w:type="dxa"/>
            <w:vAlign w:val="bottom"/>
            <w:tcBorders>
              <w:right w:val="single" w:sz="8" w:color="auto"/>
            </w:tcBorders>
          </w:tcPr>
          <w:p>
            <w:pPr>
              <w:jc w:val="center"/>
              <w:ind w:right="787"/>
              <w:spacing w:after="0"/>
              <w:rPr>
                <w:sz w:val="20"/>
                <w:szCs w:val="20"/>
                <w:color w:val="auto"/>
              </w:rPr>
            </w:pPr>
            <w:r>
              <w:rPr>
                <w:rFonts w:ascii="Arial" w:cs="Arial" w:eastAsia="Arial" w:hAnsi="Arial"/>
                <w:sz w:val="16"/>
                <w:szCs w:val="16"/>
                <w:color w:val="auto"/>
              </w:rPr>
              <w:t>NASDAQ</w:t>
            </w:r>
          </w:p>
        </w:tc>
      </w:tr>
      <w:tr>
        <w:trPr>
          <w:trHeight w:val="33"/>
        </w:trPr>
        <w:tc>
          <w:tcPr>
            <w:tcW w:w="382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241" w:lineRule="exact"/>
        <w:rPr>
          <w:sz w:val="24"/>
          <w:szCs w:val="24"/>
          <w:color w:val="auto"/>
        </w:rPr>
      </w:pPr>
    </w:p>
    <w:p>
      <w:pPr>
        <w:ind w:left="40" w:right="1440"/>
        <w:spacing w:after="0" w:line="227"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o Non-accelerated filer o Smaller reporting company o Emerging growth company o</w:t>
      </w:r>
    </w:p>
    <w:p>
      <w:pPr>
        <w:spacing w:after="0" w:line="287" w:lineRule="exact"/>
        <w:rPr>
          <w:sz w:val="24"/>
          <w:szCs w:val="24"/>
          <w:color w:val="auto"/>
        </w:rPr>
      </w:pPr>
    </w:p>
    <w:p>
      <w:pPr>
        <w:ind w:left="40" w:right="6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254" w:lineRule="exact"/>
        <w:rPr>
          <w:sz w:val="24"/>
          <w:szCs w:val="24"/>
          <w:color w:val="auto"/>
        </w:rPr>
      </w:pPr>
    </w:p>
    <w:p>
      <w:pPr>
        <w:spacing w:after="0" w:line="207"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No x</w:t>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color w:val="auto"/>
        </w:rPr>
        <w:t>As of July 26, 2019, there were 45,179,511 shares of the registrant’s common stock, $0.01 par value, outstanding.</w:t>
      </w:r>
    </w:p>
    <w:p>
      <w:pPr>
        <w:sectPr>
          <w:pgSz w:w="11900" w:h="16838" w:orient="portrait"/>
          <w:cols w:equalWidth="0" w:num="1">
            <w:col w:w="11360"/>
          </w:cols>
          <w:pgMar w:left="240" w:top="233" w:right="2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17"/>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6"/>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100" w:type="dxa"/>
            <w:vAlign w:val="bottom"/>
          </w:tcPr>
          <w:p>
            <w:pPr>
              <w:spacing w:after="0"/>
              <w:rPr>
                <w:sz w:val="19"/>
                <w:szCs w:val="19"/>
                <w:color w:val="auto"/>
              </w:rPr>
            </w:pPr>
          </w:p>
        </w:tc>
        <w:tc>
          <w:tcPr>
            <w:tcW w:w="88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June 30, 2019 and March 31, 2019</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for the three months ended June 30, 2019 and 2018</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040" w:type="dxa"/>
            <w:vAlign w:val="bottom"/>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Consolidated Statements of Comprehensive Loss for the three months ended June 30, 2019 and 2018</w:t>
              </w:r>
            </w:hyperlink>
          </w:p>
        </w:tc>
        <w:tc>
          <w:tcPr>
            <w:tcW w:w="800" w:type="dxa"/>
            <w:vAlign w:val="bottom"/>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840" w:type="dxa"/>
            <w:vAlign w:val="bottom"/>
            <w:gridSpan w:val="16"/>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Unaudited Consolidated Statements of Stockholders’ Equity for the three months ended June 30, 2019 and 2018</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8040" w:type="dxa"/>
            <w:vAlign w:val="bottom"/>
            <w:gridSpan w:val="15"/>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Unaudited Consolidated Statements of Cash Flows for the three months ended June 30, 2019 and 2018</w:t>
              </w:r>
            </w:hyperlink>
          </w:p>
        </w:tc>
        <w:tc>
          <w:tcPr>
            <w:tcW w:w="800" w:type="dxa"/>
            <w:vAlign w:val="bottom"/>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736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480" w:type="dxa"/>
            <w:vAlign w:val="bottom"/>
            <w:gridSpan w:val="2"/>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gridSpan w:val="2"/>
          </w:tcPr>
          <w:p>
            <w:pPr>
              <w:spacing w:after="0"/>
              <w:rPr>
                <w:sz w:val="21"/>
                <w:szCs w:val="21"/>
                <w:color w:val="auto"/>
              </w:rPr>
            </w:pPr>
          </w:p>
        </w:tc>
        <w:tc>
          <w:tcPr>
            <w:tcW w:w="2420" w:type="dxa"/>
            <w:vAlign w:val="bottom"/>
            <w:gridSpan w:val="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1">
              <w:r>
                <w:rPr>
                  <w:rFonts w:ascii="Arial" w:cs="Arial" w:eastAsia="Arial" w:hAnsi="Arial"/>
                  <w:sz w:val="18"/>
                  <w:szCs w:val="18"/>
                  <w:color w:val="0000EE"/>
                  <w:w w:val="86"/>
                </w:rPr>
                <w:t>Controls and Procedures</w:t>
              </w:r>
            </w:hyperlink>
          </w:p>
        </w:tc>
        <w:tc>
          <w:tcPr>
            <w:tcW w:w="710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c>
          <w:tcPr>
            <w:tcW w:w="20" w:type="dxa"/>
            <w:vAlign w:val="bottom"/>
          </w:tcPr>
          <w:p>
            <w:pPr>
              <w:spacing w:after="0"/>
              <w:rPr>
                <w:sz w:val="21"/>
                <w:szCs w:val="21"/>
                <w:color w:val="auto"/>
              </w:rPr>
            </w:pPr>
          </w:p>
        </w:tc>
      </w:tr>
      <w:tr>
        <w:trPr>
          <w:trHeight w:val="574"/>
        </w:trPr>
        <w:tc>
          <w:tcPr>
            <w:tcW w:w="9940" w:type="dxa"/>
            <w:vAlign w:val="bottom"/>
            <w:gridSpan w:val="1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4600" w:type="dxa"/>
            <w:vAlign w:val="bottom"/>
            <w:gridSpan w:val="7"/>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Mine Safety Disclosures</w:t>
              </w:r>
            </w:hyperlink>
          </w:p>
        </w:tc>
        <w:tc>
          <w:tcPr>
            <w:tcW w:w="540" w:type="dxa"/>
            <w:vAlign w:val="bottom"/>
            <w:tcBorders>
              <w:top w:val="single" w:sz="8" w:color="0000EE"/>
            </w:tcBorders>
          </w:tcPr>
          <w:p>
            <w:pPr>
              <w:spacing w:after="0"/>
              <w:rPr>
                <w:sz w:val="21"/>
                <w:szCs w:val="21"/>
                <w:color w:val="auto"/>
              </w:rPr>
            </w:pPr>
          </w:p>
        </w:tc>
        <w:tc>
          <w:tcPr>
            <w:tcW w:w="6560" w:type="dxa"/>
            <w:vAlign w:val="bottom"/>
            <w:gridSpan w:val="9"/>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Other Information</w:t>
              </w:r>
            </w:hyperlink>
          </w:p>
        </w:tc>
        <w:tc>
          <w:tcPr>
            <w:tcW w:w="7560" w:type="dxa"/>
            <w:vAlign w:val="bottom"/>
            <w:gridSpan w:val="13"/>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20" w:type="dxa"/>
            <w:vAlign w:val="bottom"/>
          </w:tcPr>
          <w:p>
            <w:pPr>
              <w:spacing w:after="0"/>
              <w:rPr>
                <w:sz w:val="21"/>
                <w:szCs w:val="2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80" w:type="dxa"/>
            <w:vAlign w:val="bottom"/>
            <w:gridSpan w:val="1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SIGNATURES</w:t>
              </w:r>
            </w:hyperlink>
          </w:p>
        </w:tc>
        <w:tc>
          <w:tcPr>
            <w:tcW w:w="8840" w:type="dxa"/>
            <w:vAlign w:val="bottom"/>
            <w:gridSpan w:val="1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20" w:type="dxa"/>
            <w:vAlign w:val="bottom"/>
          </w:tcPr>
          <w:p>
            <w:pPr>
              <w:spacing w:after="0"/>
              <w:rPr>
                <w:sz w:val="24"/>
                <w:szCs w:val="24"/>
                <w:color w:val="auto"/>
              </w:rPr>
            </w:pPr>
          </w:p>
        </w:tc>
      </w:tr>
    </w:tbl>
    <w:p>
      <w:pPr>
        <w:sectPr>
          <w:pgSz w:w="11900" w:h="16838" w:orient="portrait"/>
          <w:cols w:equalWidth="0" w:num="1">
            <w:col w:w="10600"/>
          </w:cols>
          <w:pgMar w:left="240" w:top="125"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41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8120" w:type="dxa"/>
            <w:vAlign w:val="bottom"/>
          </w:tcPr>
          <w:p>
            <w:pPr>
              <w:ind w:left="368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320,821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327,992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130,338</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137,628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176,836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612,536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655,002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lease assets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commissions cost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11,116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793,322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822,453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85,721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238,439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320,201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326,346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99,257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Preferred stock, $0.01 par value: 50,000 shares authorized, no shares issued and outstanding at June 30, 2019</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March 31, 2019</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5"/>
              </w:rPr>
              <w:t>Common stock, $0.01 par value: 250,000 shares authorized, 45,077 shares and 45,582 shares issued and</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June 30, 2019 and March 31, 2019, respectively</w:t>
            </w:r>
          </w:p>
        </w:tc>
        <w:tc>
          <w:tcPr>
            <w:tcW w:w="3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887,907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(485,490)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359,817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391,303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793,322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822,453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66"/>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63,674</w:t>
            </w:r>
          </w:p>
        </w:tc>
        <w:tc>
          <w:tcPr>
            <w:tcW w:w="1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75,050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98,529</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101,127</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162,203</w:t>
            </w: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176,177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Software and products</w:t>
            </w:r>
          </w:p>
        </w:tc>
        <w:tc>
          <w:tcPr>
            <w:tcW w:w="3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6,030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22,690</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23,486</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28,720</w:t>
            </w: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133,483</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148,571</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87,385</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97,616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23,580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24,097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22,507</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23,239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4,079</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2,606</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140,157</w:t>
            </w: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155,380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1,923</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2,095</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45,451</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45,450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45,451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125"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June 30,</w:t>
            </w:r>
          </w:p>
        </w:tc>
      </w:t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80"/>
        </w:trPr>
        <w:tc>
          <w:tcPr>
            <w:tcW w:w="54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2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(13,736)</w:t>
            </w:r>
          </w:p>
        </w:tc>
      </w:tr>
      <w:tr>
        <w:trPr>
          <w:trHeight w:val="27"/>
        </w:trPr>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5"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4"/>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2019</w:t>
            </w:r>
          </w:p>
        </w:tc>
        <w:tc>
          <w:tcPr>
            <w:tcW w:w="92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45,582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887,907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(485,490)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391,303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14,750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Share issuances related to stock-based compensation</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45,077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896,383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(525,420)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359,817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4"/>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4"/>
                <w:szCs w:val="4"/>
                <w:color w:val="auto"/>
              </w:rPr>
            </w:pPr>
          </w:p>
        </w:tc>
        <w:tc>
          <w:tcPr>
            <w:tcW w:w="132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45,118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782,764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18,004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Share issuances related to stock-based compensation</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45,580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811,271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(404,369)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396,715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r>
      <w:tr>
        <w:trPr>
          <w:trHeight w:val="190"/>
        </w:trPr>
        <w:tc>
          <w:tcPr>
            <w:tcW w:w="8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80"/>
        </w:trPr>
        <w:tc>
          <w:tcPr>
            <w:tcW w:w="82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(6,846)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(8,567)</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3,059</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18,004</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Impairment of operating lease assets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Trade accounts receivable</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43,165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8,672</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Operating lease assets and liabilities,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2,919</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commissions cost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43"/>
        </w:trPr>
        <w:tc>
          <w:tcPr>
            <w:tcW w:w="824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3,298</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24,770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(11,252)</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33,135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(3,521)</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18,362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13,398</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(10,387)</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21,128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327,992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330,784</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351,912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The Company also sells appliances that integrate the Company's software with hardware and address a wide-range of business needs and use cases, ranging from support for remote or branch offices with limited IT staff up to large corporate data centers. The Company also provides its customers with a broad range of professional and customer support services.</w:t>
      </w:r>
    </w:p>
    <w:p>
      <w:pPr>
        <w:spacing w:after="0" w:line="115"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The consolidated financial statements as of June 30, 2019 and for the three months ended June 30, 2019 and 2018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2019. The results reported in these financial statements should not necessarily be taken as indicative of results that may be expected for the entire fiscal year.</w:t>
      </w:r>
    </w:p>
    <w:p>
      <w:pPr>
        <w:spacing w:after="0" w:line="104"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an Immaterial Error in Previously Issued Financial Statements</w:t>
      </w:r>
    </w:p>
    <w:p>
      <w:pPr>
        <w:spacing w:after="0" w:line="17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Subsequent to the issuance of the financial statements for the year ended March 31, 2018, the Company concluded that the Statement of Operations for fiscal 2018 and the interim periods contained an immaterial error related to the classification of legal fees related to intellectual property as Research and Development expenses and not General and Administrative expenses. These immaterial errors have been corrected for the comparative period shown by reclassifying $697 from Research and Development expense to General and Administrative expense for the three months ended June 30, 2018. This immaterial error did not have any impact on our financial position, net loss or cash flow for the three months ended June 30, 2018.</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180"/>
        <w:spacing w:after="0" w:line="289"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Under the new guidance, the Company is required to recognize a lease liability and a right-of-use asset for leases. The Company adopted the new guidance on April 1, 2019 using the optional transition method, which allows for the prospective application of the standard, and as a result, the Company did not record an adjustment to retained earnings. In addition, the Company elected the package of practical expedients, for all of its leases, permitted under the transition guidance within the standard, which allowed the Company to carry forward its historical lease classification, to not reassess prior conclusions related to initial direct costs and to not reassess whether any expired or existing contracts are or contain leases. The Company also elected the lessee practical expedient to combine lease and non-lease components for new leases and modified leases. The Company also made an accounting policy election in accordance with the new standard to apply accounting similar to ASC 840 to short-term leases, which are defined as leases that have a term of 12 months or less. The new guidance does not have any impact on the Statement of Operations or Statement of Cash Flows.</w:t>
      </w:r>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adoption of ASC 842 resulted in the recording of operating lease assets and operating lease liabilities of approximately $18,900 and $19,300, respectively, as of April 1, 2019.</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Company’s lease liabilities relate primarily to operating leases for its global office infrastructure. These operating leases expire at various dates through fiscal 2026. The Company records lease liabilities at the present value of the lease payments not yet paid, discounted at the rate of interest that the Company would have to pay to borrow on a collateralized basis over a similar term. As the Company's leases do not provide an implicit rate, the Company uses an incremental borrowing rate based on the information available at commencement date in determining the present value of lease payments.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recognizes operating lease costs over the estimated term of the lease, which includes options to extend lease terms that are reasonably certain of being exercised, starting when possession of the property is taken from the landlord. When a lease contains a predetermined fixed escalation of the minimum rent, the Company recognizes the related operating lease cost on a straight-line basis over the lease term.</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certain of the Company’s lease agreements include variable lease payments, such as estimated tax and maintenance charges. These variable lease payments are excluded from minimum lease payments and are included in the determination of lease cost when it is probable that the expense has been incurred and the amount can be reasonably estimated.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the Company did not have any finance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lease cost recognized on our Condensed Consolidated Statement of Operations is summarized as follows:</w:t>
      </w:r>
    </w:p>
    <w:p>
      <w:pPr>
        <w:spacing w:after="0" w:line="158" w:lineRule="exact"/>
        <w:rPr>
          <w:sz w:val="20"/>
          <w:szCs w:val="20"/>
          <w:color w:val="auto"/>
        </w:rPr>
      </w:pPr>
    </w:p>
    <w:tbl>
      <w:tblPr>
        <w:tblLayout w:type="fixed"/>
        <w:tblInd w:w="2220" w:type="dxa"/>
        <w:tblCellMar>
          <w:top w:w="0" w:type="dxa"/>
          <w:left w:w="0" w:type="dxa"/>
          <w:bottom w:w="0" w:type="dxa"/>
          <w:right w:w="0" w:type="dxa"/>
        </w:tblCellMar>
      </w:tblP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2,902</w:t>
            </w:r>
          </w:p>
        </w:tc>
      </w:tr>
      <w:tr>
        <w:trPr>
          <w:trHeight w:val="27"/>
        </w:trPr>
        <w:tc>
          <w:tcPr>
            <w:tcW w:w="56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25"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June 30, 2019, the maturities of lease liabilities based on the total minimum lease commitment amount including options to extend lease terms that are reasonably certain of being exercised are as follows:</w:t>
      </w:r>
    </w:p>
    <w:p>
      <w:pPr>
        <w:spacing w:after="0" w:line="104" w:lineRule="exact"/>
        <w:rPr>
          <w:sz w:val="20"/>
          <w:szCs w:val="20"/>
          <w:color w:val="auto"/>
        </w:rPr>
      </w:pPr>
    </w:p>
    <w:tbl>
      <w:tblPr>
        <w:tblLayout w:type="fixed"/>
        <w:tblInd w:w="960" w:type="dxa"/>
        <w:tblCellMar>
          <w:top w:w="0" w:type="dxa"/>
          <w:left w:w="0" w:type="dxa"/>
          <w:bottom w:w="0" w:type="dxa"/>
          <w:right w:w="0" w:type="dxa"/>
        </w:tblCellMar>
      </w:tblP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 2020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FY 2021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6,794</w:t>
            </w:r>
          </w:p>
        </w:tc>
      </w:tr>
      <w:tr>
        <w:trPr>
          <w:trHeight w:val="27"/>
        </w:trPr>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2022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FY 2023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2,338</w:t>
            </w:r>
          </w:p>
        </w:tc>
      </w:tr>
      <w:tr>
        <w:trPr>
          <w:trHeight w:val="27"/>
        </w:trPr>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2024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981</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21,875</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7,894</w:t>
            </w:r>
          </w:p>
        </w:tc>
      </w:tr>
      <w:tr>
        <w:trPr>
          <w:trHeight w:val="27"/>
        </w:trPr>
        <w:tc>
          <w:tcPr>
            <w:tcW w:w="8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11,618</w:t>
            </w:r>
          </w:p>
        </w:tc>
      </w:tr>
      <w:tr>
        <w:trPr>
          <w:trHeight w:val="27"/>
        </w:trPr>
        <w:tc>
          <w:tcPr>
            <w:tcW w:w="8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three months ended June 30, 2019, additions of operating lease assets were $1,600. As of June 30, 2019 the minimum lease commitment amount for operating leases signed but not yet commenced, was immaterial.</w:t>
      </w:r>
    </w:p>
    <w:p>
      <w:pPr>
        <w:spacing w:after="0" w:line="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2019 the weighted-average remaining operating lease term was 3.24 years and the weighted-average discount rate was 4% for operating leases recognized in the Condensed Consolidated Balance Sheet.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225"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The standard amends guidance on the impairment of financial instruments. The ASU estimates credit losses based on expected losses and provides for a simplified accounting model for purchased financial assets with credit deterioration. The standard requires a modified retrospective basis adoption through a cumulative-effect adjustment to retained earnings as of the beginning of the period of adoption. The amendments of this ASU are effective for the Company's fiscal 2021, with early adoption permitted. The Company is currently assessing the impact the adoption of ASU 2016-13 will have on the financial statements.</w:t>
      </w:r>
    </w:p>
    <w:p>
      <w:pPr>
        <w:spacing w:after="0" w:line="8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have been no other additional significant changes in the Company’s accounting policies during the three months ended June 30, 2019 as compared to the significant accounting policies described in its Annual Report on Form 10-K for the year ended March 31, 2019 and to the changes disclosed above.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38% and 37% of total revenues for the three months ended June 30, 2019 and 2018, respectively. Arrow accounted for 34% of total accounts receivable as of June 30, 2019 and 38% of total accounts receivable as of March 31, 2019.</w:t>
      </w:r>
    </w:p>
    <w:p>
      <w:pPr>
        <w:spacing w:after="0" w:line="12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Sales through the Company's distribution agreement with Avnet Technology Solutions ("Avnet") totaled 11% of total accounts receivables as of June 30, 2019.</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composition of the Company’s financial assets measured at fair value at June 30, 2019 and March 31, 2019:</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June 30, 2019</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103,892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103,892</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132,196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132,196</w:t>
            </w:r>
          </w:p>
        </w:tc>
      </w:tr>
      <w:tr>
        <w:trPr>
          <w:trHeight w:val="554"/>
        </w:trPr>
        <w:tc>
          <w:tcPr>
            <w:tcW w:w="51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March 31, 2019</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102,702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102,702</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131,937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131,937</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175"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133" w:lineRule="exact"/>
        <w:rPr>
          <w:sz w:val="20"/>
          <w:szCs w:val="20"/>
          <w:color w:val="auto"/>
        </w:rPr>
      </w:pPr>
    </w:p>
    <w:p>
      <w:pPr>
        <w:ind w:right="40" w:firstLine="500"/>
        <w:spacing w:after="0" w:line="291" w:lineRule="auto"/>
        <w:rPr>
          <w:sz w:val="20"/>
          <w:szCs w:val="20"/>
          <w:color w:val="auto"/>
        </w:rPr>
      </w:pPr>
      <w:r>
        <w:rPr>
          <w:rFonts w:ascii="Arial" w:cs="Arial" w:eastAsia="Arial" w:hAnsi="Arial"/>
          <w:sz w:val="16"/>
          <w:szCs w:val="16"/>
          <w:color w:val="auto"/>
        </w:rPr>
        <w:t>Historically, 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400"/>
          </w:cols>
          <w:pgMar w:left="240" w:top="125" w:right="259" w:bottom="1440" w:gutter="0" w:footer="0" w:header="0"/>
        </w:sectPr>
      </w:pPr>
    </w:p>
    <w:p>
      <w:pPr>
        <w:spacing w:after="0" w:line="7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4"/>
          <w:szCs w:val="14"/>
          <w:color w:val="auto"/>
        </w:rPr>
        <w:t>Upon shipment or made available for download (point in</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600"/>
        <w:spacing w:after="0" w:line="278" w:lineRule="auto"/>
        <w:rPr>
          <w:sz w:val="20"/>
          <w:szCs w:val="20"/>
          <w:color w:val="auto"/>
        </w:rPr>
      </w:pPr>
      <w:r>
        <w:rPr>
          <w:rFonts w:ascii="Arial" w:cs="Arial" w:eastAsia="Arial" w:hAnsi="Arial"/>
          <w:sz w:val="16"/>
          <w:szCs w:val="16"/>
          <w:color w:val="auto"/>
        </w:rPr>
        <w:t>Within 90 days of shipment except Residual approach for certain subscription licenses which are paid for over time</w:t>
      </w:r>
    </w:p>
    <w:p>
      <w:pPr>
        <w:spacing w:after="0" w:line="5" w:lineRule="exact"/>
        <w:rPr>
          <w:sz w:val="20"/>
          <w:szCs w:val="20"/>
          <w:color w:val="auto"/>
        </w:rPr>
      </w:pPr>
    </w:p>
    <w:p>
      <w:pPr>
        <w:sectPr>
          <w:pgSz w:w="11900" w:h="16838" w:orient="portrait"/>
          <w:cols w:equalWidth="0" w:num="2">
            <w:col w:w="5920" w:space="180"/>
            <w:col w:w="53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Appliances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When control of the appliances passes to the customer;</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Within 90 days of delivery</w:t>
            </w:r>
          </w:p>
        </w:tc>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Residual approach</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typically upon delivery</w:t>
            </w:r>
          </w:p>
        </w:tc>
        <w:tc>
          <w:tcPr>
            <w:tcW w:w="234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Software Updates</w:t>
            </w:r>
          </w:p>
        </w:tc>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the beginning of the contract</w:t>
            </w:r>
          </w:p>
        </w:tc>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Observable in renewal transactions</w:t>
            </w:r>
          </w:p>
        </w:tc>
      </w:tr>
      <w:tr>
        <w:trPr>
          <w:trHeight w:val="219"/>
        </w:trPr>
        <w:tc>
          <w:tcPr>
            <w:tcW w:w="2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3000" w:type="dxa"/>
            <w:vAlign w:val="bottom"/>
            <w:tcBorders>
              <w:bottom w:val="single" w:sz="8" w:color="CCEEFF"/>
            </w:tcBorders>
            <w:shd w:val="clear" w:color="auto" w:fill="CCEEFF"/>
          </w:tcPr>
          <w:p>
            <w:pPr>
              <w:spacing w:after="0"/>
              <w:rPr>
                <w:sz w:val="19"/>
                <w:szCs w:val="19"/>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rPr>
              <w:t>Customer Support</w:t>
            </w:r>
          </w:p>
        </w:tc>
        <w:tc>
          <w:tcPr>
            <w:tcW w:w="3960" w:type="dxa"/>
            <w:vAlign w:val="bottom"/>
          </w:tcPr>
          <w:p>
            <w:pPr>
              <w:ind w:left="120"/>
              <w:spacing w:after="0"/>
              <w:rPr>
                <w:sz w:val="20"/>
                <w:szCs w:val="20"/>
                <w:color w:val="auto"/>
              </w:rPr>
            </w:pPr>
            <w:r>
              <w:rPr>
                <w:rFonts w:ascii="Arial" w:cs="Arial" w:eastAsia="Arial" w:hAnsi="Arial"/>
                <w:sz w:val="16"/>
                <w:szCs w:val="16"/>
                <w:color w:val="auto"/>
                <w:w w:val="92"/>
              </w:rPr>
              <w:t>Ratably over the course of the support contract (over time)</w:t>
            </w:r>
          </w:p>
        </w:tc>
        <w:tc>
          <w:tcPr>
            <w:tcW w:w="2340" w:type="dxa"/>
            <w:vAlign w:val="bottom"/>
          </w:tcPr>
          <w:p>
            <w:pPr>
              <w:ind w:left="40"/>
              <w:spacing w:after="0"/>
              <w:rPr>
                <w:sz w:val="20"/>
                <w:szCs w:val="20"/>
                <w:color w:val="auto"/>
              </w:rPr>
            </w:pPr>
            <w:r>
              <w:rPr>
                <w:rFonts w:ascii="Arial" w:cs="Arial" w:eastAsia="Arial" w:hAnsi="Arial"/>
                <w:sz w:val="16"/>
                <w:szCs w:val="16"/>
                <w:color w:val="auto"/>
              </w:rPr>
              <w:t>At the beginning of the contract</w:t>
            </w:r>
          </w:p>
        </w:tc>
        <w:tc>
          <w:tcPr>
            <w:tcW w:w="3000" w:type="dxa"/>
            <w:vAlign w:val="bottom"/>
          </w:tcPr>
          <w:p>
            <w:pPr>
              <w:ind w:left="200"/>
              <w:spacing w:after="0"/>
              <w:rPr>
                <w:sz w:val="20"/>
                <w:szCs w:val="20"/>
                <w:color w:val="auto"/>
              </w:rPr>
            </w:pPr>
            <w:r>
              <w:rPr>
                <w:rFonts w:ascii="Arial" w:cs="Arial" w:eastAsia="Arial" w:hAnsi="Arial"/>
                <w:sz w:val="16"/>
                <w:szCs w:val="16"/>
                <w:color w:val="auto"/>
              </w:rPr>
              <w:t>Observable in renewal transactions</w:t>
            </w:r>
          </w:p>
        </w:tc>
      </w:tr>
      <w:tr>
        <w:trPr>
          <w:trHeight w:val="206"/>
        </w:trPr>
        <w:tc>
          <w:tcPr>
            <w:tcW w:w="2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period</w:t>
            </w:r>
          </w:p>
        </w:tc>
        <w:tc>
          <w:tcPr>
            <w:tcW w:w="3000" w:type="dxa"/>
            <w:vAlign w:val="bottom"/>
          </w:tcPr>
          <w:p>
            <w:pPr>
              <w:spacing w:after="0"/>
              <w:rPr>
                <w:sz w:val="17"/>
                <w:szCs w:val="17"/>
                <w:color w:val="auto"/>
              </w:rPr>
            </w:pPr>
          </w:p>
        </w:tc>
      </w:tr>
      <w:tr>
        <w:trPr>
          <w:trHeight w:val="33"/>
        </w:trPr>
        <w:tc>
          <w:tcPr>
            <w:tcW w:w="2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Professional Services</w:t>
            </w:r>
          </w:p>
        </w:tc>
        <w:tc>
          <w:tcPr>
            <w:tcW w:w="396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r>
      <w:tr>
        <w:trPr>
          <w:trHeight w:val="220"/>
        </w:trPr>
        <w:tc>
          <w:tcPr>
            <w:tcW w:w="2080" w:type="dxa"/>
            <w:vAlign w:val="bottom"/>
          </w:tcPr>
          <w:p>
            <w:pPr>
              <w:ind w:left="160"/>
              <w:spacing w:after="0"/>
              <w:rPr>
                <w:sz w:val="20"/>
                <w:szCs w:val="20"/>
                <w:color w:val="auto"/>
              </w:rPr>
            </w:pPr>
            <w:r>
              <w:rPr>
                <w:rFonts w:ascii="Arial" w:cs="Arial" w:eastAsia="Arial" w:hAnsi="Arial"/>
                <w:sz w:val="16"/>
                <w:szCs w:val="16"/>
                <w:color w:val="auto"/>
                <w:w w:val="95"/>
              </w:rPr>
              <w:t>Other Professional Services</w:t>
            </w:r>
          </w:p>
        </w:tc>
        <w:tc>
          <w:tcPr>
            <w:tcW w:w="3960" w:type="dxa"/>
            <w:vAlign w:val="bottom"/>
          </w:tcPr>
          <w:p>
            <w:pPr>
              <w:ind w:left="120"/>
              <w:spacing w:after="0"/>
              <w:rPr>
                <w:sz w:val="20"/>
                <w:szCs w:val="20"/>
                <w:color w:val="auto"/>
              </w:rPr>
            </w:pPr>
            <w:r>
              <w:rPr>
                <w:rFonts w:ascii="Arial" w:cs="Arial" w:eastAsia="Arial" w:hAnsi="Arial"/>
                <w:sz w:val="16"/>
                <w:szCs w:val="16"/>
                <w:color w:val="auto"/>
              </w:rPr>
              <w:t>As work is performed (over time)</w:t>
            </w:r>
          </w:p>
        </w:tc>
        <w:tc>
          <w:tcPr>
            <w:tcW w:w="2340" w:type="dxa"/>
            <w:vAlign w:val="bottom"/>
          </w:tcPr>
          <w:p>
            <w:pPr>
              <w:ind w:left="40"/>
              <w:spacing w:after="0"/>
              <w:rPr>
                <w:sz w:val="20"/>
                <w:szCs w:val="20"/>
                <w:color w:val="auto"/>
              </w:rPr>
            </w:pPr>
            <w:r>
              <w:rPr>
                <w:rFonts w:ascii="Arial" w:cs="Arial" w:eastAsia="Arial" w:hAnsi="Arial"/>
                <w:sz w:val="16"/>
                <w:szCs w:val="16"/>
                <w:color w:val="auto"/>
                <w:w w:val="99"/>
              </w:rPr>
              <w:t>Within 90 days of services being</w:t>
            </w:r>
          </w:p>
        </w:tc>
        <w:tc>
          <w:tcPr>
            <w:tcW w:w="3000" w:type="dxa"/>
            <w:vAlign w:val="bottom"/>
          </w:tcPr>
          <w:p>
            <w:pPr>
              <w:ind w:left="200"/>
              <w:spacing w:after="0"/>
              <w:rPr>
                <w:sz w:val="20"/>
                <w:szCs w:val="20"/>
                <w:color w:val="auto"/>
              </w:rPr>
            </w:pPr>
            <w:r>
              <w:rPr>
                <w:rFonts w:ascii="Arial" w:cs="Arial" w:eastAsia="Arial" w:hAnsi="Arial"/>
                <w:sz w:val="16"/>
                <w:szCs w:val="16"/>
                <w:color w:val="auto"/>
              </w:rPr>
              <w:t>Observable in transactions without</w:t>
            </w:r>
          </w:p>
        </w:tc>
      </w:tr>
      <w:tr>
        <w:trPr>
          <w:trHeight w:val="203"/>
        </w:trPr>
        <w:tc>
          <w:tcPr>
            <w:tcW w:w="2080" w:type="dxa"/>
            <w:vAlign w:val="bottom"/>
          </w:tcPr>
          <w:p>
            <w:pPr>
              <w:ind w:left="160"/>
              <w:spacing w:after="0"/>
              <w:rPr>
                <w:sz w:val="20"/>
                <w:szCs w:val="20"/>
                <w:color w:val="auto"/>
              </w:rPr>
            </w:pPr>
            <w:r>
              <w:rPr>
                <w:rFonts w:ascii="Arial" w:cs="Arial" w:eastAsia="Arial" w:hAnsi="Arial"/>
                <w:sz w:val="16"/>
                <w:szCs w:val="16"/>
                <w:color w:val="auto"/>
              </w:rPr>
              <w:t>(except for education</w:t>
            </w:r>
          </w:p>
        </w:tc>
        <w:tc>
          <w:tcPr>
            <w:tcW w:w="396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performed</w:t>
            </w:r>
          </w:p>
        </w:tc>
        <w:tc>
          <w:tcPr>
            <w:tcW w:w="3000" w:type="dxa"/>
            <w:vAlign w:val="bottom"/>
          </w:tcPr>
          <w:p>
            <w:pPr>
              <w:ind w:left="200"/>
              <w:spacing w:after="0"/>
              <w:rPr>
                <w:sz w:val="20"/>
                <w:szCs w:val="20"/>
                <w:color w:val="auto"/>
              </w:rPr>
            </w:pPr>
            <w:r>
              <w:rPr>
                <w:rFonts w:ascii="Arial" w:cs="Arial" w:eastAsia="Arial" w:hAnsi="Arial"/>
                <w:sz w:val="16"/>
                <w:szCs w:val="16"/>
                <w:color w:val="auto"/>
              </w:rPr>
              <w:t>multiple performance obligations</w:t>
            </w:r>
          </w:p>
        </w:tc>
      </w:tr>
      <w:tr>
        <w:trPr>
          <w:trHeight w:val="206"/>
        </w:trPr>
        <w:tc>
          <w:tcPr>
            <w:tcW w:w="2080" w:type="dxa"/>
            <w:vAlign w:val="bottom"/>
          </w:tcPr>
          <w:p>
            <w:pPr>
              <w:ind w:left="160"/>
              <w:spacing w:after="0"/>
              <w:rPr>
                <w:sz w:val="20"/>
                <w:szCs w:val="20"/>
                <w:color w:val="auto"/>
              </w:rPr>
            </w:pPr>
            <w:r>
              <w:rPr>
                <w:rFonts w:ascii="Arial" w:cs="Arial" w:eastAsia="Arial" w:hAnsi="Arial"/>
                <w:sz w:val="16"/>
                <w:szCs w:val="16"/>
                <w:color w:val="auto"/>
              </w:rPr>
              <w:t>services)</w:t>
            </w:r>
          </w:p>
        </w:tc>
        <w:tc>
          <w:tcPr>
            <w:tcW w:w="39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5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6"/>
          <w:szCs w:val="16"/>
          <w:color w:val="auto"/>
        </w:rPr>
        <w:t>Education Services</w:t>
      </w:r>
      <w:r>
        <w:rPr>
          <w:sz w:val="20"/>
          <w:szCs w:val="20"/>
          <w:color w:val="auto"/>
        </w:rPr>
        <w:tab/>
      </w:r>
      <w:r>
        <w:rPr>
          <w:rFonts w:ascii="Arial" w:cs="Arial" w:eastAsia="Arial" w:hAnsi="Arial"/>
          <w:sz w:val="14"/>
          <w:szCs w:val="14"/>
          <w:color w:val="auto"/>
        </w:rPr>
        <w:t>When the class is taught (point in time)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services being</w:t>
      </w:r>
      <w:r>
        <w:rPr>
          <w:sz w:val="20"/>
          <w:szCs w:val="20"/>
          <w:color w:val="auto"/>
        </w:rPr>
        <w:tab/>
      </w:r>
      <w:r>
        <w:rPr>
          <w:rFonts w:ascii="Arial" w:cs="Arial" w:eastAsia="Arial" w:hAnsi="Arial"/>
          <w:sz w:val="14"/>
          <w:szCs w:val="14"/>
          <w:color w:val="auto"/>
        </w:rPr>
        <w:t>Observable in transactions without</w:t>
      </w:r>
    </w:p>
    <w:p>
      <w:pPr>
        <w:spacing w:after="0" w:line="22" w:lineRule="exact"/>
        <w:rPr>
          <w:sz w:val="20"/>
          <w:szCs w:val="20"/>
          <w:color w:val="auto"/>
        </w:rPr>
      </w:pPr>
    </w:p>
    <w:p>
      <w:pPr>
        <w:spacing w:after="0"/>
        <w:tabs>
          <w:tab w:leader="none" w:pos="2480" w:val="left"/>
        </w:tabs>
        <w:rPr>
          <w:sz w:val="20"/>
          <w:szCs w:val="20"/>
          <w:color w:val="auto"/>
        </w:rPr>
      </w:pPr>
      <w:r>
        <w:rPr>
          <w:rFonts w:ascii="Arial" w:cs="Arial" w:eastAsia="Arial" w:hAnsi="Arial"/>
          <w:sz w:val="15"/>
          <w:szCs w:val="15"/>
          <w:color w:val="auto"/>
        </w:rPr>
        <w:t>performed</w:t>
      </w:r>
      <w:r>
        <w:rPr>
          <w:sz w:val="20"/>
          <w:szCs w:val="20"/>
          <w:color w:val="auto"/>
        </w:rPr>
        <w:tab/>
      </w:r>
      <w:r>
        <w:rPr>
          <w:rFonts w:ascii="Arial" w:cs="Arial" w:eastAsia="Arial" w:hAnsi="Arial"/>
          <w:sz w:val="15"/>
          <w:szCs w:val="15"/>
          <w:color w:val="auto"/>
        </w:rPr>
        <w:t>multiple performance obligations</w:t>
      </w:r>
    </w:p>
    <w:p>
      <w:pPr>
        <w:spacing w:after="0" w:line="200" w:lineRule="exact"/>
        <w:rPr>
          <w:sz w:val="20"/>
          <w:szCs w:val="20"/>
          <w:color w:val="auto"/>
        </w:rPr>
      </w:pPr>
    </w:p>
    <w:p>
      <w:pPr>
        <w:sectPr>
          <w:pgSz w:w="11900" w:h="16838" w:orient="portrait"/>
          <w:cols w:equalWidth="0" w:num="2">
            <w:col w:w="5380" w:space="720"/>
            <w:col w:w="5300"/>
          </w:cols>
          <w:pgMar w:left="240" w:top="125" w:right="259" w:bottom="1440" w:gutter="0" w:footer="0" w:header="0"/>
          <w:type w:val="continuous"/>
        </w:sectPr>
      </w:pP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12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7"/>
              </w:rPr>
              <w:t>Three Months Ended June 30, 2019</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Americas</w:t>
            </w:r>
          </w:p>
        </w:tc>
        <w:tc>
          <w:tcPr>
            <w:tcW w:w="38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APAC</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63,674</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57,730</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21,667</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10,085</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89,482</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9,047</w:t>
            </w:r>
          </w:p>
        </w:tc>
      </w:tr>
      <w:tr>
        <w:trPr>
          <w:trHeight w:val="257"/>
        </w:trPr>
        <w:tc>
          <w:tcPr>
            <w:tcW w:w="2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93,817</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45,724</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162,203</w:t>
            </w:r>
          </w:p>
        </w:tc>
      </w:tr>
      <w:tr>
        <w:trPr>
          <w:trHeight w:val="20"/>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7"/>
              </w:rPr>
              <w:t>Three Months Ended June 30, 2018</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Americas</w:t>
            </w:r>
          </w:p>
        </w:tc>
        <w:tc>
          <w:tcPr>
            <w:tcW w:w="38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APAC</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75,050</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60,426</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20,359</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9,621</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90,406</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10,721</w:t>
            </w:r>
          </w:p>
        </w:tc>
      </w:tr>
      <w:tr>
        <w:trPr>
          <w:trHeight w:val="257"/>
        </w:trPr>
        <w:tc>
          <w:tcPr>
            <w:tcW w:w="2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108,327</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45,610</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22,240</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176,177</w:t>
            </w:r>
          </w:p>
        </w:tc>
      </w:tr>
      <w:tr>
        <w:trPr>
          <w:trHeight w:val="20"/>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certain contracts the Company allows customers to pay for term-based, or subscription, software licenses and products over the term of the license.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in excess of amounts billed are recorded as unbilled receivables.</w:t>
      </w:r>
    </w:p>
    <w:p>
      <w:pPr>
        <w:sectPr>
          <w:pgSz w:w="11900" w:h="16838" w:orient="portrait"/>
          <w:cols w:equalWidth="0" w:num="1">
            <w:col w:w="11400"/>
          </w:cols>
          <w:pgMar w:left="240" w:top="125" w:right="259" w:bottom="1440" w:gutter="0" w:footer="0" w:header="0"/>
          <w:type w:val="continuous"/>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123"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Unbilled</w:t>
            </w:r>
          </w:p>
        </w:tc>
        <w:tc>
          <w:tcPr>
            <w:tcW w:w="2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Receivable</w:t>
            </w:r>
          </w:p>
        </w:tc>
        <w:tc>
          <w:tcPr>
            <w:tcW w:w="2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Receivable</w:t>
            </w:r>
          </w:p>
        </w:tc>
        <w:tc>
          <w:tcPr>
            <w:tcW w:w="22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w:t>
            </w:r>
          </w:p>
        </w:tc>
        <w:tc>
          <w:tcPr>
            <w:tcW w:w="22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(long-term)</w:t>
            </w:r>
          </w:p>
        </w:tc>
        <w:tc>
          <w:tcPr>
            <w:tcW w:w="2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99,257</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(38,199)</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(1,319)</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(3,217)</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June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96,633</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accounts receivable is primarily a result of a sequential decrease in software and products revenue relative to the fourth quarter of the prior year as well as a concentration of customer support renewals in the second half of the prior year. The decrease in deferred revenue is primarily the result of a strengthening of the U.S. dollar and a sequential decrease in deferred customer support revenue related to software and products revenue transactions and customer support renewals relative to the fourth quarter of fiscal 2019.</w:t>
      </w:r>
    </w:p>
    <w:p>
      <w:pPr>
        <w:spacing w:after="0" w:line="187" w:lineRule="exact"/>
        <w:rPr>
          <w:sz w:val="20"/>
          <w:szCs w:val="20"/>
          <w:color w:val="auto"/>
        </w:rPr>
      </w:pPr>
    </w:p>
    <w:p>
      <w:pPr>
        <w:ind w:right="480" w:firstLine="486"/>
        <w:spacing w:after="0" w:line="264" w:lineRule="auto"/>
        <w:rPr>
          <w:sz w:val="20"/>
          <w:szCs w:val="20"/>
          <w:color w:val="auto"/>
        </w:rPr>
      </w:pPr>
      <w:r>
        <w:rPr>
          <w:rFonts w:ascii="Arial" w:cs="Arial" w:eastAsia="Arial" w:hAnsi="Arial"/>
          <w:sz w:val="18"/>
          <w:szCs w:val="18"/>
          <w:color w:val="auto"/>
        </w:rPr>
        <w:t>The amount of revenue recognized in fiscal 2020 that was included in the March 31, 2019 balance of deferred revenue was $87,912 for the three months ended June 30, 2019. The vast majority of this revenue consists of customer support arrangements. The amount of revenue recognized from performance obligations satisfied in prior periods was not significant.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380" w:firstLine="486"/>
        <w:spacing w:after="0" w:line="279" w:lineRule="auto"/>
        <w:rPr>
          <w:sz w:val="20"/>
          <w:szCs w:val="20"/>
          <w:color w:val="auto"/>
        </w:rPr>
      </w:pPr>
      <w:r>
        <w:rPr>
          <w:rFonts w:ascii="Arial" w:cs="Arial" w:eastAsia="Arial" w:hAnsi="Arial"/>
          <w:sz w:val="17"/>
          <w:szCs w:val="17"/>
          <w:color w:val="auto"/>
        </w:rPr>
        <w:t>In addition to the amounts included in deferred revenue as of June 30, 2019, $25,092 of revenue may be recognized from remaining performance obligations, of which $3,096 was related to software and products. The Company expects the vast majority of this software and products revenue to be recognized next quarter. The vast majority of the services revenue is related to other professional services which may be recognized over the next twelve months but is contingent upon a number of factors, including customers’ needs and schedules.</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Common Share</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diluted weighted average shares outstanding exclude outstanding stock options, restricted stock units, performance restricted stock units and shares to be purchased under the employee stock purchase plan totaling 4,925 and 6,274 for the three months ended June 30, 2019 and 2018, respectively, because the effect would have been anti-dilutive.</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From time to time, the Company is subject to claims in legal proceedings arising in the normal course of business. The Company does not believe that it is currently party to any pending legal action that could reasonably be expected to have a material adverse effect on its business or operating results.</w:t>
      </w: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2019, $159,974 remained in the Company's current stock repurchase authorization which expires on March 31, 2020.</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General and administrative and Restructuring expenses for the three months ended June 30, 2019 and 2018. Stock-based compensation is attributable to stock options, restricted stock units, performance based awards and the employee stock purchase plan.</w:t>
      </w:r>
    </w:p>
    <w:p>
      <w:pPr>
        <w:spacing w:after="0" w:line="335" w:lineRule="exact"/>
        <w:rPr>
          <w:sz w:val="20"/>
          <w:szCs w:val="20"/>
          <w:color w:val="auto"/>
        </w:rPr>
      </w:pPr>
    </w:p>
    <w:tbl>
      <w:tblPr>
        <w:tblLayout w:type="fixed"/>
        <w:tblInd w:w="154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r>
      <w:tr>
        <w:trPr>
          <w:trHeight w:val="264"/>
        </w:trPr>
        <w:tc>
          <w:tcPr>
            <w:tcW w:w="52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7,646</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9,524</w:t>
            </w:r>
          </w:p>
        </w:tc>
      </w:tr>
      <w:tr>
        <w:trPr>
          <w:trHeight w:val="27"/>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4,053</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4,599</w:t>
            </w:r>
          </w:p>
        </w:tc>
      </w:tr>
      <w:tr>
        <w:trPr>
          <w:trHeight w:val="27"/>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14,750</w:t>
            </w:r>
          </w:p>
        </w:tc>
        <w:tc>
          <w:tcPr>
            <w:tcW w:w="160" w:type="dxa"/>
            <w:vAlign w:val="bottom"/>
          </w:tcPr>
          <w:p>
            <w:pPr>
              <w:spacing w:after="0"/>
              <w:rPr>
                <w:sz w:val="20"/>
                <w:szCs w:val="20"/>
                <w:color w:val="auto"/>
              </w:rPr>
            </w:pP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18,004</w:t>
            </w:r>
          </w:p>
        </w:tc>
      </w:tr>
      <w:tr>
        <w:trPr>
          <w:trHeight w:val="27"/>
        </w:trPr>
        <w:tc>
          <w:tcPr>
            <w:tcW w:w="5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As of June 30, 2019, there was $76,915 of unrecognized stock-based compensation expense related to non-vested stock option and restricted stock unit awards that is expected to be recognized over a weighted average period of 1.87 years. The Company accounts for forfeitures as they occur. To the extent that awards are forfeited, stock-based compensation will be different from the Company’s current estimate.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three months ended June 30, 2019 is as follows:</w:t>
      </w:r>
    </w:p>
    <w:p>
      <w:pPr>
        <w:spacing w:after="0" w:line="31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8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2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2019</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June 30, 2019</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1,832</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weighted average fair value of restricted stock units awarded was $49.55 per unit during the three months ended June 30, 2019, and $71.58 per unit during the three months ended June 30, 2018. The weighted average fair value of awards includes the awards with a market condition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three months ended June 30, 2019, the Company granted 88 performance restricted stock units ("PSU") to certain executives. Vesting of these awards is contingent upon i) the Company meeting certain company-wide revenue and non-GAAP performance goals (performance-based) in fiscal 2020 and</w:t>
      </w:r>
    </w:p>
    <w:p>
      <w:pPr>
        <w:ind w:right="60" w:firstLine="8"/>
        <w:spacing w:after="0" w:line="295" w:lineRule="auto"/>
        <w:tabs>
          <w:tab w:leader="none" w:pos="20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customary service periods. The awards vest over three years and have a maximum potential to vest at 200% (176 shares) based on actual fiscal 2020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the three months ended June 30, 2019, the Company granted 88 market performance stock units to certain executives. The vesting of these awards is contingent upon the Company meeting certain total shareholder return ("TSR") levels as compared to the Russell 3000 market index over the next three years. The awards vest in three annual tranches and have a maximum potential to vest at 200% (176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three months ended June 30, 2019 was $48.26 per unit. The awards are included in the restricted stock unit table.</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Income tax expense was $2,095 in the three months ended June 30, 2019 compared to an expense of $2,649 in the three months ended June 30, 2018. In fiscal 2018 the Company determined that it was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Company’s position remains unchanged as of the period ending June 30, 2019. The tax expense for the three months ended June 30, 2019 relates primarily to current foreign taxes.</w:t>
      </w:r>
    </w:p>
    <w:p>
      <w:pPr>
        <w:spacing w:after="0" w:line="3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Restructuring</w:t>
      </w:r>
    </w:p>
    <w:p>
      <w:pPr>
        <w:spacing w:after="0" w:line="17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fiscal 2019, the Company initiated a restructuring plan to increase efficiency in its sales, marketing and distribution functions as well as reduce costs across all functional areas. During the quarter, the Company incurred total restructuring charges of $4,079. These restructuring charges relate primarily to severance and related costs associated with headcount reductions and lease abandonment charges associated with one office lease. These charges include $368 of stock-based compensation related to modifications of existing unvested awards granted to certain employees impacted by the restructuring plan.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the Company’s restructuring accruals for the three months ended June 30, 2019 is summarized as follows:</w:t>
      </w:r>
    </w:p>
    <w:p>
      <w:pPr>
        <w:spacing w:after="0" w:line="312"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Severance &amp; payroll</w:t>
            </w:r>
          </w:p>
        </w:tc>
      </w:tr>
      <w:tr>
        <w:trPr>
          <w:trHeight w:val="205"/>
        </w:trPr>
        <w:tc>
          <w:tcPr>
            <w:tcW w:w="5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related charges</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w:t>
            </w:r>
          </w:p>
        </w:tc>
      </w:tr>
      <w:tr>
        <w:trPr>
          <w:trHeight w:val="270"/>
        </w:trPr>
        <w:tc>
          <w:tcPr>
            <w:tcW w:w="5180" w:type="dxa"/>
            <w:vAlign w:val="bottom"/>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3,143</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Accrual reversals</w:t>
            </w:r>
          </w:p>
        </w:tc>
        <w:tc>
          <w:tcPr>
            <w:tcW w:w="12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300" w:right="40" w:firstLine="5"/>
        <w:spacing w:after="0" w:line="264" w:lineRule="auto"/>
        <w:tabs>
          <w:tab w:leader="none" w:pos="15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charges of $3,143 in the table above do not include restructuring charges for one of the Company's leases in the amount of $936. Under the new lease standard (ASC 842) the Company is now required to account for the impairment as charge to the Statement of Operations and a reduction in the carrying amount of the right-of-use asset.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the outstanding restructuring accruals primarily relate to future severance payments.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2019.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we also started selling appliances that integrate our software with hardware and address a wide-range of business needs and use cases, ranging from support for remote or branch offices with limited IT staff up to large corporate data centers. We also provide our customers with a broad range of professional services that are delivered by our worldwide support and field operations. As of June 30, 2019, we had licensed our software applications to over 28,000 registered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derive a significant portion of our total revenues from sales of licenses of our software applications and products.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39% and 43% of our total revenues for the three months ended June 30, 2019 and 2018, respectively.</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62% and 59% of our total software and products revenue in the three months ended June 30, 2019 and 2018, respectively.</w:t>
      </w:r>
    </w:p>
    <w:p>
      <w:pPr>
        <w:spacing w:after="0" w:line="13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Software and products revenue generated through indirect distribution channels was 97% of total software and products revenue in the three months ended June 30, 2019 and was 84% of total software revenue in the three months ended June 30, 2018. Software and products revenue generated through direct distribution channels was 3% of total software and products revenue in the three months ended June 30, 2019 and was 16% of total software revenue in the three months ended June 30, 2018. The dollar value of software and products revenue generated through indirect distribution channels decreased $1.3 million, or 2%, in the three months ended June 30, 2019 compared to the three months ended June 30, 2018. The dollar value of software and products revenue generated through direct distribution channels decreased $10.1 million, or 83%, in the three months ended June 30, 2019 compared to the three months ended June 30, 2018.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21"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also have non-exclusive distribution agreements covering our North American commercial markets and our U.S. Federal Government market with Arrow Enterprise Computing Solutions, Inc. ("Arrow"), a subsidiary of Arrow Electronics, Inc., and Tech Data Corporation ("Tech Data"). Pursuant to these distribution agreements, these distributors’ primary role is to enable a more efficient and effective distribution channel for our products and services by managing our reseller partners and leveraging their own industry experience. We generated 38% and 37% of our total revenues through Arrow in the three months ended June 30, 2019 and 2018, respectively. If Arrow were to discontinue or reduce the sales of our products or if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6"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agreement with Arrow was terminated, and if we were unable to take back the management of our reseller channel or find another North American distributor to replace Arrow, then it could have a material adverse effect on our future business.</w:t>
      </w:r>
    </w:p>
    <w:p>
      <w:pPr>
        <w:spacing w:after="0" w:line="11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services revenue was 61% of our total revenues for the three months ended June 30, 2019 and 57% of our total revenues for the three months ended June 30, 2018.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11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Sales outside the United States were 50% of our total revenue for the three months ended June 30, 2019 and 46% of our total revenue for the three months ended June 30, 2018.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Using the average foreign currency exchange rates from the three months ended June 30, 2018 our software and products revenue would have been higher by $1.5 million, our services revenue would have been higher by $2.3 million, our cost of sales would have been higher by $0.6 million and our operating expenses would have been higher by $2.3 million from non-U.S. operations for the three months ended June 30, 2019.</w:t>
      </w:r>
    </w:p>
    <w:p>
      <w:pPr>
        <w:spacing w:after="0" w:line="11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$0.1 million and gains of $0.5 million in the three months ended June 30, 2019 and 2018,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8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during the three months ended June 30, 2019 as compared to the critical accounting policies and estimates disclosed in “Management’s Discussion and Analysis of Financial Condition and Results of Operations - Critical Accounting Policies” included in our Annual Report on Form 10-K for the year ended March 31, 2019. In addition, please see Note 2 of Notes to the Condensed Consolidated Financial Statements included in this Quarterly Report on Form 10-Q and Note 2 of the Notes to Consolidated Financial Statements included in our fiscal 2019 Annual Report on Form 10-K filed for a description of our accounting policies.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Total revenues decreased $14.0 million, or 8%, from $176.2 million in the three months ended June 30, 2018 to $162.2 million in the three months ended June 30, 2019.</w:t>
      </w:r>
    </w:p>
    <w:p>
      <w:pPr>
        <w:spacing w:after="0" w:line="116"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i w:val="1"/>
          <w:iCs w:val="1"/>
          <w:color w:val="auto"/>
        </w:rPr>
        <w:t xml:space="preserve">Software and Products Revenue. </w:t>
      </w:r>
      <w:r>
        <w:rPr>
          <w:rFonts w:ascii="Arial" w:cs="Arial" w:eastAsia="Arial" w:hAnsi="Arial"/>
          <w:sz w:val="18"/>
          <w:szCs w:val="18"/>
          <w:color w:val="auto"/>
        </w:rPr>
        <w:t>Software and products revenue decreased $11.4 million, or 15%, from $75.1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to $63.7 million in the three months ended June 30, 2019. Software and products revenue represented 39% of our total revenues in the three months ended June 30, 2019 and 43% in the three months ended June 30, 2018.</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APAC (Australia, New Zealand, Southeast Asia, China). Americas, EMEA and APAC represented 49%, 34% and 17% of total software and products revenue, respectively, for the three months ended June 30, 2019. The year over year decline of software and products revenue in the Americas was 26% and EMEA was 3%, while APAC increased 2%.</w:t>
      </w:r>
    </w:p>
    <w:p>
      <w:pPr>
        <w:spacing w:after="0" w:line="133" w:lineRule="exact"/>
        <w:rPr>
          <w:sz w:val="20"/>
          <w:szCs w:val="20"/>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decrease in Americas software and products revenue was primarily the result of a decrease in the number of enterprise revenue transactions partially offset by an increase in the average enterprise transaction selling price.</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EMEA software and products revenue decreased primarily as a result of a decrease in non-enterprise transaction revenue. This decrease was partially offset by an increase in enterprise transaction revenue driven by an increase in the average enterprise transaction selling price.</w:t>
      </w:r>
    </w:p>
    <w:p>
      <w:pPr>
        <w:spacing w:after="0" w:line="92" w:lineRule="exact"/>
        <w:rPr>
          <w:rFonts w:ascii="Arial" w:cs="Arial" w:eastAsia="Arial" w:hAnsi="Arial"/>
          <w:sz w:val="17"/>
          <w:szCs w:val="17"/>
          <w:color w:val="auto"/>
        </w:rPr>
      </w:pPr>
    </w:p>
    <w:p>
      <w:pPr>
        <w:ind w:left="660" w:right="2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increase in APAC software and products revenue was primarily the result of an increase in enterprise revenue partially offset by a decrease in non-enterprise revenue. Using exchanges rates from the prior year quarter, the increase in software and products revenue would have been 7%.</w:t>
      </w:r>
    </w:p>
    <w:p>
      <w:pPr>
        <w:spacing w:after="0" w:line="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Software and products revenue derived from enterprise transactions (transactions greater than $0.1 million) represented 62% of our software and products revenue in the three months ended June 30, 2019 and 59% of our software and products revenue in the three months ended June 30, 2018. Enterprise transactions decreased by $4.8 million, or 11%, in the three months ended June 30, 2019 compared to the three months ended June 30, 2018. This was driven by a 27% decrease in the number of enterprise transactions. The average dollar amount of such transactions was approximately $298 in the three months ended June 30, 2019 and $243 in the three months ended June 30, 2018.</w:t>
      </w:r>
    </w:p>
    <w:p>
      <w:pPr>
        <w:spacing w:after="0" w:line="13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decreased $2.6 million, or 3%, from $101.1 million in the three months ended June 30, 2018 to $98.5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2019. Services revenue represented 61% of our total revenues in the three months ended June 30, 2019 and 57% in the three months ended June 30, 2018. The decrease in services revenue is due to a $1.7 million decrease in training and consulting service revenue and a $0.9 million decrease in revenue from customer support agreements.</w:t>
      </w:r>
    </w:p>
    <w:p>
      <w:pPr>
        <w:spacing w:after="0" w:line="13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 xml:space="preserve">Cost of Software and Products Revenues. </w:t>
      </w:r>
      <w:r>
        <w:rPr>
          <w:rFonts w:ascii="Arial" w:cs="Arial" w:eastAsia="Arial" w:hAnsi="Arial"/>
          <w:sz w:val="16"/>
          <w:szCs w:val="16"/>
          <w:color w:val="auto"/>
        </w:rPr>
        <w:t>Total cost of software and products revenues increased $1.9 million, from $4.1 million in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2018 to $6.0 million in the three months ended June 30, 2019. Cost of software and product revenue represented 9% of software and product revenue in the three months ended June 30, 2019 compared to 5% in the three months ended June 30, 2018.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increase.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Cost of Services Revenues. </w:t>
      </w:r>
      <w:r>
        <w:rPr>
          <w:rFonts w:ascii="Arial" w:cs="Arial" w:eastAsia="Arial" w:hAnsi="Arial"/>
          <w:sz w:val="17"/>
          <w:szCs w:val="17"/>
          <w:color w:val="auto"/>
        </w:rPr>
        <w:t>Total cost of services revenues decreased $0.8 million, or 3%, from $23.5 million in the three months ended June 30,</w:t>
      </w:r>
    </w:p>
    <w:p>
      <w:pPr>
        <w:spacing w:after="0" w:line="35"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2018 to $22.7 million in the three months ended June 30, 2019. The gross margin of our services revenue was 77% for the both the three months ended June 30, 2019 and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$10.2 million, or 10%, from $97.6 million in the three months ended June 30,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$87.4 million in the three months ended June 30, 2019. The decrease is due to a $14.6 million decrease in employee compensation and related expenses mainly attributable to our restructuring and reorganization initiatives which was partially offset by an increase of $2.1 million related to our kick-off event held in the first quarter which was not held in the prior year. Sales and marketing expenses as a percentage of total revenues was 54% and 55% in the three months ended June 30, 2019 and 2018, respectively.</w:t>
      </w:r>
    </w:p>
    <w:p>
      <w:pPr>
        <w:spacing w:after="0" w:line="13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$0.5 million, or 2%, from $24.1 million in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$23.6 million in the three months ended June 30, 2019. The decrease is primarily due to a decline in employee related costs. Research and development expenses as a percentage of total revenues was 15% in the three months ended June 30, 2019 and 14% in the three months ended June 30, 2018. Investing in research and development has been a priority for Commvault, and we anticipate continued spending related to the development of our data and information management software applications.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$0.7 million, or 3%, from $23.2 million in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$22.5 million in the three months ended June 30, 2019. The decrease is primarily due to a decline in employee related costs. General and administrative expenses in the three months ended June 30, 2019 includes $3.3 million of costs related to a non-routine shareholder matter and $0.1 million of net foreign currency transaction losses. General and administrative expenses as a percentage of total revenues was 14% in the three months ended June 30, 2019 and 13% in the three months ended June 30, 2018.</w:t>
      </w:r>
    </w:p>
    <w:p>
      <w:pPr>
        <w:spacing w:after="0" w:line="13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i w:val="1"/>
          <w:iCs w:val="1"/>
          <w:color w:val="auto"/>
        </w:rPr>
        <w:t>Restructuring</w:t>
      </w:r>
      <w:r>
        <w:rPr>
          <w:rFonts w:ascii="Arial" w:cs="Arial" w:eastAsia="Arial" w:hAnsi="Arial"/>
          <w:sz w:val="16"/>
          <w:szCs w:val="16"/>
          <w:color w:val="auto"/>
        </w:rPr>
        <w:t>. In fiscal 2019 we initiated a restructuring plan to increase efficiency in our sales, marketing and distribution functions as well as reduce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across all functional areas. Restructuring expenses were $4.1 million in the three months ended June 30, 2019. These restructuring charges relate primarily to severance and related costs associated with headcount reductions as well as a lease abandonment charge related to the closure of one office. These charges include $0.4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tax expense was $2.1 million in the three months ended June 30, 2019 compared to expense of $2.6 million in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The income tax expense for the year ended June 30, 2019 relates primarily to current foreign taxes.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of June 30, 2019, our cash and cash equivalents balance of $320.8 million primarily consisted of cash and money market funds. In addition, as of June 30, 2019 we have short-term investments invested in U.S. Treasury Bills totaling $130.3 million. In recent fiscal years, our principal source of liquidity has been cash provided by operations.</w:t>
      </w:r>
    </w:p>
    <w:p>
      <w:pPr>
        <w:spacing w:after="0" w:line="12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As of June 30, 2019, the amount of cash and cash equivalents held outside of the United States by our foreign legal entities was approximately $153.0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1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the three months ended June 30, 2019, we repurchased $40.0 million of common stock shares under our share repurchase program. Under our stock repurchase program, repurchased shares are constructively retired and returned to unissued status. Our stock repurchase program has been funded by our existing cash and cash equivalent balances as well as cash flows provided by our operations. As of June 30, 2019, $160.0 million remained in the Company's current stock repurchase authorization which expires March 31, 2020.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31,140</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24,770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18,362</w:t>
            </w:r>
          </w:p>
        </w:tc>
      </w:tr>
      <w:tr>
        <w:trPr>
          <w:trHeight w:val="27"/>
        </w:trPr>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(39,363)</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(11,617)</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1,880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(10,387)</w:t>
            </w:r>
          </w:p>
        </w:tc>
      </w:tr>
      <w:tr>
        <w:trPr>
          <w:trHeight w:val="27"/>
        </w:trPr>
        <w:tc>
          <w:tcPr>
            <w:tcW w:w="4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21,128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Net cash provided by operating activities was $31.1 million in the three months ended June 30, 2019 and $24.8 million in the three months ended June 30, 2018. In the three months ended June 30, 2019, cash provided by operating activities was primarily due to net loss adjusted for the impact of non-cash charges and collection of accounts receivable, partially offset by decreases in deferred revenue and accrued expenses.</w:t>
      </w:r>
    </w:p>
    <w:p>
      <w:pPr>
        <w:spacing w:after="0" w:line="11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Net cash used in investing activities was $0.8 million for the three months ended June 30, 2019 and $18.4 million in the three months ended June 30, 2018. In the three months ended June 30, 2019, cash used in investing activities was related to $0.8 million of capital expenditures.</w:t>
      </w:r>
    </w:p>
    <w:p>
      <w:pPr>
        <w:spacing w:after="0" w:line="9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Net cash used in financing activities was $39.4 million in the three months ended June 30, 2019 and $11.6 million in the three months ended June 30, 2018. The cash used in financing activities in the three months ended June 30, 2019 was the result of $40.0 million of repurchases of common shares partially offset by $0.7 million of proceeds from the exercise of stock options and purchases related to our employee stock purchase program.</w:t>
      </w:r>
    </w:p>
    <w:p>
      <w:pPr>
        <w:spacing w:after="0" w:line="9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Working capital decreased $36.3 million from $328.7 million as of March 31, 2019 to $292.3 million as of June 30, 2019. The net decrease in working capital is due primarily to our use of cash to repurchase common shares.</w:t>
      </w:r>
    </w:p>
    <w:p>
      <w:pPr>
        <w:spacing w:after="0" w:line="11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June 30, 2019 we do not have off-balance sheet financing arrangements, including any relationships with unconsolidated entities or financial partnerships, such as entities often referred to as structured finance or special purpose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June 30, 2019,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As a global company, we face exposure to adverse movements in foreign currency exchange rates. Our international sales are generally denominated in foreign currencies and this revenue could be materially affected by currency fluctuations. Approximately 50% of our sales were outside the United States for the three months ended June 30, 2019.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a net foreign currency transaction loss of $0.1 million in the three months ended June 30, 2019. We recognized a net foreign currency transaction gain of $0.5 million in the three months ended June 30, 2018. The net foreign currency transaction gains and losses recorded in “General and administrative” expenses include settlement gains and losses on forward contracts disclosed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June 30, 2019. Based on that evaluation, the Chief Executive Officer and Chief Financial Officer concluded that our disclosure controls and procedures were effective as of June 30, 2019.</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the quarter, we implemented controls related to the adoption of ASC 842 and the related financial statement reporting. There were no other changes in our internal control over financial reporting that occurred during the first quarter of fiscal 2020 that has materially affected, or is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2019,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first fiscal quarter of the fiscal 2020, we repurchased $40.0 million of common stock, or 829,658 shares, under our share repurchase program. A summary of our repurchases of common stock during the three months ended June 30, 2019 is as follows:</w:t>
      </w:r>
    </w:p>
    <w:p>
      <w:pPr>
        <w:spacing w:after="0" w:line="193"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0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38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2980" w:type="dxa"/>
            <w:vAlign w:val="bottom"/>
            <w:gridSpan w:val="2"/>
          </w:tcPr>
          <w:p>
            <w:pPr>
              <w:ind w:left="1180"/>
              <w:spacing w:after="0"/>
              <w:rPr>
                <w:sz w:val="20"/>
                <w:szCs w:val="20"/>
                <w:color w:val="auto"/>
              </w:rPr>
            </w:pPr>
            <w:r>
              <w:rPr>
                <w:rFonts w:ascii="Arial" w:cs="Arial" w:eastAsia="Arial" w:hAnsi="Arial"/>
                <w:sz w:val="18"/>
                <w:szCs w:val="18"/>
                <w:b w:val="1"/>
                <w:bCs w:val="1"/>
                <w:color w:val="auto"/>
              </w:rPr>
              <w:t>Period</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purchased</w:t>
            </w: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paid per share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program</w:t>
            </w:r>
          </w:p>
        </w:tc>
      </w:tr>
      <w:tr>
        <w:trPr>
          <w:trHeight w:val="34"/>
        </w:trPr>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2019</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200,000,000</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May 2019</w:t>
            </w:r>
          </w:p>
        </w:tc>
        <w:tc>
          <w:tcPr>
            <w:tcW w:w="1280" w:type="dxa"/>
            <w:vAlign w:val="bottom"/>
          </w:tcPr>
          <w:p>
            <w:pPr>
              <w:jc w:val="right"/>
              <w:spacing w:after="0"/>
              <w:rPr>
                <w:sz w:val="20"/>
                <w:szCs w:val="20"/>
                <w:color w:val="auto"/>
              </w:rPr>
            </w:pPr>
            <w:r>
              <w:rPr>
                <w:rFonts w:ascii="Arial" w:cs="Arial" w:eastAsia="Arial" w:hAnsi="Arial"/>
                <w:sz w:val="18"/>
                <w:szCs w:val="18"/>
                <w:color w:val="auto"/>
              </w:rPr>
              <w:t>579,458</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49.19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579,458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171,882,768</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2019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159,973,900</w:t>
            </w:r>
          </w:p>
        </w:tc>
      </w:tr>
      <w:tr>
        <w:trPr>
          <w:trHeight w:val="237"/>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Three Months Ended June 30, 2019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829,658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829,658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Exhibit</w:t>
            </w:r>
          </w:p>
        </w:tc>
        <w:tc>
          <w:tcPr>
            <w:tcW w:w="4780" w:type="dxa"/>
            <w:vAlign w:val="bottom"/>
          </w:tcPr>
          <w:p>
            <w:pPr>
              <w:spacing w:after="0"/>
              <w:rPr>
                <w:sz w:val="14"/>
                <w:szCs w:val="1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center"/>
              <w:ind w:right="288"/>
              <w:spacing w:after="0" w:line="158" w:lineRule="exact"/>
              <w:rPr>
                <w:sz w:val="20"/>
                <w:szCs w:val="20"/>
                <w:color w:val="auto"/>
              </w:rPr>
            </w:pPr>
            <w:r>
              <w:rPr>
                <w:rFonts w:ascii="Arial" w:cs="Arial" w:eastAsia="Arial" w:hAnsi="Arial"/>
                <w:sz w:val="14"/>
                <w:szCs w:val="14"/>
                <w:b w:val="1"/>
                <w:bCs w:val="1"/>
                <w:color w:val="auto"/>
                <w:w w:val="88"/>
              </w:rPr>
              <w:t>No.</w:t>
            </w:r>
          </w:p>
        </w:tc>
        <w:tc>
          <w:tcPr>
            <w:tcW w:w="4780" w:type="dxa"/>
            <w:vAlign w:val="bottom"/>
          </w:tcPr>
          <w:p>
            <w:pPr>
              <w:spacing w:after="0"/>
              <w:rPr>
                <w:sz w:val="13"/>
                <w:szCs w:val="13"/>
                <w:color w:val="auto"/>
              </w:rPr>
            </w:pPr>
          </w:p>
        </w:tc>
        <w:tc>
          <w:tcPr>
            <w:tcW w:w="5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100" w:type="dxa"/>
            <w:vAlign w:val="bottom"/>
            <w:gridSpan w:val="3"/>
            <w:vMerge w:val="restart"/>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360" w:type="dxa"/>
            <w:vAlign w:val="bottom"/>
            <w:gridSpan w:val="2"/>
          </w:tcPr>
          <w:p>
            <w:pPr>
              <w:ind w:left="40"/>
              <w:spacing w:after="0" w:line="196" w:lineRule="exact"/>
              <w:rPr>
                <w:rFonts w:ascii="Arial" w:cs="Arial" w:eastAsia="Arial" w:hAnsi="Arial"/>
                <w:sz w:val="18"/>
                <w:szCs w:val="18"/>
                <w:color w:val="0000FF"/>
                <w:w w:val="85"/>
              </w:rPr>
            </w:pPr>
            <w:hyperlink w:anchor="page2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0" w:type="dxa"/>
            <w:vAlign w:val="bottom"/>
          </w:tcPr>
          <w:p>
            <w:pPr>
              <w:spacing w:after="0"/>
              <w:rPr>
                <w:sz w:val="17"/>
                <w:szCs w:val="17"/>
                <w:color w:val="auto"/>
              </w:rPr>
            </w:pPr>
          </w:p>
        </w:tc>
        <w:tc>
          <w:tcPr>
            <w:tcW w:w="101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85"/>
              </w:rPr>
            </w:pPr>
            <w:hyperlink w:anchor="page2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00" w:type="dxa"/>
            <w:vAlign w:val="bottom"/>
          </w:tcPr>
          <w:p>
            <w:pPr>
              <w:spacing w:after="0"/>
              <w:rPr>
                <w:sz w:val="21"/>
                <w:szCs w:val="21"/>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800" w:type="dxa"/>
            <w:vAlign w:val="bottom"/>
          </w:tcPr>
          <w:p>
            <w:pPr>
              <w:spacing w:after="0"/>
              <w:rPr>
                <w:sz w:val="21"/>
                <w:szCs w:val="21"/>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85"/>
              </w:rPr>
            </w:pPr>
            <w:hyperlink w:anchor="page2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800" w:type="dxa"/>
            <w:vAlign w:val="bottom"/>
          </w:tcPr>
          <w:p>
            <w:pPr>
              <w:spacing w:after="0"/>
              <w:rPr>
                <w:sz w:val="21"/>
                <w:szCs w:val="21"/>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80" w:type="dxa"/>
            <w:vAlign w:val="bottom"/>
          </w:tcPr>
          <w:p>
            <w:pPr>
              <w:ind w:left="4460"/>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ind w:left="220"/>
              <w:spacing w:after="0"/>
              <w:rPr>
                <w:sz w:val="20"/>
                <w:szCs w:val="20"/>
                <w:color w:val="auto"/>
              </w:rPr>
            </w:pPr>
            <w:r>
              <w:rPr>
                <w:rFonts w:ascii="Arial" w:cs="Arial" w:eastAsia="Arial" w:hAnsi="Arial"/>
                <w:sz w:val="18"/>
                <w:szCs w:val="18"/>
                <w:color w:val="auto"/>
              </w:rPr>
              <w:t>July 31, 2019</w:t>
            </w:r>
          </w:p>
        </w:tc>
        <w:tc>
          <w:tcPr>
            <w:tcW w:w="3540" w:type="dxa"/>
            <w:vAlign w:val="bottom"/>
          </w:tcPr>
          <w:p>
            <w:pPr>
              <w:ind w:left="300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Sanjay Mirchandani</w:t>
            </w:r>
          </w:p>
        </w:tc>
      </w:tr>
      <w:tr>
        <w:trPr>
          <w:trHeight w:val="27"/>
        </w:trPr>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64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w w:val="94"/>
              </w:rPr>
              <w:t>Sanjay</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Mirchandani</w:t>
            </w:r>
          </w:p>
        </w:tc>
      </w:tr>
      <w:tr>
        <w:trPr>
          <w:trHeight w:val="269"/>
        </w:trPr>
        <w:tc>
          <w:tcPr>
            <w:tcW w:w="7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ind w:left="220"/>
              <w:spacing w:after="0"/>
              <w:rPr>
                <w:sz w:val="20"/>
                <w:szCs w:val="20"/>
                <w:color w:val="auto"/>
              </w:rPr>
            </w:pPr>
            <w:r>
              <w:rPr>
                <w:rFonts w:ascii="Arial" w:cs="Arial" w:eastAsia="Arial" w:hAnsi="Arial"/>
                <w:sz w:val="18"/>
                <w:szCs w:val="18"/>
                <w:color w:val="auto"/>
              </w:rPr>
              <w:t>July 31, 2019</w:t>
            </w:r>
          </w:p>
        </w:tc>
        <w:tc>
          <w:tcPr>
            <w:tcW w:w="3540" w:type="dxa"/>
            <w:vAlign w:val="bottom"/>
          </w:tcPr>
          <w:p>
            <w:pPr>
              <w:ind w:left="300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64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40" w:type="dxa"/>
            <w:vAlign w:val="bottom"/>
          </w:tcPr>
          <w:p>
            <w:pPr>
              <w:ind w:left="1840"/>
              <w:spacing w:after="0"/>
              <w:rPr>
                <w:sz w:val="20"/>
                <w:szCs w:val="20"/>
                <w:color w:val="auto"/>
              </w:rPr>
            </w:pPr>
            <w:r>
              <w:rPr>
                <w:rFonts w:ascii="Arial" w:cs="Arial" w:eastAsia="Arial" w:hAnsi="Arial"/>
                <w:sz w:val="18"/>
                <w:szCs w:val="18"/>
                <w:color w:val="auto"/>
              </w:rPr>
              <w:t>23</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2019 as filed with the Securities and Exchange Commission (the “Report”), I, Sanjay Mirchandani,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2019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2019-12-28T09:57:35Z</dcterms:created>
  <dcterms:modified xsi:type="dcterms:W3CDTF">2019-12-28T09:57:35Z</dcterms:modified>
</cp:coreProperties>
</file>