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229235</wp:posOffset>
            </wp:positionV>
            <wp:extent cx="3797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240665</wp:posOffset>
            </wp:positionV>
            <wp:extent cx="3797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730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334645</wp:posOffset>
            </wp:positionV>
            <wp:extent cx="219456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COMMVAULT SYSTEMS,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Delaware</w:t>
            </w:r>
          </w:p>
        </w:tc>
        <w:tc>
          <w:tcPr>
            <w:tcW w:w="5500" w:type="dxa"/>
            <w:vAlign w:val="bottom"/>
          </w:tcPr>
          <w:p>
            <w:pPr>
              <w:jc w:val="center"/>
              <w:ind w:right="436"/>
              <w:spacing w:after="0"/>
              <w:rPr>
                <w:sz w:val="20"/>
                <w:szCs w:val="20"/>
                <w:color w:val="auto"/>
              </w:rPr>
            </w:pPr>
            <w:r>
              <w:rPr>
                <w:rFonts w:ascii="Arial" w:cs="Arial" w:eastAsia="Arial" w:hAnsi="Arial"/>
                <w:sz w:val="18"/>
                <w:szCs w:val="18"/>
                <w:b w:val="1"/>
                <w:bCs w:val="1"/>
                <w:color w:val="auto"/>
                <w:w w:val="99"/>
              </w:rPr>
              <w:t>1-33026</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22-3447504</w:t>
            </w:r>
          </w:p>
        </w:tc>
      </w:tr>
      <w:tr>
        <w:trPr>
          <w:trHeight w:val="189"/>
        </w:trPr>
        <w:tc>
          <w:tcPr>
            <w:tcW w:w="2320" w:type="dxa"/>
            <w:vAlign w:val="bottom"/>
            <w:gridSpan w:val="2"/>
          </w:tcPr>
          <w:p>
            <w:pPr>
              <w:spacing w:after="0" w:line="189" w:lineRule="exact"/>
              <w:rPr>
                <w:sz w:val="20"/>
                <w:szCs w:val="20"/>
                <w:color w:val="auto"/>
              </w:rPr>
            </w:pPr>
            <w:r>
              <w:rPr>
                <w:rFonts w:ascii="Arial" w:cs="Arial" w:eastAsia="Arial" w:hAnsi="Arial"/>
                <w:sz w:val="18"/>
                <w:szCs w:val="18"/>
                <w:color w:val="auto"/>
              </w:rPr>
              <w:t>(State or other jurisdiction</w:t>
            </w:r>
          </w:p>
        </w:tc>
        <w:tc>
          <w:tcPr>
            <w:tcW w:w="5500" w:type="dxa"/>
            <w:vAlign w:val="bottom"/>
          </w:tcPr>
          <w:p>
            <w:pPr>
              <w:ind w:left="1940"/>
              <w:spacing w:after="0" w:line="189" w:lineRule="exact"/>
              <w:rPr>
                <w:sz w:val="20"/>
                <w:szCs w:val="20"/>
                <w:color w:val="auto"/>
              </w:rPr>
            </w:pPr>
            <w:r>
              <w:rPr>
                <w:rFonts w:ascii="Arial" w:cs="Arial" w:eastAsia="Arial" w:hAnsi="Arial"/>
                <w:sz w:val="18"/>
                <w:szCs w:val="18"/>
                <w:color w:val="auto"/>
              </w:rPr>
              <w:t>(Commission</w:t>
            </w:r>
          </w:p>
        </w:tc>
        <w:tc>
          <w:tcPr>
            <w:tcW w:w="1460" w:type="dxa"/>
            <w:vAlign w:val="bottom"/>
          </w:tcPr>
          <w:p>
            <w:pPr>
              <w:ind w:left="80"/>
              <w:spacing w:after="0" w:line="189" w:lineRule="exact"/>
              <w:rPr>
                <w:sz w:val="20"/>
                <w:szCs w:val="20"/>
                <w:color w:val="auto"/>
              </w:rPr>
            </w:pPr>
            <w:r>
              <w:rPr>
                <w:rFonts w:ascii="Arial" w:cs="Arial" w:eastAsia="Arial" w:hAnsi="Arial"/>
                <w:sz w:val="18"/>
                <w:szCs w:val="18"/>
                <w:color w:val="auto"/>
              </w:rPr>
              <w:t>(I.R.S. Employer</w:t>
            </w:r>
          </w:p>
        </w:tc>
      </w:tr>
      <w:tr>
        <w:trPr>
          <w:trHeight w:val="239"/>
        </w:trPr>
        <w:tc>
          <w:tcPr>
            <w:tcW w:w="2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of incorporation)</w:t>
            </w:r>
          </w:p>
        </w:tc>
        <w:tc>
          <w:tcPr>
            <w:tcW w:w="5500" w:type="dxa"/>
            <w:vAlign w:val="bottom"/>
          </w:tcPr>
          <w:p>
            <w:pPr>
              <w:jc w:val="center"/>
              <w:ind w:right="436"/>
              <w:spacing w:after="0"/>
              <w:rPr>
                <w:sz w:val="20"/>
                <w:szCs w:val="20"/>
                <w:color w:val="auto"/>
              </w:rPr>
            </w:pPr>
            <w:r>
              <w:rPr>
                <w:rFonts w:ascii="Arial" w:cs="Arial" w:eastAsia="Arial" w:hAnsi="Arial"/>
                <w:sz w:val="18"/>
                <w:szCs w:val="18"/>
                <w:color w:val="auto"/>
                <w:w w:val="98"/>
              </w:rPr>
              <w:t>file number)</w:t>
            </w:r>
          </w:p>
        </w:tc>
        <w:tc>
          <w:tcPr>
            <w:tcW w:w="1460" w:type="dxa"/>
            <w:vAlign w:val="bottom"/>
          </w:tcPr>
          <w:p>
            <w:pPr>
              <w:ind w:left="60"/>
              <w:spacing w:after="0"/>
              <w:rPr>
                <w:sz w:val="20"/>
                <w:szCs w:val="20"/>
                <w:color w:val="auto"/>
              </w:rPr>
            </w:pPr>
            <w:r>
              <w:rPr>
                <w:rFonts w:ascii="Arial" w:cs="Arial" w:eastAsia="Arial" w:hAnsi="Arial"/>
                <w:sz w:val="18"/>
                <w:szCs w:val="18"/>
                <w:color w:val="auto"/>
                <w:w w:val="98"/>
              </w:rPr>
              <w:t>Identification No.)</w:t>
            </w:r>
          </w:p>
        </w:tc>
      </w:tr>
      <w:tr>
        <w:trPr>
          <w:trHeight w:val="427"/>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b w:val="1"/>
                <w:bCs w:val="1"/>
                <w:color w:val="auto"/>
              </w:rPr>
              <w:t>1 Commvault Way</w:t>
            </w:r>
          </w:p>
        </w:tc>
        <w:tc>
          <w:tcPr>
            <w:tcW w:w="146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b w:val="1"/>
                <w:bCs w:val="1"/>
                <w:color w:val="auto"/>
              </w:rPr>
              <w:t>Tinton Falls, New Jersey 07724</w:t>
            </w:r>
          </w:p>
        </w:tc>
        <w:tc>
          <w:tcPr>
            <w:tcW w:w="1460" w:type="dxa"/>
            <w:vAlign w:val="bottom"/>
          </w:tcPr>
          <w:p>
            <w:pPr>
              <w:spacing w:after="0"/>
              <w:rPr>
                <w:sz w:val="17"/>
                <w:szCs w:val="17"/>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color w:val="auto"/>
              </w:rPr>
              <w:t>(Address of principal executive offices, including zip code)</w:t>
            </w:r>
          </w:p>
        </w:tc>
        <w:tc>
          <w:tcPr>
            <w:tcW w:w="1460" w:type="dxa"/>
            <w:vAlign w:val="bottom"/>
          </w:tcPr>
          <w:p>
            <w:pPr>
              <w:spacing w:after="0"/>
              <w:rPr>
                <w:sz w:val="18"/>
                <w:szCs w:val="18"/>
                <w:color w:val="auto"/>
              </w:rPr>
            </w:pPr>
          </w:p>
        </w:tc>
      </w:tr>
      <w:tr>
        <w:trPr>
          <w:trHeight w:val="420"/>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732) 870-4000</w:t>
            </w:r>
          </w:p>
        </w:tc>
        <w:tc>
          <w:tcPr>
            <w:tcW w:w="1460" w:type="dxa"/>
            <w:vAlign w:val="bottom"/>
          </w:tcPr>
          <w:p>
            <w:pPr>
              <w:spacing w:after="0"/>
              <w:rPr>
                <w:sz w:val="24"/>
                <w:szCs w:val="24"/>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color w:val="auto"/>
              </w:rPr>
              <w:t>(Registrant's telephone number, including area code)</w:t>
            </w:r>
          </w:p>
        </w:tc>
        <w:tc>
          <w:tcPr>
            <w:tcW w:w="1460" w:type="dxa"/>
            <w:vAlign w:val="bottom"/>
          </w:tcPr>
          <w:p>
            <w:pPr>
              <w:spacing w:after="0"/>
              <w:rPr>
                <w:sz w:val="18"/>
                <w:szCs w:val="18"/>
                <w:color w:val="auto"/>
              </w:rPr>
            </w:pPr>
          </w:p>
        </w:tc>
      </w:tr>
      <w:tr>
        <w:trPr>
          <w:trHeight w:val="406"/>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tcPr>
          <w:p>
            <w:pPr>
              <w:jc w:val="center"/>
              <w:ind w:right="396"/>
              <w:spacing w:after="0"/>
              <w:rPr>
                <w:sz w:val="20"/>
                <w:szCs w:val="20"/>
                <w:color w:val="auto"/>
              </w:rPr>
            </w:pPr>
            <w:r>
              <w:rPr>
                <w:rFonts w:ascii="Arial" w:cs="Arial" w:eastAsia="Arial" w:hAnsi="Arial"/>
                <w:sz w:val="16"/>
                <w:szCs w:val="16"/>
                <w:b w:val="1"/>
                <w:bCs w:val="1"/>
                <w:color w:val="auto"/>
              </w:rPr>
              <w:t>Not Applicable</w:t>
            </w:r>
          </w:p>
        </w:tc>
        <w:tc>
          <w:tcPr>
            <w:tcW w:w="1460" w:type="dxa"/>
            <w:vAlign w:val="bottom"/>
          </w:tcPr>
          <w:p>
            <w:pPr>
              <w:spacing w:after="0"/>
              <w:rPr>
                <w:sz w:val="24"/>
                <w:szCs w:val="24"/>
                <w:color w:val="auto"/>
              </w:rPr>
            </w:pPr>
          </w:p>
        </w:tc>
      </w:tr>
      <w:tr>
        <w:trPr>
          <w:trHeight w:val="215"/>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00" w:type="dxa"/>
            <w:vAlign w:val="bottom"/>
          </w:tcPr>
          <w:p>
            <w:pPr>
              <w:jc w:val="center"/>
              <w:ind w:right="416"/>
              <w:spacing w:after="0"/>
              <w:rPr>
                <w:sz w:val="20"/>
                <w:szCs w:val="20"/>
                <w:color w:val="auto"/>
              </w:rPr>
            </w:pPr>
            <w:r>
              <w:rPr>
                <w:rFonts w:ascii="Arial" w:cs="Arial" w:eastAsia="Arial" w:hAnsi="Arial"/>
                <w:sz w:val="16"/>
                <w:szCs w:val="16"/>
                <w:color w:val="auto"/>
              </w:rPr>
              <w:t>(Former name or former address, if changed since last report.)</w:t>
            </w:r>
          </w:p>
        </w:tc>
        <w:tc>
          <w:tcPr>
            <w:tcW w:w="1460" w:type="dxa"/>
            <w:vAlign w:val="bottom"/>
          </w:tcPr>
          <w:p>
            <w:pPr>
              <w:spacing w:after="0"/>
              <w:rPr>
                <w:sz w:val="18"/>
                <w:szCs w:val="18"/>
                <w:color w:val="auto"/>
              </w:rPr>
            </w:pPr>
          </w:p>
        </w:tc>
      </w:tr>
      <w:tr>
        <w:trPr>
          <w:trHeight w:val="110"/>
        </w:trPr>
        <w:tc>
          <w:tcPr>
            <w:tcW w:w="18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r>
    </w:tbl>
    <w:p>
      <w:pPr>
        <w:spacing w:after="0" w:line="13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 below):</w:t>
      </w:r>
    </w:p>
    <w:p>
      <w:pPr>
        <w:spacing w:after="0" w:line="109"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8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$0.01 par value per share</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w:t>
            </w:r>
          </w:p>
        </w:tc>
      </w:tr>
    </w:tbl>
    <w:p>
      <w:pPr>
        <w:spacing w:after="0" w:line="315" w:lineRule="exact"/>
        <w:rPr>
          <w:sz w:val="24"/>
          <w:szCs w:val="24"/>
          <w:color w:val="auto"/>
        </w:rPr>
      </w:pPr>
    </w:p>
    <w:p>
      <w:pPr>
        <w:ind w:right="200"/>
        <w:spacing w:after="0" w:line="30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89" w:lineRule="exact"/>
        <w:rPr>
          <w:sz w:val="24"/>
          <w:szCs w:val="24"/>
          <w:color w:val="auto"/>
        </w:rPr>
      </w:pPr>
    </w:p>
    <w:p>
      <w:pPr>
        <w:ind w:right="32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On April 28, 2026, Commvault issued a press release announcing its results for its fourth fiscal quarter ended March 31, 2026. A copy of the press release is attached hereto as Exhibit 99.1.</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information is being furnished pursuant to Item 2.02 and shall not be deemed “filed” for purposes of Section 18 of the Securities Exchange Act of 1934 or otherwise subject to the liabilities under that section and shall not be deemed to be incorporated by reference into filings under the Securities Act of 1933.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380" w:type="dxa"/>
            <w:vAlign w:val="bottom"/>
          </w:tcPr>
          <w:p>
            <w:pPr>
              <w:spacing w:after="0"/>
              <w:rPr>
                <w:sz w:val="16"/>
                <w:szCs w:val="16"/>
                <w:color w:val="auto"/>
              </w:rPr>
            </w:pPr>
          </w:p>
        </w:tc>
        <w:tc>
          <w:tcPr>
            <w:tcW w:w="6040" w:type="dxa"/>
            <w:vAlign w:val="bottom"/>
            <w:gridSpan w:val="3"/>
          </w:tcPr>
          <w:p>
            <w:pPr>
              <w:ind w:left="4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6"/>
        </w:trPr>
        <w:tc>
          <w:tcPr>
            <w:tcW w:w="860" w:type="dxa"/>
            <w:vAlign w:val="bottom"/>
            <w:gridSpan w:val="2"/>
          </w:tcPr>
          <w:p>
            <w:pPr>
              <w:spacing w:after="0"/>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380" w:type="dxa"/>
            <w:vAlign w:val="bottom"/>
          </w:tcPr>
          <w:p>
            <w:pPr>
              <w:spacing w:after="0"/>
              <w:rPr>
                <w:sz w:val="17"/>
                <w:szCs w:val="17"/>
                <w:color w:val="auto"/>
              </w:rPr>
            </w:pPr>
          </w:p>
        </w:tc>
        <w:tc>
          <w:tcPr>
            <w:tcW w:w="6040" w:type="dxa"/>
            <w:vAlign w:val="bottom"/>
            <w:gridSpan w:val="3"/>
          </w:tcPr>
          <w:p>
            <w:pPr>
              <w:ind w:left="400"/>
              <w:spacing w:after="0"/>
              <w:rPr>
                <w:sz w:val="20"/>
                <w:szCs w:val="20"/>
                <w:color w:val="auto"/>
              </w:rPr>
            </w:pPr>
            <w:r>
              <w:rPr>
                <w:rFonts w:ascii="Arial" w:cs="Arial" w:eastAsia="Arial" w:hAnsi="Arial"/>
                <w:sz w:val="16"/>
                <w:szCs w:val="16"/>
                <w:color w:val="auto"/>
              </w:rPr>
              <w:t>Press Release dated April 28, 2026</w:t>
            </w:r>
          </w:p>
        </w:tc>
      </w:tr>
      <w:tr>
        <w:trPr>
          <w:trHeight w:val="234"/>
        </w:trPr>
        <w:tc>
          <w:tcPr>
            <w:tcW w:w="32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104</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40" w:type="dxa"/>
            <w:vAlign w:val="bottom"/>
            <w:gridSpan w:val="3"/>
          </w:tcPr>
          <w:p>
            <w:pPr>
              <w:ind w:left="400"/>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COMMVAULT SYSTEMS, INC.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3980" w:val="left"/>
        </w:tabs>
        <w:rPr>
          <w:sz w:val="20"/>
          <w:szCs w:val="20"/>
          <w:color w:val="auto"/>
        </w:rPr>
      </w:pPr>
      <w:r>
        <w:rPr>
          <w:rFonts w:ascii="Arial" w:cs="Arial" w:eastAsia="Arial" w:hAnsi="Arial"/>
          <w:sz w:val="18"/>
          <w:szCs w:val="18"/>
          <w:color w:val="auto"/>
        </w:rPr>
        <w:t>Dated:</w:t>
        <w:tab/>
        <w:t>April 28, 2026</w:t>
      </w:r>
      <w:r>
        <w:rPr>
          <w:sz w:val="20"/>
          <w:szCs w:val="20"/>
          <w:color w:val="auto"/>
        </w:rPr>
        <w:tab/>
      </w:r>
      <w:r>
        <w:rPr>
          <w:rFonts w:ascii="Arial" w:cs="Arial" w:eastAsia="Arial" w:hAnsi="Arial"/>
          <w:sz w:val="26"/>
          <w:szCs w:val="26"/>
          <w:color w:val="auto"/>
          <w:vertAlign w:val="superscript"/>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-22860</wp:posOffset>
            </wp:positionV>
            <wp:extent cx="28289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8"/>
          <w:szCs w:val="18"/>
          <w:color w:val="auto"/>
        </w:rPr>
        <w:t>Gary Merrill</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1417" w:right="5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9900" cy="334645"/>
                    </a:xfrm>
                    <a:prstGeom prst="rect">
                      <a:avLst/>
                    </a:prstGeom>
                    <a:noFill/>
                  </pic:spPr>
                </pic:pic>
              </a:graphicData>
            </a:graphic>
          </wp:anchor>
        </w:drawing>
        <w:t>Commvault Announces Fourth Quarter Fiscal 2026 Financial Results</w:t>
      </w:r>
    </w:p>
    <w:p>
      <w:pPr>
        <w:spacing w:after="0" w:line="56" w:lineRule="exact"/>
        <w:rPr>
          <w:sz w:val="20"/>
          <w:szCs w:val="20"/>
          <w:color w:val="auto"/>
        </w:rPr>
      </w:pPr>
    </w:p>
    <w:p>
      <w:pPr>
        <w:jc w:val="center"/>
        <w:ind w:left="340" w:right="1720"/>
        <w:spacing w:after="0" w:line="330" w:lineRule="auto"/>
        <w:rPr>
          <w:sz w:val="20"/>
          <w:szCs w:val="20"/>
          <w:color w:val="auto"/>
        </w:rPr>
      </w:pPr>
      <w:r>
        <w:rPr>
          <w:rFonts w:ascii="Arial" w:cs="Arial" w:eastAsia="Arial" w:hAnsi="Arial"/>
          <w:sz w:val="18"/>
          <w:szCs w:val="18"/>
          <w:i w:val="1"/>
          <w:iCs w:val="1"/>
          <w:color w:val="auto"/>
        </w:rPr>
        <w:t>Achieved all fourth quarter and fiscal 2026 guided metrics Record $132 million free cash flow in fourth quarter Total reported ARR grew +21% year over year, with $44 million in constant currency net new ARR</w:t>
      </w:r>
    </w:p>
    <w:p>
      <w:pPr>
        <w:spacing w:after="0" w:line="346" w:lineRule="exact"/>
        <w:rPr>
          <w:sz w:val="20"/>
          <w:szCs w:val="20"/>
          <w:color w:val="auto"/>
        </w:rPr>
      </w:pPr>
    </w:p>
    <w:p>
      <w:pPr>
        <w:jc w:val="both"/>
        <w:spacing w:after="0" w:line="396" w:lineRule="auto"/>
        <w:rPr>
          <w:sz w:val="20"/>
          <w:szCs w:val="20"/>
          <w:color w:val="auto"/>
        </w:rPr>
      </w:pPr>
      <w:r>
        <w:rPr>
          <w:rFonts w:ascii="Arial" w:cs="Arial" w:eastAsia="Arial" w:hAnsi="Arial"/>
          <w:sz w:val="18"/>
          <w:szCs w:val="18"/>
          <w:b w:val="1"/>
          <w:bCs w:val="1"/>
          <w:color w:val="auto"/>
        </w:rPr>
        <w:t xml:space="preserve">Tinton Falls, N.J. – April 28, 2026 </w:t>
      </w:r>
      <w:r>
        <w:rPr>
          <w:rFonts w:ascii="Arial" w:cs="Arial" w:eastAsia="Arial" w:hAnsi="Arial"/>
          <w:sz w:val="18"/>
          <w:szCs w:val="18"/>
          <w:color w:val="auto"/>
        </w:rPr>
        <w:t>– Commvault [Nasdaq: CVLT] today announced its financial results for the fourth quarter and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2026.</w:t>
      </w:r>
    </w:p>
    <w:p>
      <w:pPr>
        <w:spacing w:after="0" w:line="181"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“Our results reinforce that we are delivering durable growth fueled through industry-leading innovation and our rapidly expanding SaaS business,” said Sanjay Mirchandani, President and CEO, Commvault. “In fiscal 2027, the rise of AI will create more data and more risk – which in turn increases demand for our platform’s trusted protection, governance, and recovery capabilities. We believe we are well positioned to deliver profitable growth through new and expanding customer relationships.”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Notes are contained at the end of this press release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Fourth Quarter Fiscal 2026 Highlights </w:t>
      </w:r>
      <w:r>
        <w:rPr>
          <w:rFonts w:ascii="Arial" w:cs="Arial" w:eastAsia="Arial" w:hAnsi="Arial"/>
          <w:sz w:val="18"/>
          <w:szCs w:val="18"/>
          <w:color w:val="auto"/>
        </w:rPr>
        <w:t>-</w:t>
      </w:r>
    </w:p>
    <w:p>
      <w:pPr>
        <w:spacing w:after="0" w:line="10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were $312 million, up 13% year over year</w:t>
      </w:r>
    </w:p>
    <w:p>
      <w:pPr>
        <w:spacing w:after="0" w:line="103"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Subscription revenue was $208 million, up 20% year over year, inclusive of term-based license revenue of $114 million, up 6% year over year, and SaaS revenue of $93 million, up 43% year over year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from operations (EBIT) was $17 million, an operating margin of 5.3%</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EBIT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$66 million, an operating margin of 21.3%</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$132 million in operating cash flow and free cash flow</w:t>
      </w:r>
      <w:r>
        <w:rPr>
          <w:rFonts w:ascii="Arial" w:cs="Arial" w:eastAsia="Arial" w:hAnsi="Arial"/>
          <w:sz w:val="23"/>
          <w:szCs w:val="23"/>
          <w:color w:val="auto"/>
          <w:vertAlign w:val="superscript"/>
        </w:rPr>
        <w:t>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Full Year Fiscal 2026 Highlights </w:t>
      </w:r>
      <w:r>
        <w:rPr>
          <w:rFonts w:ascii="Arial" w:cs="Arial" w:eastAsia="Arial" w:hAnsi="Arial"/>
          <w:sz w:val="18"/>
          <w:szCs w:val="18"/>
          <w:color w:val="auto"/>
        </w:rPr>
        <w:t>-</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were $1,184 million, up 19% year over year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ARR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grew to $1,122 million, up 21% year over year, or 18% on a constant currency basis using the March 31, 2025 spot rates</w:t>
      </w:r>
    </w:p>
    <w:p>
      <w:pPr>
        <w:spacing w:after="0" w:line="57"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Subscription revenue was $768 million, up 30% year over year, inclusive of term-based license revenue of $435 million, up 18% year over year, and SaaS revenue of $333 million, up 52% year over year</w:t>
      </w:r>
    </w:p>
    <w:p>
      <w:pPr>
        <w:ind w:left="660" w:hanging="328"/>
        <w:spacing w:after="0" w:line="31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Subscription ARR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grew to $989 million, up 27% year over year, or 24% on a constant currency basis using the March 31, 2025 spot rates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from operations (EBIT) was $74 million, an operating margin of 6.3%</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EBIT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$238 million, an operating margin of 20.1%</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cash flow was $245 million, with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$237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Recent Business Highlights </w:t>
      </w:r>
      <w:r>
        <w:rPr>
          <w:rFonts w:ascii="Arial" w:cs="Arial" w:eastAsia="Arial" w:hAnsi="Arial"/>
          <w:sz w:val="18"/>
          <w:szCs w:val="18"/>
          <w:color w:val="auto"/>
        </w:rPr>
        <w:t>-</w:t>
      </w:r>
    </w:p>
    <w:p>
      <w:pPr>
        <w:spacing w:after="0" w:line="104" w:lineRule="exact"/>
        <w:rPr>
          <w:sz w:val="20"/>
          <w:szCs w:val="20"/>
          <w:color w:val="auto"/>
        </w:rPr>
      </w:pPr>
    </w:p>
    <w:p>
      <w:pPr>
        <w:ind w:left="660" w:hanging="328"/>
        <w:spacing w:after="0" w:line="36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Commvault announced an integration with Microsoft Security to better connect threat detection with trusted recovery, and expanded its integration with CrowdStrike, to deliver bi-directional visibility with CrowdStrike Falcon Next-Gen SIEM.</w:t>
      </w:r>
    </w:p>
    <w:p>
      <w:pPr>
        <w:spacing w:after="0" w:line="1" w:lineRule="exact"/>
        <w:rPr>
          <w:rFonts w:ascii="Arial" w:cs="Arial" w:eastAsia="Arial" w:hAnsi="Arial"/>
          <w:sz w:val="18"/>
          <w:szCs w:val="18"/>
          <w:color w:val="auto"/>
        </w:rPr>
      </w:pPr>
    </w:p>
    <w:p>
      <w:pPr>
        <w:ind w:left="660" w:hanging="328"/>
        <w:spacing w:after="0" w:line="3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Commvault and NetApp announced a strategic alliance to deliver a powerful, integrated solution for enterprise data protection and cyber resilience.</w:t>
      </w:r>
    </w:p>
    <w:p>
      <w:pPr>
        <w:ind w:left="660" w:right="20" w:hanging="328"/>
        <w:spacing w:after="0" w:line="3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Commvault extended identity resilience to Okta and joined forces with CloudSEK to address a growing threat: exposed credentials on the dark web.</w:t>
      </w:r>
    </w:p>
    <w:p>
      <w:pPr>
        <w:ind w:left="660" w:hanging="328"/>
        <w:spacing w:after="0" w:line="36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Commvault expanded enterprise resilience to structured and AI data, enabled via its recent acquisition of data and AI security company Satori.</w:t>
      </w:r>
    </w:p>
    <w:p>
      <w:pPr>
        <w:spacing w:after="0" w:line="1" w:lineRule="exact"/>
        <w:rPr>
          <w:rFonts w:ascii="Arial" w:cs="Arial" w:eastAsia="Arial" w:hAnsi="Arial"/>
          <w:sz w:val="18"/>
          <w:szCs w:val="18"/>
          <w:color w:val="auto"/>
        </w:rPr>
      </w:pPr>
    </w:p>
    <w:p>
      <w:pPr>
        <w:ind w:left="660" w:hanging="328"/>
        <w:spacing w:after="0" w:line="39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Commvault announced a partnership with STACKIT that is designed to support European customers’ sovereign cloud requirements while delivering cyber resilience to enterprise organizations.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First Quarter and Full Year Fiscal 2027</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54"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We are providing the following guidance for the first quarter of fiscal year 2027, based on the recast definitions set forth at the end of this earnings press release:</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Subscription revenue is expected to be between $263 million and $265 million</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EBIT margin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is expected to be approximately 19%</w:t>
      </w:r>
    </w:p>
    <w:p>
      <w:pPr>
        <w:spacing w:after="0" w:line="291" w:lineRule="exact"/>
        <w:rPr>
          <w:sz w:val="20"/>
          <w:szCs w:val="20"/>
          <w:color w:val="auto"/>
        </w:rPr>
      </w:pPr>
    </w:p>
    <w:p>
      <w:pPr>
        <w:ind w:right="40"/>
        <w:spacing w:after="0" w:line="360" w:lineRule="auto"/>
        <w:rPr>
          <w:sz w:val="20"/>
          <w:szCs w:val="20"/>
          <w:color w:val="auto"/>
        </w:rPr>
      </w:pPr>
      <w:r>
        <w:rPr>
          <w:rFonts w:ascii="Arial" w:cs="Arial" w:eastAsia="Arial" w:hAnsi="Arial"/>
          <w:sz w:val="18"/>
          <w:szCs w:val="18"/>
          <w:color w:val="auto"/>
        </w:rPr>
        <w:t>We are providing the following guidance for the full fiscal year 2027, based on the recast definitions set forth at the end of this earnings press release: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 revenue is expected to be between $1,115 million and $1,125 million</w:t>
      </w:r>
    </w:p>
    <w:p>
      <w:pPr>
        <w:spacing w:after="0" w:line="11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 ARR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expected to be between $1,200 million and $1,210 million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revenues are expected to be between $1,300 million and $1,310 million</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EBIT margin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is expected to be approximately 20.5%</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is expected to be between $250 million and $260 million</w:t>
      </w:r>
    </w:p>
    <w:p>
      <w:pPr>
        <w:spacing w:after="0" w:line="291"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The above guidance metrics contemplate current exchange rates and current macroeconomic conditions. In addition, guidance for Subscription Revenue and Subscription ARR reflects the recast definitions set forth in the Recast Section at the end of this earnings press release.</w:t>
      </w:r>
    </w:p>
    <w:p>
      <w:pPr>
        <w:spacing w:after="0" w:line="189"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These statements are forward-looking and made pursuant to the safe harbor provisions discussed in detail below. We do not undertake any obligation to update these forward-looking statements. Actual results may differ materially from anticipated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 xml:space="preserve">Commvault will host a conference call today, April 28, 2026 at 8:30 a.m. Eastern Time (5:30 a.m. Pacific Time) to discuss quarterly results. The live webcast and call dial-in numbers can be accessed by registering under the "News &amp; Events" section of Commvault's website at </w:t>
      </w:r>
      <w:r>
        <w:rPr>
          <w:rFonts w:ascii="Arial" w:cs="Arial" w:eastAsia="Arial" w:hAnsi="Arial"/>
          <w:sz w:val="18"/>
          <w:szCs w:val="18"/>
          <w:u w:val="single" w:color="auto"/>
          <w:color w:val="auto"/>
        </w:rPr>
        <w:t>ir.commvault.com</w:t>
      </w:r>
      <w:r>
        <w:rPr>
          <w:rFonts w:ascii="Arial" w:cs="Arial" w:eastAsia="Arial" w:hAnsi="Arial"/>
          <w:sz w:val="18"/>
          <w:szCs w:val="18"/>
          <w:color w:val="auto"/>
        </w:rPr>
        <w:t xml:space="preserve"> under the "Investor Events" heading. An archived webcast of this conference call will also be available following the call.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Commvault</w:t>
      </w:r>
    </w:p>
    <w:p>
      <w:pPr>
        <w:spacing w:after="0" w:line="104"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Commvault (Nasdaq: CVLT) is a leader in unified resilience at enterprise scale. In a constantly evolving threat landscape, Commvault keeps customers ready by unifying data security, identity resilience, and cyber recovery, on one cloud-native, AI-enabled platform. Customers trust Commvault to conduct the fastest, most complete recoveries – not just their data, but their entire business. Purpose-built for the agentic enterprise, Commvault also enables organizations to safely embrace AI while protecting against AI-driven threats.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04"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This press release may contain forward-looking statements, including statements regarding financial projections, which are subject to risks and uncertainties, such as those related to our restructuring plans, competitive factors, difficulties and delays inherent in the development, manufacturing, marketing and sale of software products and related services, general economic conditions, outcome of litigation and others. For a discussion of these and other risks and uncertainties affecting Commvault's business, see "Item 1A. Risk Factors" in our annual report on Form 10-K and "Item 1A. Risk Factors" in our most recent quarterly report on Form 10-Q. Statements regarding Commvault’s beliefs, plans, expectations or intentions regarding the future are forward-looking statements, within the meaning of Section 27A of the Securities Act of 1933, as amended, and Section 21E of the Securities Exchange Act of 1934, as amended. All such forward-looking statements are made pursuant to the safe harbor provisions of the Private Securities Litigation Reform Act of 1995. Actual results may differ materially from anticipated results. Commvault does not undertake to update its forward-looking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Michael J. Melnyk, CFA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646-522-6160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mmelnyk@commvault.com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Andrea Duffy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646-295-5241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andreaduffy@commvault.com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0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Overview</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in thousands)</w:t>
      </w:r>
    </w:p>
    <w:p>
      <w:pPr>
        <w:spacing w:after="0" w:line="192" w:lineRule="exact"/>
        <w:rPr>
          <w:sz w:val="20"/>
          <w:szCs w:val="20"/>
          <w:color w:val="auto"/>
        </w:rPr>
      </w:pPr>
    </w:p>
    <w:tbl>
      <w:tblPr>
        <w:tblLayout w:type="fixed"/>
        <w:tblInd w:w="1100" w:type="dxa"/>
        <w:tblCellMar>
          <w:top w:w="0" w:type="dxa"/>
          <w:left w:w="0" w:type="dxa"/>
          <w:bottom w:w="0" w:type="dxa"/>
          <w:right w:w="0" w:type="dxa"/>
        </w:tblCellMar>
      </w:tblPr>
      <w:tr>
        <w:trPr>
          <w:trHeight w:val="217"/>
        </w:trPr>
        <w:tc>
          <w:tcPr>
            <w:tcW w:w="1100" w:type="dxa"/>
            <w:vAlign w:val="bottom"/>
          </w:tcPr>
          <w:p>
            <w:pPr>
              <w:spacing w:after="0"/>
              <w:rPr>
                <w:sz w:val="18"/>
                <w:szCs w:val="18"/>
                <w:color w:val="auto"/>
              </w:rPr>
            </w:pPr>
          </w:p>
        </w:tc>
        <w:tc>
          <w:tcPr>
            <w:tcW w:w="1580" w:type="dxa"/>
            <w:vAlign w:val="bottom"/>
            <w:gridSpan w:val="3"/>
          </w:tcPr>
          <w:p>
            <w:pPr>
              <w:ind w:left="520"/>
              <w:spacing w:after="0"/>
              <w:rPr>
                <w:sz w:val="20"/>
                <w:szCs w:val="20"/>
                <w:color w:val="auto"/>
              </w:rPr>
            </w:pPr>
            <w:r>
              <w:rPr>
                <w:rFonts w:ascii="Arial" w:cs="Arial" w:eastAsia="Arial" w:hAnsi="Arial"/>
                <w:sz w:val="16"/>
                <w:szCs w:val="16"/>
                <w:b w:val="1"/>
                <w:bCs w:val="1"/>
                <w:color w:val="auto"/>
              </w:rPr>
              <w:t>Q4'25</w:t>
            </w:r>
          </w:p>
        </w:tc>
        <w:tc>
          <w:tcPr>
            <w:tcW w:w="1600" w:type="dxa"/>
            <w:vAlign w:val="bottom"/>
            <w:gridSpan w:val="3"/>
          </w:tcPr>
          <w:p>
            <w:pPr>
              <w:ind w:left="520"/>
              <w:spacing w:after="0"/>
              <w:rPr>
                <w:sz w:val="20"/>
                <w:szCs w:val="20"/>
                <w:color w:val="auto"/>
              </w:rPr>
            </w:pPr>
            <w:r>
              <w:rPr>
                <w:rFonts w:ascii="Arial" w:cs="Arial" w:eastAsia="Arial" w:hAnsi="Arial"/>
                <w:sz w:val="16"/>
                <w:szCs w:val="16"/>
                <w:b w:val="1"/>
                <w:bCs w:val="1"/>
                <w:color w:val="auto"/>
              </w:rPr>
              <w:t>Q1'26</w:t>
            </w:r>
          </w:p>
        </w:tc>
        <w:tc>
          <w:tcPr>
            <w:tcW w:w="140" w:type="dxa"/>
            <w:vAlign w:val="bottom"/>
          </w:tcPr>
          <w:p>
            <w:pPr>
              <w:spacing w:after="0"/>
              <w:rPr>
                <w:sz w:val="18"/>
                <w:szCs w:val="18"/>
                <w:color w:val="auto"/>
              </w:rPr>
            </w:pPr>
          </w:p>
        </w:tc>
        <w:tc>
          <w:tcPr>
            <w:tcW w:w="1480" w:type="dxa"/>
            <w:vAlign w:val="bottom"/>
            <w:gridSpan w:val="3"/>
          </w:tcPr>
          <w:p>
            <w:pPr>
              <w:ind w:left="400"/>
              <w:spacing w:after="0"/>
              <w:rPr>
                <w:sz w:val="20"/>
                <w:szCs w:val="20"/>
                <w:color w:val="auto"/>
              </w:rPr>
            </w:pPr>
            <w:r>
              <w:rPr>
                <w:rFonts w:ascii="Arial" w:cs="Arial" w:eastAsia="Arial" w:hAnsi="Arial"/>
                <w:sz w:val="16"/>
                <w:szCs w:val="16"/>
                <w:b w:val="1"/>
                <w:bCs w:val="1"/>
                <w:color w:val="auto"/>
              </w:rPr>
              <w:t>Q2'26</w:t>
            </w:r>
          </w:p>
        </w:tc>
        <w:tc>
          <w:tcPr>
            <w:tcW w:w="1640" w:type="dxa"/>
            <w:vAlign w:val="bottom"/>
            <w:gridSpan w:val="3"/>
          </w:tcPr>
          <w:p>
            <w:pPr>
              <w:ind w:left="540"/>
              <w:spacing w:after="0"/>
              <w:rPr>
                <w:sz w:val="20"/>
                <w:szCs w:val="20"/>
                <w:color w:val="auto"/>
              </w:rPr>
            </w:pPr>
            <w:r>
              <w:rPr>
                <w:rFonts w:ascii="Arial" w:cs="Arial" w:eastAsia="Arial" w:hAnsi="Arial"/>
                <w:sz w:val="16"/>
                <w:szCs w:val="16"/>
                <w:b w:val="1"/>
                <w:bCs w:val="1"/>
                <w:color w:val="auto"/>
              </w:rPr>
              <w:t>Q3'26</w:t>
            </w:r>
          </w:p>
        </w:tc>
        <w:tc>
          <w:tcPr>
            <w:tcW w:w="15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Q4'26</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Revenue</w:t>
            </w:r>
          </w:p>
        </w:tc>
        <w:tc>
          <w:tcPr>
            <w:tcW w:w="6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Y/Y</w:t>
            </w:r>
          </w:p>
        </w:tc>
        <w:tc>
          <w:tcPr>
            <w:tcW w:w="12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Revenue</w:t>
            </w:r>
          </w:p>
        </w:tc>
        <w:tc>
          <w:tcPr>
            <w:tcW w:w="6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Y/Y</w:t>
            </w:r>
          </w:p>
        </w:tc>
        <w:tc>
          <w:tcPr>
            <w:tcW w:w="120" w:type="dxa"/>
            <w:vAlign w:val="bottom"/>
          </w:tcPr>
          <w:p>
            <w:pPr>
              <w:spacing w:after="0"/>
              <w:rPr>
                <w:sz w:val="13"/>
                <w:szCs w:val="13"/>
                <w:color w:val="auto"/>
              </w:rPr>
            </w:pPr>
          </w:p>
        </w:tc>
        <w:tc>
          <w:tcPr>
            <w:tcW w:w="840" w:type="dxa"/>
            <w:vAlign w:val="bottom"/>
            <w:tcBorders>
              <w:top w:val="single" w:sz="8" w:color="auto"/>
            </w:tcBorders>
            <w:gridSpan w:val="2"/>
            <w:vMerge w:val="restart"/>
          </w:tcPr>
          <w:p>
            <w:pPr>
              <w:jc w:val="right"/>
              <w:ind w:right="19"/>
              <w:spacing w:after="0"/>
              <w:rPr>
                <w:sz w:val="20"/>
                <w:szCs w:val="20"/>
                <w:color w:val="auto"/>
              </w:rPr>
            </w:pPr>
            <w:r>
              <w:rPr>
                <w:rFonts w:ascii="Arial" w:cs="Arial" w:eastAsia="Arial" w:hAnsi="Arial"/>
                <w:sz w:val="16"/>
                <w:szCs w:val="16"/>
                <w:color w:val="auto"/>
              </w:rPr>
              <w:t>Revenue</w:t>
            </w:r>
          </w:p>
        </w:tc>
        <w:tc>
          <w:tcPr>
            <w:tcW w:w="6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Y/Y</w:t>
            </w:r>
          </w:p>
        </w:tc>
        <w:tc>
          <w:tcPr>
            <w:tcW w:w="120" w:type="dxa"/>
            <w:vAlign w:val="bottom"/>
          </w:tcPr>
          <w:p>
            <w:pPr>
              <w:spacing w:after="0"/>
              <w:rPr>
                <w:sz w:val="13"/>
                <w:szCs w:val="13"/>
                <w:color w:val="auto"/>
              </w:rPr>
            </w:pP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Revenue</w:t>
            </w: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Y/Y</w:t>
            </w:r>
          </w:p>
        </w:tc>
        <w:tc>
          <w:tcPr>
            <w:tcW w:w="12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Revenue</w:t>
            </w:r>
          </w:p>
        </w:tc>
        <w:tc>
          <w:tcPr>
            <w:tcW w:w="680" w:type="dxa"/>
            <w:vAlign w:val="bottom"/>
            <w:tcBorders>
              <w:top w:val="single" w:sz="8" w:color="auto"/>
            </w:tcBorders>
          </w:tcPr>
          <w:p>
            <w:pPr>
              <w:jc w:val="right"/>
              <w:ind w:right="119"/>
              <w:spacing w:after="0" w:line="155" w:lineRule="exact"/>
              <w:rPr>
                <w:sz w:val="20"/>
                <w:szCs w:val="20"/>
                <w:color w:val="auto"/>
              </w:rPr>
            </w:pPr>
            <w:r>
              <w:rPr>
                <w:rFonts w:ascii="Arial" w:cs="Arial" w:eastAsia="Arial" w:hAnsi="Arial"/>
                <w:sz w:val="16"/>
                <w:szCs w:val="16"/>
                <w:color w:val="auto"/>
              </w:rPr>
              <w:t>Y/Y</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6"/>
                <w:szCs w:val="16"/>
                <w:color w:val="auto"/>
              </w:rPr>
              <w:t>Growth</w:t>
            </w:r>
          </w:p>
        </w:tc>
        <w:tc>
          <w:tcPr>
            <w:tcW w:w="820" w:type="dxa"/>
            <w:vAlign w:val="bottom"/>
            <w:vMerge w:val="continue"/>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rPr>
              <w:t>Growth</w:t>
            </w:r>
          </w:p>
        </w:tc>
        <w:tc>
          <w:tcPr>
            <w:tcW w:w="840" w:type="dxa"/>
            <w:vAlign w:val="bottom"/>
            <w:gridSpan w:val="2"/>
            <w:vMerge w:val="continue"/>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color w:val="auto"/>
              </w:rPr>
              <w:t>Growth</w:t>
            </w:r>
          </w:p>
        </w:tc>
        <w:tc>
          <w:tcPr>
            <w:tcW w:w="840" w:type="dxa"/>
            <w:vAlign w:val="bottom"/>
            <w:vMerge w:val="continue"/>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6"/>
                <w:szCs w:val="16"/>
                <w:color w:val="auto"/>
              </w:rPr>
              <w:t>Growth</w:t>
            </w:r>
          </w:p>
        </w:tc>
        <w:tc>
          <w:tcPr>
            <w:tcW w:w="8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251"/>
        </w:trPr>
        <w:tc>
          <w:tcPr>
            <w:tcW w:w="110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Subscription:</w:t>
            </w:r>
          </w:p>
        </w:tc>
        <w:tc>
          <w:tcPr>
            <w:tcW w:w="820" w:type="dxa"/>
            <w:vAlign w:val="bottom"/>
            <w:tcBorders>
              <w:top w:val="single" w:sz="8" w:color="auto"/>
            </w:tcBorders>
            <w:shd w:val="clear" w:color="auto" w:fill="EAEAEA"/>
          </w:tcPr>
          <w:p>
            <w:pPr>
              <w:spacing w:after="0"/>
              <w:rPr>
                <w:sz w:val="21"/>
                <w:szCs w:val="21"/>
                <w:color w:val="auto"/>
              </w:rPr>
            </w:pPr>
          </w:p>
        </w:tc>
        <w:tc>
          <w:tcPr>
            <w:tcW w:w="640" w:type="dxa"/>
            <w:vAlign w:val="bottom"/>
            <w:tcBorders>
              <w:top w:val="single" w:sz="8" w:color="auto"/>
            </w:tcBorders>
            <w:shd w:val="clear" w:color="auto" w:fill="EAEAEA"/>
          </w:tcPr>
          <w:p>
            <w:pPr>
              <w:spacing w:after="0"/>
              <w:rPr>
                <w:sz w:val="21"/>
                <w:szCs w:val="21"/>
                <w:color w:val="auto"/>
              </w:rPr>
            </w:pPr>
          </w:p>
        </w:tc>
        <w:tc>
          <w:tcPr>
            <w:tcW w:w="120" w:type="dxa"/>
            <w:vAlign w:val="bottom"/>
            <w:tcBorders>
              <w:top w:val="single" w:sz="8" w:color="EAEAEA"/>
            </w:tcBorders>
            <w:shd w:val="clear" w:color="auto" w:fill="EAEAEA"/>
          </w:tcPr>
          <w:p>
            <w:pPr>
              <w:spacing w:after="0"/>
              <w:rPr>
                <w:sz w:val="21"/>
                <w:szCs w:val="21"/>
                <w:color w:val="auto"/>
              </w:rPr>
            </w:pPr>
          </w:p>
        </w:tc>
        <w:tc>
          <w:tcPr>
            <w:tcW w:w="820" w:type="dxa"/>
            <w:vAlign w:val="bottom"/>
            <w:tcBorders>
              <w:top w:val="single" w:sz="8" w:color="auto"/>
            </w:tcBorders>
            <w:shd w:val="clear" w:color="auto" w:fill="EAEAEA"/>
          </w:tcPr>
          <w:p>
            <w:pPr>
              <w:spacing w:after="0"/>
              <w:rPr>
                <w:sz w:val="21"/>
                <w:szCs w:val="21"/>
                <w:color w:val="auto"/>
              </w:rPr>
            </w:pPr>
          </w:p>
        </w:tc>
        <w:tc>
          <w:tcPr>
            <w:tcW w:w="660" w:type="dxa"/>
            <w:vAlign w:val="bottom"/>
            <w:tcBorders>
              <w:top w:val="single" w:sz="8" w:color="auto"/>
            </w:tcBorders>
            <w:shd w:val="clear" w:color="auto" w:fill="EAEAEA"/>
          </w:tcPr>
          <w:p>
            <w:pPr>
              <w:spacing w:after="0"/>
              <w:rPr>
                <w:sz w:val="21"/>
                <w:szCs w:val="21"/>
                <w:color w:val="auto"/>
              </w:rPr>
            </w:pPr>
          </w:p>
        </w:tc>
        <w:tc>
          <w:tcPr>
            <w:tcW w:w="120" w:type="dxa"/>
            <w:vAlign w:val="bottom"/>
            <w:tcBorders>
              <w:top w:val="single" w:sz="8" w:color="EAEAEA"/>
            </w:tcBorders>
            <w:shd w:val="clear" w:color="auto" w:fill="EAEAEA"/>
          </w:tcPr>
          <w:p>
            <w:pPr>
              <w:spacing w:after="0"/>
              <w:rPr>
                <w:sz w:val="21"/>
                <w:szCs w:val="21"/>
                <w:color w:val="auto"/>
              </w:rPr>
            </w:pPr>
          </w:p>
        </w:tc>
        <w:tc>
          <w:tcPr>
            <w:tcW w:w="140" w:type="dxa"/>
            <w:vAlign w:val="bottom"/>
            <w:tcBorders>
              <w:top w:val="single" w:sz="8" w:color="auto"/>
            </w:tcBorders>
            <w:shd w:val="clear" w:color="auto" w:fill="EAEAEA"/>
          </w:tcPr>
          <w:p>
            <w:pPr>
              <w:spacing w:after="0"/>
              <w:rPr>
                <w:sz w:val="21"/>
                <w:szCs w:val="21"/>
                <w:color w:val="auto"/>
              </w:rPr>
            </w:pPr>
          </w:p>
        </w:tc>
        <w:tc>
          <w:tcPr>
            <w:tcW w:w="700" w:type="dxa"/>
            <w:vAlign w:val="bottom"/>
            <w:tcBorders>
              <w:top w:val="single" w:sz="8" w:color="auto"/>
            </w:tcBorders>
            <w:shd w:val="clear" w:color="auto" w:fill="EAEAEA"/>
          </w:tcPr>
          <w:p>
            <w:pPr>
              <w:spacing w:after="0"/>
              <w:rPr>
                <w:sz w:val="21"/>
                <w:szCs w:val="21"/>
                <w:color w:val="auto"/>
              </w:rPr>
            </w:pPr>
          </w:p>
        </w:tc>
        <w:tc>
          <w:tcPr>
            <w:tcW w:w="660" w:type="dxa"/>
            <w:vAlign w:val="bottom"/>
            <w:tcBorders>
              <w:top w:val="single" w:sz="8" w:color="auto"/>
            </w:tcBorders>
            <w:shd w:val="clear" w:color="auto" w:fill="EAEAEA"/>
          </w:tcPr>
          <w:p>
            <w:pPr>
              <w:spacing w:after="0"/>
              <w:rPr>
                <w:sz w:val="21"/>
                <w:szCs w:val="21"/>
                <w:color w:val="auto"/>
              </w:rPr>
            </w:pPr>
          </w:p>
        </w:tc>
        <w:tc>
          <w:tcPr>
            <w:tcW w:w="120" w:type="dxa"/>
            <w:vAlign w:val="bottom"/>
            <w:tcBorders>
              <w:top w:val="single" w:sz="8" w:color="EAEAEA"/>
            </w:tcBorders>
            <w:shd w:val="clear" w:color="auto" w:fill="EAEAEA"/>
          </w:tcPr>
          <w:p>
            <w:pPr>
              <w:spacing w:after="0"/>
              <w:rPr>
                <w:sz w:val="21"/>
                <w:szCs w:val="21"/>
                <w:color w:val="auto"/>
              </w:rPr>
            </w:pPr>
          </w:p>
        </w:tc>
        <w:tc>
          <w:tcPr>
            <w:tcW w:w="840" w:type="dxa"/>
            <w:vAlign w:val="bottom"/>
            <w:tcBorders>
              <w:top w:val="single" w:sz="8" w:color="auto"/>
            </w:tcBorders>
            <w:shd w:val="clear" w:color="auto" w:fill="EAEAEA"/>
          </w:tcPr>
          <w:p>
            <w:pPr>
              <w:spacing w:after="0"/>
              <w:rPr>
                <w:sz w:val="21"/>
                <w:szCs w:val="21"/>
                <w:color w:val="auto"/>
              </w:rPr>
            </w:pPr>
          </w:p>
        </w:tc>
        <w:tc>
          <w:tcPr>
            <w:tcW w:w="680" w:type="dxa"/>
            <w:vAlign w:val="bottom"/>
            <w:tcBorders>
              <w:top w:val="single" w:sz="8" w:color="auto"/>
            </w:tcBorders>
            <w:shd w:val="clear" w:color="auto" w:fill="EAEAEA"/>
          </w:tcPr>
          <w:p>
            <w:pPr>
              <w:spacing w:after="0"/>
              <w:rPr>
                <w:sz w:val="21"/>
                <w:szCs w:val="21"/>
                <w:color w:val="auto"/>
              </w:rPr>
            </w:pPr>
          </w:p>
        </w:tc>
        <w:tc>
          <w:tcPr>
            <w:tcW w:w="120" w:type="dxa"/>
            <w:vAlign w:val="bottom"/>
            <w:tcBorders>
              <w:top w:val="single" w:sz="8" w:color="EAEAEA"/>
            </w:tcBorders>
            <w:shd w:val="clear" w:color="auto" w:fill="EAEAEA"/>
          </w:tcPr>
          <w:p>
            <w:pPr>
              <w:spacing w:after="0"/>
              <w:rPr>
                <w:sz w:val="21"/>
                <w:szCs w:val="21"/>
                <w:color w:val="auto"/>
              </w:rPr>
            </w:pPr>
          </w:p>
        </w:tc>
        <w:tc>
          <w:tcPr>
            <w:tcW w:w="820" w:type="dxa"/>
            <w:vAlign w:val="bottom"/>
            <w:tcBorders>
              <w:top w:val="single" w:sz="8" w:color="auto"/>
            </w:tcBorders>
            <w:shd w:val="clear" w:color="auto" w:fill="EAEAEA"/>
          </w:tcPr>
          <w:p>
            <w:pPr>
              <w:spacing w:after="0"/>
              <w:rPr>
                <w:sz w:val="21"/>
                <w:szCs w:val="21"/>
                <w:color w:val="auto"/>
              </w:rPr>
            </w:pPr>
          </w:p>
        </w:tc>
        <w:tc>
          <w:tcPr>
            <w:tcW w:w="680" w:type="dxa"/>
            <w:vAlign w:val="bottom"/>
            <w:tcBorders>
              <w:top w:val="single" w:sz="8" w:color="auto"/>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100" w:type="dxa"/>
            <w:vAlign w:val="bottom"/>
          </w:tcPr>
          <w:p>
            <w:pPr>
              <w:ind w:left="120"/>
              <w:spacing w:after="0" w:line="162" w:lineRule="exact"/>
              <w:rPr>
                <w:sz w:val="20"/>
                <w:szCs w:val="20"/>
                <w:color w:val="auto"/>
              </w:rPr>
            </w:pPr>
            <w:r>
              <w:rPr>
                <w:rFonts w:ascii="Arial" w:cs="Arial" w:eastAsia="Arial" w:hAnsi="Arial"/>
                <w:sz w:val="16"/>
                <w:szCs w:val="16"/>
                <w:color w:val="auto"/>
              </w:rPr>
              <w:t>Term-based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$ 107,954</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$ 109,282</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92,647</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$ 118,950</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$ 114,445</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5"/>
        </w:trPr>
        <w:tc>
          <w:tcPr>
            <w:tcW w:w="1100" w:type="dxa"/>
            <w:vAlign w:val="bottom"/>
          </w:tcPr>
          <w:p>
            <w:pPr>
              <w:ind w:left="120"/>
              <w:spacing w:after="0"/>
              <w:rPr>
                <w:sz w:val="20"/>
                <w:szCs w:val="20"/>
                <w:color w:val="auto"/>
              </w:rPr>
            </w:pPr>
            <w:r>
              <w:rPr>
                <w:rFonts w:ascii="Arial" w:cs="Arial" w:eastAsia="Arial" w:hAnsi="Arial"/>
                <w:sz w:val="16"/>
                <w:szCs w:val="16"/>
                <w:color w:val="auto"/>
              </w:rPr>
              <w:t>license</w:t>
            </w:r>
          </w:p>
        </w:tc>
        <w:tc>
          <w:tcPr>
            <w:tcW w:w="8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100" w:type="dxa"/>
            <w:vAlign w:val="bottom"/>
            <w:shd w:val="clear" w:color="auto" w:fill="EAEAEA"/>
          </w:tcPr>
          <w:p>
            <w:pPr>
              <w:ind w:left="120"/>
              <w:spacing w:after="0"/>
              <w:rPr>
                <w:sz w:val="20"/>
                <w:szCs w:val="20"/>
                <w:color w:val="auto"/>
              </w:rPr>
            </w:pPr>
            <w:r>
              <w:rPr>
                <w:rFonts w:ascii="Arial" w:cs="Arial" w:eastAsia="Arial" w:hAnsi="Arial"/>
                <w:sz w:val="16"/>
                <w:szCs w:val="16"/>
                <w:color w:val="auto"/>
              </w:rPr>
              <w:t>SaaS</w:t>
            </w: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65,274</w:t>
            </w:r>
          </w:p>
        </w:tc>
        <w:tc>
          <w:tcPr>
            <w:tcW w:w="6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EAEAEA"/>
          </w:tcPr>
          <w:p>
            <w:pPr>
              <w:spacing w:after="0"/>
              <w:rPr>
                <w:sz w:val="23"/>
                <w:szCs w:val="23"/>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72,445</w:t>
            </w:r>
          </w:p>
        </w:tc>
        <w:tc>
          <w:tcPr>
            <w:tcW w:w="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EAEAEA"/>
          </w:tcPr>
          <w:p>
            <w:pPr>
              <w:spacing w:after="0"/>
              <w:rPr>
                <w:sz w:val="23"/>
                <w:szCs w:val="23"/>
                <w:color w:val="auto"/>
              </w:rPr>
            </w:pPr>
          </w:p>
        </w:tc>
        <w:tc>
          <w:tcPr>
            <w:tcW w:w="140" w:type="dxa"/>
            <w:vAlign w:val="bottom"/>
            <w:tcBorders>
              <w:bottom w:val="single" w:sz="8" w:color="auto"/>
            </w:tcBorders>
            <w:shd w:val="clear" w:color="auto" w:fill="EAEAEA"/>
          </w:tcPr>
          <w:p>
            <w:pPr>
              <w:spacing w:after="0"/>
              <w:rPr>
                <w:sz w:val="23"/>
                <w:szCs w:val="23"/>
                <w:color w:val="auto"/>
              </w:rPr>
            </w:pP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80,018</w:t>
            </w:r>
          </w:p>
        </w:tc>
        <w:tc>
          <w:tcPr>
            <w:tcW w:w="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61 %</w:t>
            </w:r>
          </w:p>
        </w:tc>
        <w:tc>
          <w:tcPr>
            <w:tcW w:w="120" w:type="dxa"/>
            <w:vAlign w:val="bottom"/>
            <w:shd w:val="clear" w:color="auto" w:fill="EAEAEA"/>
          </w:tcPr>
          <w:p>
            <w:pPr>
              <w:spacing w:after="0"/>
              <w:rPr>
                <w:sz w:val="23"/>
                <w:szCs w:val="23"/>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87,379</w:t>
            </w:r>
          </w:p>
        </w:tc>
        <w:tc>
          <w:tcPr>
            <w:tcW w:w="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EAEAEA"/>
          </w:tcPr>
          <w:p>
            <w:pPr>
              <w:spacing w:after="0"/>
              <w:rPr>
                <w:sz w:val="23"/>
                <w:szCs w:val="23"/>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93,139</w:t>
            </w:r>
          </w:p>
        </w:tc>
        <w:tc>
          <w:tcPr>
            <w:tcW w:w="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142"/>
        </w:trPr>
        <w:tc>
          <w:tcPr>
            <w:tcW w:w="1100" w:type="dxa"/>
            <w:vAlign w:val="bottom"/>
          </w:tcPr>
          <w:p>
            <w:pPr>
              <w:ind w:left="20"/>
              <w:spacing w:after="0" w:line="142" w:lineRule="exact"/>
              <w:rPr>
                <w:sz w:val="20"/>
                <w:szCs w:val="20"/>
                <w:color w:val="auto"/>
              </w:rPr>
            </w:pPr>
            <w:r>
              <w:rPr>
                <w:rFonts w:ascii="Arial" w:cs="Arial" w:eastAsia="Arial" w:hAnsi="Arial"/>
                <w:sz w:val="16"/>
                <w:szCs w:val="16"/>
                <w:color w:val="auto"/>
              </w:rPr>
              <w:t>Total</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173,228</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181,727</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172,665</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206,329</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207,584</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5"/>
        </w:trPr>
        <w:tc>
          <w:tcPr>
            <w:tcW w:w="1100" w:type="dxa"/>
            <w:vAlign w:val="bottom"/>
          </w:tcPr>
          <w:p>
            <w:pPr>
              <w:ind w:left="20"/>
              <w:spacing w:after="0"/>
              <w:rPr>
                <w:sz w:val="20"/>
                <w:szCs w:val="20"/>
                <w:color w:val="auto"/>
              </w:rPr>
            </w:pPr>
            <w:r>
              <w:rPr>
                <w:rFonts w:ascii="Arial" w:cs="Arial" w:eastAsia="Arial" w:hAnsi="Arial"/>
                <w:sz w:val="16"/>
                <w:szCs w:val="16"/>
                <w:color w:val="auto"/>
              </w:rPr>
              <w:t>subscription</w:t>
            </w:r>
          </w:p>
        </w:tc>
        <w:tc>
          <w:tcPr>
            <w:tcW w:w="8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00" w:type="dxa"/>
            <w:vAlign w:val="bottom"/>
            <w:shd w:val="clear" w:color="auto" w:fill="EAEAEA"/>
          </w:tcPr>
          <w:p>
            <w:pPr>
              <w:ind w:left="20"/>
              <w:spacing w:after="0" w:line="163" w:lineRule="exact"/>
              <w:rPr>
                <w:sz w:val="20"/>
                <w:szCs w:val="20"/>
                <w:color w:val="auto"/>
              </w:rPr>
            </w:pPr>
            <w:r>
              <w:rPr>
                <w:rFonts w:ascii="Arial" w:cs="Arial" w:eastAsia="Arial" w:hAnsi="Arial"/>
                <w:sz w:val="16"/>
                <w:szCs w:val="16"/>
                <w:color w:val="auto"/>
              </w:rPr>
              <w:t>Perpetual</w:t>
            </w: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14,962</w:t>
            </w:r>
          </w:p>
        </w:tc>
        <w:tc>
          <w:tcPr>
            <w:tcW w:w="6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EAEAEA"/>
          </w:tcPr>
          <w:p>
            <w:pPr>
              <w:spacing w:after="0"/>
              <w:rPr>
                <w:sz w:val="14"/>
                <w:szCs w:val="14"/>
                <w:color w:val="auto"/>
              </w:rPr>
            </w:pP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7,335</w:t>
            </w:r>
          </w:p>
        </w:tc>
        <w:tc>
          <w:tcPr>
            <w:tcW w:w="6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EAEAEA"/>
          </w:tcPr>
          <w:p>
            <w:pPr>
              <w:spacing w:after="0"/>
              <w:rPr>
                <w:sz w:val="14"/>
                <w:szCs w:val="14"/>
                <w:color w:val="auto"/>
              </w:rPr>
            </w:pPr>
          </w:p>
        </w:tc>
        <w:tc>
          <w:tcPr>
            <w:tcW w:w="140" w:type="dxa"/>
            <w:vAlign w:val="bottom"/>
            <w:shd w:val="clear" w:color="auto" w:fill="EAEAEA"/>
          </w:tcPr>
          <w:p>
            <w:pPr>
              <w:spacing w:after="0"/>
              <w:rPr>
                <w:sz w:val="14"/>
                <w:szCs w:val="14"/>
                <w:color w:val="auto"/>
              </w:rPr>
            </w:pPr>
          </w:p>
        </w:tc>
        <w:tc>
          <w:tcPr>
            <w:tcW w:w="7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12,073</w:t>
            </w:r>
          </w:p>
        </w:tc>
        <w:tc>
          <w:tcPr>
            <w:tcW w:w="6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EAEAEA"/>
          </w:tcPr>
          <w:p>
            <w:pPr>
              <w:spacing w:after="0"/>
              <w:rPr>
                <w:sz w:val="14"/>
                <w:szCs w:val="14"/>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13,675</w:t>
            </w:r>
          </w:p>
        </w:tc>
        <w:tc>
          <w:tcPr>
            <w:tcW w:w="6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EAEAEA"/>
          </w:tcPr>
          <w:p>
            <w:pPr>
              <w:spacing w:after="0"/>
              <w:rPr>
                <w:sz w:val="14"/>
                <w:szCs w:val="14"/>
                <w:color w:val="auto"/>
              </w:rPr>
            </w:pP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10,129</w:t>
            </w:r>
          </w:p>
        </w:tc>
        <w:tc>
          <w:tcPr>
            <w:tcW w:w="6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1100" w:type="dxa"/>
            <w:vAlign w:val="bottom"/>
            <w:shd w:val="clear" w:color="auto" w:fill="EAEAEA"/>
          </w:tcPr>
          <w:p>
            <w:pPr>
              <w:ind w:left="20"/>
              <w:spacing w:after="0"/>
              <w:rPr>
                <w:sz w:val="20"/>
                <w:szCs w:val="20"/>
                <w:color w:val="auto"/>
              </w:rPr>
            </w:pPr>
            <w:r>
              <w:rPr>
                <w:rFonts w:ascii="Arial" w:cs="Arial" w:eastAsia="Arial" w:hAnsi="Arial"/>
                <w:sz w:val="16"/>
                <w:szCs w:val="16"/>
                <w:color w:val="auto"/>
              </w:rPr>
              <w:t>license</w:t>
            </w:r>
          </w:p>
        </w:tc>
        <w:tc>
          <w:tcPr>
            <w:tcW w:w="820" w:type="dxa"/>
            <w:vAlign w:val="bottom"/>
            <w:vMerge w:val="continue"/>
            <w:shd w:val="clear" w:color="auto" w:fill="EAEAEA"/>
          </w:tcPr>
          <w:p>
            <w:pPr>
              <w:spacing w:after="0"/>
              <w:rPr>
                <w:sz w:val="18"/>
                <w:szCs w:val="18"/>
                <w:color w:val="auto"/>
              </w:rPr>
            </w:pPr>
          </w:p>
        </w:tc>
        <w:tc>
          <w:tcPr>
            <w:tcW w:w="64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20" w:type="dxa"/>
            <w:vAlign w:val="bottom"/>
            <w:vMerge w:val="continue"/>
            <w:shd w:val="clear" w:color="auto" w:fill="EAEAEA"/>
          </w:tcPr>
          <w:p>
            <w:pPr>
              <w:spacing w:after="0"/>
              <w:rPr>
                <w:sz w:val="18"/>
                <w:szCs w:val="18"/>
                <w:color w:val="auto"/>
              </w:rPr>
            </w:pPr>
          </w:p>
        </w:tc>
        <w:tc>
          <w:tcPr>
            <w:tcW w:w="66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700" w:type="dxa"/>
            <w:vAlign w:val="bottom"/>
            <w:vMerge w:val="continue"/>
            <w:shd w:val="clear" w:color="auto" w:fill="EAEAEA"/>
          </w:tcPr>
          <w:p>
            <w:pPr>
              <w:spacing w:after="0"/>
              <w:rPr>
                <w:sz w:val="18"/>
                <w:szCs w:val="18"/>
                <w:color w:val="auto"/>
              </w:rPr>
            </w:pPr>
          </w:p>
        </w:tc>
        <w:tc>
          <w:tcPr>
            <w:tcW w:w="66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40" w:type="dxa"/>
            <w:vAlign w:val="bottom"/>
            <w:vMerge w:val="continue"/>
            <w:shd w:val="clear" w:color="auto" w:fill="EAEAEA"/>
          </w:tcPr>
          <w:p>
            <w:pPr>
              <w:spacing w:after="0"/>
              <w:rPr>
                <w:sz w:val="18"/>
                <w:szCs w:val="18"/>
                <w:color w:val="auto"/>
              </w:rPr>
            </w:pPr>
          </w:p>
        </w:tc>
        <w:tc>
          <w:tcPr>
            <w:tcW w:w="68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20" w:type="dxa"/>
            <w:vAlign w:val="bottom"/>
            <w:vMerge w:val="continue"/>
            <w:shd w:val="clear" w:color="auto" w:fill="EAEAEA"/>
          </w:tcPr>
          <w:p>
            <w:pPr>
              <w:spacing w:after="0"/>
              <w:rPr>
                <w:sz w:val="18"/>
                <w:szCs w:val="18"/>
                <w:color w:val="auto"/>
              </w:rPr>
            </w:pPr>
          </w:p>
        </w:tc>
        <w:tc>
          <w:tcPr>
            <w:tcW w:w="68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00" w:type="dxa"/>
            <w:vAlign w:val="bottom"/>
          </w:tcPr>
          <w:p>
            <w:pPr>
              <w:ind w:left="20"/>
              <w:spacing w:after="0" w:line="162" w:lineRule="exact"/>
              <w:rPr>
                <w:sz w:val="20"/>
                <w:szCs w:val="20"/>
                <w:color w:val="auto"/>
              </w:rPr>
            </w:pPr>
            <w:r>
              <w:rPr>
                <w:rFonts w:ascii="Arial" w:cs="Arial" w:eastAsia="Arial" w:hAnsi="Arial"/>
                <w:sz w:val="16"/>
                <w:szCs w:val="16"/>
                <w:color w:val="auto"/>
              </w:rPr>
              <w:t>Customer</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76,509</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79,021</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80,229</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80,271</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80,905</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5"/>
        </w:trPr>
        <w:tc>
          <w:tcPr>
            <w:tcW w:w="1100" w:type="dxa"/>
            <w:vAlign w:val="bottom"/>
          </w:tcPr>
          <w:p>
            <w:pPr>
              <w:ind w:left="20"/>
              <w:spacing w:after="0"/>
              <w:rPr>
                <w:sz w:val="20"/>
                <w:szCs w:val="20"/>
                <w:color w:val="auto"/>
              </w:rPr>
            </w:pPr>
            <w:r>
              <w:rPr>
                <w:rFonts w:ascii="Arial" w:cs="Arial" w:eastAsia="Arial" w:hAnsi="Arial"/>
                <w:sz w:val="16"/>
                <w:szCs w:val="16"/>
                <w:color w:val="auto"/>
              </w:rPr>
              <w:t>support</w:t>
            </w:r>
          </w:p>
        </w:tc>
        <w:tc>
          <w:tcPr>
            <w:tcW w:w="8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0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services</w:t>
            </w: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10,340</w:t>
            </w:r>
          </w:p>
        </w:tc>
        <w:tc>
          <w:tcPr>
            <w:tcW w:w="6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EAEAEA"/>
          </w:tcPr>
          <w:p>
            <w:pPr>
              <w:spacing w:after="0"/>
              <w:rPr>
                <w:sz w:val="23"/>
                <w:szCs w:val="23"/>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13,895</w:t>
            </w:r>
          </w:p>
        </w:tc>
        <w:tc>
          <w:tcPr>
            <w:tcW w:w="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EAEAEA"/>
          </w:tcPr>
          <w:p>
            <w:pPr>
              <w:spacing w:after="0"/>
              <w:rPr>
                <w:sz w:val="23"/>
                <w:szCs w:val="23"/>
                <w:color w:val="auto"/>
              </w:rPr>
            </w:pPr>
          </w:p>
        </w:tc>
        <w:tc>
          <w:tcPr>
            <w:tcW w:w="140" w:type="dxa"/>
            <w:vAlign w:val="bottom"/>
            <w:tcBorders>
              <w:bottom w:val="single" w:sz="8" w:color="auto"/>
            </w:tcBorders>
            <w:shd w:val="clear" w:color="auto" w:fill="EAEAEA"/>
          </w:tcPr>
          <w:p>
            <w:pPr>
              <w:spacing w:after="0"/>
              <w:rPr>
                <w:sz w:val="23"/>
                <w:szCs w:val="23"/>
                <w:color w:val="auto"/>
              </w:rPr>
            </w:pP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11,221</w:t>
            </w:r>
          </w:p>
        </w:tc>
        <w:tc>
          <w:tcPr>
            <w:tcW w:w="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EAEAEA"/>
          </w:tcPr>
          <w:p>
            <w:pPr>
              <w:spacing w:after="0"/>
              <w:rPr>
                <w:sz w:val="23"/>
                <w:szCs w:val="23"/>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13,557</w:t>
            </w:r>
          </w:p>
        </w:tc>
        <w:tc>
          <w:tcPr>
            <w:tcW w:w="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25 %</w:t>
            </w:r>
          </w:p>
        </w:tc>
        <w:tc>
          <w:tcPr>
            <w:tcW w:w="120" w:type="dxa"/>
            <w:vAlign w:val="bottom"/>
            <w:shd w:val="clear" w:color="auto" w:fill="EAEAEA"/>
          </w:tcPr>
          <w:p>
            <w:pPr>
              <w:spacing w:after="0"/>
              <w:rPr>
                <w:sz w:val="23"/>
                <w:szCs w:val="23"/>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13,074</w:t>
            </w:r>
          </w:p>
        </w:tc>
        <w:tc>
          <w:tcPr>
            <w:tcW w:w="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24"/>
        </w:trPr>
        <w:tc>
          <w:tcPr>
            <w:tcW w:w="1920" w:type="dxa"/>
            <w:vAlign w:val="bottom"/>
            <w:gridSpan w:val="2"/>
          </w:tcPr>
          <w:p>
            <w:pPr>
              <w:ind w:left="20"/>
              <w:spacing w:after="0"/>
              <w:rPr>
                <w:sz w:val="20"/>
                <w:szCs w:val="20"/>
                <w:color w:val="auto"/>
              </w:rPr>
            </w:pPr>
            <w:r>
              <w:rPr>
                <w:rFonts w:ascii="Arial" w:cs="Arial" w:eastAsia="Arial" w:hAnsi="Arial"/>
                <w:sz w:val="16"/>
                <w:szCs w:val="16"/>
                <w:color w:val="auto"/>
              </w:rPr>
              <w:t>Total revenues $ 275,039</w:t>
            </w:r>
          </w:p>
        </w:tc>
        <w:tc>
          <w:tcPr>
            <w:tcW w:w="64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$ 281,978</w:t>
            </w:r>
          </w:p>
        </w:tc>
        <w:tc>
          <w:tcPr>
            <w:tcW w:w="660" w:type="dxa"/>
            <w:vAlign w:val="bottom"/>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276,188</w:t>
            </w:r>
          </w:p>
        </w:tc>
        <w:tc>
          <w:tcPr>
            <w:tcW w:w="66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$ 313,832</w:t>
            </w:r>
          </w:p>
        </w:tc>
        <w:tc>
          <w:tcPr>
            <w:tcW w:w="68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$ 311,692</w:t>
            </w:r>
          </w:p>
        </w:tc>
        <w:tc>
          <w:tcPr>
            <w:tcW w:w="68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104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FY'25</w:t>
            </w:r>
          </w:p>
        </w:tc>
        <w:tc>
          <w:tcPr>
            <w:tcW w:w="10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FY'26</w:t>
            </w:r>
          </w:p>
        </w:tc>
        <w:tc>
          <w:tcPr>
            <w:tcW w:w="1060" w:type="dxa"/>
            <w:vAlign w:val="bottom"/>
            <w:tcBorders>
              <w:bottom w:val="single" w:sz="8" w:color="auto"/>
            </w:tcBorders>
          </w:tcPr>
          <w:p>
            <w:pPr>
              <w:spacing w:after="0"/>
              <w:rPr>
                <w:sz w:val="18"/>
                <w:szCs w:val="18"/>
                <w:color w:val="auto"/>
              </w:rPr>
            </w:pPr>
          </w:p>
        </w:tc>
      </w:tr>
      <w:tr>
        <w:trPr>
          <w:trHeight w:val="249"/>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Revenue</w:t>
            </w:r>
          </w:p>
        </w:tc>
        <w:tc>
          <w:tcPr>
            <w:tcW w:w="1200" w:type="dxa"/>
            <w:vAlign w:val="bottom"/>
            <w:gridSpan w:val="2"/>
          </w:tcPr>
          <w:p>
            <w:pPr>
              <w:spacing w:after="0"/>
              <w:rPr>
                <w:sz w:val="20"/>
                <w:szCs w:val="20"/>
                <w:color w:val="auto"/>
              </w:rPr>
            </w:pPr>
            <w:r>
              <w:rPr>
                <w:rFonts w:ascii="Arial" w:cs="Arial" w:eastAsia="Arial" w:hAnsi="Arial"/>
                <w:sz w:val="16"/>
                <w:szCs w:val="16"/>
                <w:color w:val="auto"/>
              </w:rPr>
              <w:t>Y/Y Growth</w:t>
            </w:r>
          </w:p>
        </w:tc>
        <w:tc>
          <w:tcPr>
            <w:tcW w:w="220" w:type="dxa"/>
            <w:vAlign w:val="bottom"/>
          </w:tcPr>
          <w:p>
            <w:pPr>
              <w:spacing w:after="0"/>
              <w:rPr>
                <w:sz w:val="21"/>
                <w:szCs w:val="21"/>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Revenue</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Y/Y Growth</w:t>
            </w:r>
          </w:p>
        </w:tc>
      </w:tr>
      <w:tr>
        <w:trPr>
          <w:trHeight w:val="197"/>
        </w:trPr>
        <w:tc>
          <w:tcPr>
            <w:tcW w:w="394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Subscription:</w:t>
            </w:r>
          </w:p>
        </w:tc>
        <w:tc>
          <w:tcPr>
            <w:tcW w:w="200" w:type="dxa"/>
            <w:vAlign w:val="bottom"/>
            <w:tcBorders>
              <w:top w:val="single" w:sz="8" w:color="auto"/>
            </w:tcBorders>
            <w:shd w:val="clear" w:color="auto" w:fill="EAEAEA"/>
          </w:tcPr>
          <w:p>
            <w:pPr>
              <w:spacing w:after="0"/>
              <w:rPr>
                <w:sz w:val="17"/>
                <w:szCs w:val="17"/>
                <w:color w:val="auto"/>
              </w:rPr>
            </w:pPr>
          </w:p>
        </w:tc>
        <w:tc>
          <w:tcPr>
            <w:tcW w:w="1260" w:type="dxa"/>
            <w:vAlign w:val="bottom"/>
            <w:tcBorders>
              <w:top w:val="single" w:sz="8" w:color="auto"/>
            </w:tcBorders>
            <w:shd w:val="clear" w:color="auto" w:fill="EAEAEA"/>
          </w:tcPr>
          <w:p>
            <w:pPr>
              <w:spacing w:after="0"/>
              <w:rPr>
                <w:sz w:val="17"/>
                <w:szCs w:val="17"/>
                <w:color w:val="auto"/>
              </w:rPr>
            </w:pPr>
          </w:p>
        </w:tc>
        <w:tc>
          <w:tcPr>
            <w:tcW w:w="1040" w:type="dxa"/>
            <w:vAlign w:val="bottom"/>
            <w:tcBorders>
              <w:top w:val="single" w:sz="8" w:color="auto"/>
            </w:tcBorders>
            <w:shd w:val="clear" w:color="auto" w:fill="EAEAEA"/>
          </w:tcPr>
          <w:p>
            <w:pPr>
              <w:spacing w:after="0"/>
              <w:rPr>
                <w:sz w:val="17"/>
                <w:szCs w:val="17"/>
                <w:color w:val="auto"/>
              </w:rPr>
            </w:pPr>
          </w:p>
        </w:tc>
        <w:tc>
          <w:tcPr>
            <w:tcW w:w="160" w:type="dxa"/>
            <w:vAlign w:val="bottom"/>
            <w:tcBorders>
              <w:top w:val="single" w:sz="8" w:color="EAEAEA"/>
            </w:tcBorders>
            <w:shd w:val="clear" w:color="auto" w:fill="EAEAEA"/>
          </w:tcPr>
          <w:p>
            <w:pPr>
              <w:spacing w:after="0"/>
              <w:rPr>
                <w:sz w:val="17"/>
                <w:szCs w:val="17"/>
                <w:color w:val="auto"/>
              </w:rPr>
            </w:pPr>
          </w:p>
        </w:tc>
        <w:tc>
          <w:tcPr>
            <w:tcW w:w="220" w:type="dxa"/>
            <w:vAlign w:val="bottom"/>
            <w:tcBorders>
              <w:top w:val="single" w:sz="8" w:color="auto"/>
            </w:tcBorders>
            <w:shd w:val="clear" w:color="auto" w:fill="EAEAEA"/>
          </w:tcPr>
          <w:p>
            <w:pPr>
              <w:spacing w:after="0"/>
              <w:rPr>
                <w:sz w:val="17"/>
                <w:szCs w:val="17"/>
                <w:color w:val="auto"/>
              </w:rPr>
            </w:pPr>
          </w:p>
        </w:tc>
        <w:tc>
          <w:tcPr>
            <w:tcW w:w="1280" w:type="dxa"/>
            <w:vAlign w:val="bottom"/>
            <w:tcBorders>
              <w:top w:val="single" w:sz="8" w:color="auto"/>
            </w:tcBorders>
            <w:shd w:val="clear" w:color="auto" w:fill="EAEAEA"/>
          </w:tcPr>
          <w:p>
            <w:pPr>
              <w:spacing w:after="0"/>
              <w:rPr>
                <w:sz w:val="17"/>
                <w:szCs w:val="17"/>
                <w:color w:val="auto"/>
              </w:rPr>
            </w:pPr>
          </w:p>
        </w:tc>
        <w:tc>
          <w:tcPr>
            <w:tcW w:w="1060" w:type="dxa"/>
            <w:vAlign w:val="bottom"/>
            <w:tcBorders>
              <w:top w:val="single" w:sz="8" w:color="auto"/>
            </w:tcBorders>
            <w:shd w:val="clear" w:color="auto" w:fill="EAEAEA"/>
          </w:tcPr>
          <w:p>
            <w:pPr>
              <w:spacing w:after="0"/>
              <w:rPr>
                <w:sz w:val="17"/>
                <w:szCs w:val="17"/>
                <w:color w:val="auto"/>
              </w:rPr>
            </w:pPr>
          </w:p>
        </w:tc>
      </w:tr>
      <w:tr>
        <w:trPr>
          <w:trHeight w:val="269"/>
        </w:trPr>
        <w:tc>
          <w:tcPr>
            <w:tcW w:w="3940" w:type="dxa"/>
            <w:vAlign w:val="bottom"/>
          </w:tcPr>
          <w:p>
            <w:pPr>
              <w:ind w:left="140"/>
              <w:spacing w:after="0"/>
              <w:rPr>
                <w:sz w:val="20"/>
                <w:szCs w:val="20"/>
                <w:color w:val="auto"/>
              </w:rPr>
            </w:pPr>
            <w:r>
              <w:rPr>
                <w:rFonts w:ascii="Arial" w:cs="Arial" w:eastAsia="Arial" w:hAnsi="Arial"/>
                <w:sz w:val="16"/>
                <w:szCs w:val="16"/>
                <w:color w:val="auto"/>
              </w:rPr>
              <w:t>Term-based license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370,411</w:t>
            </w:r>
          </w:p>
        </w:tc>
        <w:tc>
          <w:tcPr>
            <w:tcW w:w="1040" w:type="dxa"/>
            <w:vAlign w:val="bottom"/>
          </w:tcPr>
          <w:p>
            <w:pPr>
              <w:jc w:val="right"/>
              <w:spacing w:after="0"/>
              <w:rPr>
                <w:sz w:val="20"/>
                <w:szCs w:val="20"/>
                <w:color w:val="auto"/>
              </w:rPr>
            </w:pPr>
            <w:r>
              <w:rPr>
                <w:rFonts w:ascii="Arial" w:cs="Arial" w:eastAsia="Arial" w:hAnsi="Arial"/>
                <w:sz w:val="16"/>
                <w:szCs w:val="16"/>
                <w:color w:val="auto"/>
              </w:rPr>
              <w:t>22 %</w:t>
            </w:r>
          </w:p>
        </w:tc>
        <w:tc>
          <w:tcPr>
            <w:tcW w:w="16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435,324</w:t>
            </w:r>
          </w:p>
        </w:tc>
        <w:tc>
          <w:tcPr>
            <w:tcW w:w="106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70"/>
        </w:trPr>
        <w:tc>
          <w:tcPr>
            <w:tcW w:w="3940" w:type="dxa"/>
            <w:vAlign w:val="bottom"/>
            <w:shd w:val="clear" w:color="auto" w:fill="EAEAEA"/>
          </w:tcPr>
          <w:p>
            <w:pPr>
              <w:ind w:left="140"/>
              <w:spacing w:after="0"/>
              <w:rPr>
                <w:sz w:val="20"/>
                <w:szCs w:val="20"/>
                <w:color w:val="auto"/>
              </w:rPr>
            </w:pPr>
            <w:r>
              <w:rPr>
                <w:rFonts w:ascii="Arial" w:cs="Arial" w:eastAsia="Arial" w:hAnsi="Arial"/>
                <w:sz w:val="16"/>
                <w:szCs w:val="16"/>
                <w:color w:val="auto"/>
              </w:rPr>
              <w:t>SaaS</w:t>
            </w:r>
          </w:p>
        </w:tc>
        <w:tc>
          <w:tcPr>
            <w:tcW w:w="200" w:type="dxa"/>
            <w:vAlign w:val="bottom"/>
            <w:tcBorders>
              <w:bottom w:val="single" w:sz="8" w:color="auto"/>
            </w:tcBorders>
            <w:shd w:val="clear" w:color="auto" w:fill="EAEAEA"/>
          </w:tcPr>
          <w:p>
            <w:pPr>
              <w:spacing w:after="0"/>
              <w:rPr>
                <w:sz w:val="23"/>
                <w:szCs w:val="23"/>
                <w:color w:val="auto"/>
              </w:rPr>
            </w:pPr>
          </w:p>
        </w:tc>
        <w:tc>
          <w:tcPr>
            <w:tcW w:w="1260" w:type="dxa"/>
            <w:vAlign w:val="bottom"/>
            <w:tcBorders>
              <w:bottom w:val="single" w:sz="8" w:color="auto"/>
            </w:tcBorders>
            <w:shd w:val="clear" w:color="auto" w:fill="EAEAEA"/>
          </w:tcPr>
          <w:p>
            <w:pPr>
              <w:jc w:val="right"/>
              <w:ind w:right="219"/>
              <w:spacing w:after="0"/>
              <w:rPr>
                <w:sz w:val="20"/>
                <w:szCs w:val="20"/>
                <w:color w:val="auto"/>
              </w:rPr>
            </w:pPr>
            <w:r>
              <w:rPr>
                <w:rFonts w:ascii="Arial" w:cs="Arial" w:eastAsia="Arial" w:hAnsi="Arial"/>
                <w:sz w:val="16"/>
                <w:szCs w:val="16"/>
                <w:color w:val="auto"/>
              </w:rPr>
              <w:t>219,256</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74 %</w:t>
            </w:r>
          </w:p>
        </w:tc>
        <w:tc>
          <w:tcPr>
            <w:tcW w:w="160" w:type="dxa"/>
            <w:vAlign w:val="bottom"/>
            <w:shd w:val="clear" w:color="auto" w:fill="EAEAEA"/>
          </w:tcPr>
          <w:p>
            <w:pPr>
              <w:spacing w:after="0"/>
              <w:rPr>
                <w:sz w:val="23"/>
                <w:szCs w:val="23"/>
                <w:color w:val="auto"/>
              </w:rPr>
            </w:pPr>
          </w:p>
        </w:tc>
        <w:tc>
          <w:tcPr>
            <w:tcW w:w="220" w:type="dxa"/>
            <w:vAlign w:val="bottom"/>
            <w:tcBorders>
              <w:bottom w:val="single" w:sz="8" w:color="auto"/>
            </w:tcBorders>
            <w:shd w:val="clear" w:color="auto" w:fill="EAEAEA"/>
          </w:tcPr>
          <w:p>
            <w:pPr>
              <w:spacing w:after="0"/>
              <w:rPr>
                <w:sz w:val="23"/>
                <w:szCs w:val="23"/>
                <w:color w:val="auto"/>
              </w:rPr>
            </w:pPr>
          </w:p>
        </w:tc>
        <w:tc>
          <w:tcPr>
            <w:tcW w:w="1280" w:type="dxa"/>
            <w:vAlign w:val="bottom"/>
            <w:tcBorders>
              <w:bottom w:val="single" w:sz="8" w:color="auto"/>
            </w:tcBorders>
            <w:shd w:val="clear" w:color="auto" w:fill="EAEAEA"/>
          </w:tcPr>
          <w:p>
            <w:pPr>
              <w:jc w:val="right"/>
              <w:ind w:right="219"/>
              <w:spacing w:after="0"/>
              <w:rPr>
                <w:sz w:val="20"/>
                <w:szCs w:val="20"/>
                <w:color w:val="auto"/>
              </w:rPr>
            </w:pPr>
            <w:r>
              <w:rPr>
                <w:rFonts w:ascii="Arial" w:cs="Arial" w:eastAsia="Arial" w:hAnsi="Arial"/>
                <w:sz w:val="16"/>
                <w:szCs w:val="16"/>
                <w:color w:val="auto"/>
              </w:rPr>
              <w:t>332,981</w:t>
            </w: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52 %</w:t>
            </w:r>
          </w:p>
        </w:tc>
      </w:tr>
      <w:tr>
        <w:trPr>
          <w:trHeight w:val="250"/>
        </w:trPr>
        <w:tc>
          <w:tcPr>
            <w:tcW w:w="3940" w:type="dxa"/>
            <w:vAlign w:val="bottom"/>
          </w:tcPr>
          <w:p>
            <w:pPr>
              <w:ind w:left="20"/>
              <w:spacing w:after="0"/>
              <w:rPr>
                <w:sz w:val="20"/>
                <w:szCs w:val="20"/>
                <w:color w:val="auto"/>
              </w:rPr>
            </w:pPr>
            <w:r>
              <w:rPr>
                <w:rFonts w:ascii="Arial" w:cs="Arial" w:eastAsia="Arial" w:hAnsi="Arial"/>
                <w:sz w:val="16"/>
                <w:szCs w:val="16"/>
                <w:color w:val="auto"/>
              </w:rPr>
              <w:t>Total subscription</w:t>
            </w:r>
          </w:p>
        </w:tc>
        <w:tc>
          <w:tcPr>
            <w:tcW w:w="200" w:type="dxa"/>
            <w:vAlign w:val="bottom"/>
          </w:tcPr>
          <w:p>
            <w:pPr>
              <w:spacing w:after="0"/>
              <w:rPr>
                <w:sz w:val="21"/>
                <w:szCs w:val="21"/>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589,667</w:t>
            </w:r>
          </w:p>
        </w:tc>
        <w:tc>
          <w:tcPr>
            <w:tcW w:w="1040" w:type="dxa"/>
            <w:vAlign w:val="bottom"/>
          </w:tcPr>
          <w:p>
            <w:pPr>
              <w:jc w:val="right"/>
              <w:spacing w:after="0"/>
              <w:rPr>
                <w:sz w:val="20"/>
                <w:szCs w:val="20"/>
                <w:color w:val="auto"/>
              </w:rPr>
            </w:pPr>
            <w:r>
              <w:rPr>
                <w:rFonts w:ascii="Arial" w:cs="Arial" w:eastAsia="Arial" w:hAnsi="Arial"/>
                <w:sz w:val="16"/>
                <w:szCs w:val="16"/>
                <w:color w:val="auto"/>
              </w:rPr>
              <w:t>37 %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768,305</w:t>
            </w:r>
          </w:p>
        </w:tc>
        <w:tc>
          <w:tcPr>
            <w:tcW w:w="106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71"/>
        </w:trPr>
        <w:tc>
          <w:tcPr>
            <w:tcW w:w="3940" w:type="dxa"/>
            <w:vAlign w:val="bottom"/>
            <w:shd w:val="clear" w:color="auto" w:fill="EAEAEA"/>
          </w:tcPr>
          <w:p>
            <w:pPr>
              <w:ind w:left="140"/>
              <w:spacing w:after="0"/>
              <w:rPr>
                <w:sz w:val="20"/>
                <w:szCs w:val="20"/>
                <w:color w:val="auto"/>
              </w:rPr>
            </w:pPr>
            <w:r>
              <w:rPr>
                <w:rFonts w:ascii="Arial" w:cs="Arial" w:eastAsia="Arial" w:hAnsi="Arial"/>
                <w:sz w:val="16"/>
                <w:szCs w:val="16"/>
                <w:color w:val="auto"/>
              </w:rPr>
              <w:t>Perpetual license</w:t>
            </w:r>
          </w:p>
        </w:tc>
        <w:tc>
          <w:tcPr>
            <w:tcW w:w="200" w:type="dxa"/>
            <w:vAlign w:val="bottom"/>
            <w:shd w:val="clear" w:color="auto" w:fill="EAEAEA"/>
          </w:tcPr>
          <w:p>
            <w:pPr>
              <w:spacing w:after="0"/>
              <w:rPr>
                <w:sz w:val="23"/>
                <w:szCs w:val="23"/>
                <w:color w:val="auto"/>
              </w:rPr>
            </w:pPr>
          </w:p>
        </w:tc>
        <w:tc>
          <w:tcPr>
            <w:tcW w:w="1260" w:type="dxa"/>
            <w:vAlign w:val="bottom"/>
            <w:shd w:val="clear" w:color="auto" w:fill="EAEAEA"/>
          </w:tcPr>
          <w:p>
            <w:pPr>
              <w:jc w:val="right"/>
              <w:ind w:right="219"/>
              <w:spacing w:after="0"/>
              <w:rPr>
                <w:sz w:val="20"/>
                <w:szCs w:val="20"/>
                <w:color w:val="auto"/>
              </w:rPr>
            </w:pPr>
            <w:r>
              <w:rPr>
                <w:rFonts w:ascii="Arial" w:cs="Arial" w:eastAsia="Arial" w:hAnsi="Arial"/>
                <w:sz w:val="16"/>
                <w:szCs w:val="16"/>
                <w:color w:val="auto"/>
              </w:rPr>
              <w:t>55,643</w:t>
            </w: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EAEAEA"/>
          </w:tcPr>
          <w:p>
            <w:pPr>
              <w:spacing w:after="0"/>
              <w:rPr>
                <w:sz w:val="23"/>
                <w:szCs w:val="23"/>
                <w:color w:val="auto"/>
              </w:rPr>
            </w:pPr>
          </w:p>
        </w:tc>
        <w:tc>
          <w:tcPr>
            <w:tcW w:w="220" w:type="dxa"/>
            <w:vAlign w:val="bottom"/>
            <w:shd w:val="clear" w:color="auto" w:fill="EAEAEA"/>
          </w:tcPr>
          <w:p>
            <w:pPr>
              <w:spacing w:after="0"/>
              <w:rPr>
                <w:sz w:val="23"/>
                <w:szCs w:val="23"/>
                <w:color w:val="auto"/>
              </w:rPr>
            </w:pPr>
          </w:p>
        </w:tc>
        <w:tc>
          <w:tcPr>
            <w:tcW w:w="1280" w:type="dxa"/>
            <w:vAlign w:val="bottom"/>
            <w:shd w:val="clear" w:color="auto" w:fill="EAEAEA"/>
          </w:tcPr>
          <w:p>
            <w:pPr>
              <w:jc w:val="right"/>
              <w:ind w:right="219"/>
              <w:spacing w:after="0"/>
              <w:rPr>
                <w:sz w:val="20"/>
                <w:szCs w:val="20"/>
                <w:color w:val="auto"/>
              </w:rPr>
            </w:pPr>
            <w:r>
              <w:rPr>
                <w:rFonts w:ascii="Arial" w:cs="Arial" w:eastAsia="Arial" w:hAnsi="Arial"/>
                <w:sz w:val="16"/>
                <w:szCs w:val="16"/>
                <w:color w:val="auto"/>
              </w:rPr>
              <w:t>43,212</w:t>
            </w:r>
          </w:p>
        </w:tc>
        <w:tc>
          <w:tcPr>
            <w:tcW w:w="10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w:t>
            </w:r>
          </w:p>
        </w:tc>
      </w:tr>
      <w:tr>
        <w:trPr>
          <w:trHeight w:val="269"/>
        </w:trPr>
        <w:tc>
          <w:tcPr>
            <w:tcW w:w="3940" w:type="dxa"/>
            <w:vAlign w:val="bottom"/>
          </w:tcPr>
          <w:p>
            <w:pPr>
              <w:ind w:left="140"/>
              <w:spacing w:after="0"/>
              <w:rPr>
                <w:sz w:val="20"/>
                <w:szCs w:val="20"/>
                <w:color w:val="auto"/>
              </w:rPr>
            </w:pPr>
            <w:r>
              <w:rPr>
                <w:rFonts w:ascii="Arial" w:cs="Arial" w:eastAsia="Arial" w:hAnsi="Arial"/>
                <w:sz w:val="16"/>
                <w:szCs w:val="16"/>
                <w:color w:val="auto"/>
              </w:rPr>
              <w:t>Customer support</w:t>
            </w:r>
          </w:p>
        </w:tc>
        <w:tc>
          <w:tcPr>
            <w:tcW w:w="200" w:type="dxa"/>
            <w:vAlign w:val="bottom"/>
          </w:tcPr>
          <w:p>
            <w:pPr>
              <w:spacing w:after="0"/>
              <w:rPr>
                <w:sz w:val="23"/>
                <w:szCs w:val="23"/>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307,563</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3"/>
                <w:szCs w:val="23"/>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320,426</w:t>
            </w:r>
          </w:p>
        </w:tc>
        <w:tc>
          <w:tcPr>
            <w:tcW w:w="106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70"/>
        </w:trPr>
        <w:tc>
          <w:tcPr>
            <w:tcW w:w="3940" w:type="dxa"/>
            <w:vAlign w:val="bottom"/>
            <w:shd w:val="clear" w:color="auto" w:fill="EAEAEA"/>
          </w:tcPr>
          <w:p>
            <w:pPr>
              <w:ind w:left="140"/>
              <w:spacing w:after="0"/>
              <w:rPr>
                <w:sz w:val="20"/>
                <w:szCs w:val="20"/>
                <w:color w:val="auto"/>
              </w:rPr>
            </w:pPr>
            <w:r>
              <w:rPr>
                <w:rFonts w:ascii="Arial" w:cs="Arial" w:eastAsia="Arial" w:hAnsi="Arial"/>
                <w:sz w:val="16"/>
                <w:szCs w:val="16"/>
                <w:color w:val="auto"/>
              </w:rPr>
              <w:t>Other services</w:t>
            </w:r>
          </w:p>
        </w:tc>
        <w:tc>
          <w:tcPr>
            <w:tcW w:w="200" w:type="dxa"/>
            <w:vAlign w:val="bottom"/>
            <w:tcBorders>
              <w:bottom w:val="single" w:sz="8" w:color="auto"/>
            </w:tcBorders>
            <w:shd w:val="clear" w:color="auto" w:fill="EAEAEA"/>
          </w:tcPr>
          <w:p>
            <w:pPr>
              <w:spacing w:after="0"/>
              <w:rPr>
                <w:sz w:val="23"/>
                <w:szCs w:val="23"/>
                <w:color w:val="auto"/>
              </w:rPr>
            </w:pPr>
          </w:p>
        </w:tc>
        <w:tc>
          <w:tcPr>
            <w:tcW w:w="1260" w:type="dxa"/>
            <w:vAlign w:val="bottom"/>
            <w:tcBorders>
              <w:bottom w:val="single" w:sz="8" w:color="auto"/>
            </w:tcBorders>
            <w:shd w:val="clear" w:color="auto" w:fill="EAEAEA"/>
          </w:tcPr>
          <w:p>
            <w:pPr>
              <w:jc w:val="right"/>
              <w:ind w:right="219"/>
              <w:spacing w:after="0"/>
              <w:rPr>
                <w:sz w:val="20"/>
                <w:szCs w:val="20"/>
                <w:color w:val="auto"/>
              </w:rPr>
            </w:pPr>
            <w:r>
              <w:rPr>
                <w:rFonts w:ascii="Arial" w:cs="Arial" w:eastAsia="Arial" w:hAnsi="Arial"/>
                <w:sz w:val="16"/>
                <w:szCs w:val="16"/>
                <w:color w:val="auto"/>
              </w:rPr>
              <w:t>42,746</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EAEAEA"/>
          </w:tcPr>
          <w:p>
            <w:pPr>
              <w:spacing w:after="0"/>
              <w:rPr>
                <w:sz w:val="23"/>
                <w:szCs w:val="23"/>
                <w:color w:val="auto"/>
              </w:rPr>
            </w:pPr>
          </w:p>
        </w:tc>
        <w:tc>
          <w:tcPr>
            <w:tcW w:w="220" w:type="dxa"/>
            <w:vAlign w:val="bottom"/>
            <w:tcBorders>
              <w:bottom w:val="single" w:sz="8" w:color="auto"/>
            </w:tcBorders>
            <w:shd w:val="clear" w:color="auto" w:fill="EAEAEA"/>
          </w:tcPr>
          <w:p>
            <w:pPr>
              <w:spacing w:after="0"/>
              <w:rPr>
                <w:sz w:val="23"/>
                <w:szCs w:val="23"/>
                <w:color w:val="auto"/>
              </w:rPr>
            </w:pPr>
          </w:p>
        </w:tc>
        <w:tc>
          <w:tcPr>
            <w:tcW w:w="1280" w:type="dxa"/>
            <w:vAlign w:val="bottom"/>
            <w:tcBorders>
              <w:bottom w:val="single" w:sz="8" w:color="auto"/>
            </w:tcBorders>
            <w:shd w:val="clear" w:color="auto" w:fill="EAEAEA"/>
          </w:tcPr>
          <w:p>
            <w:pPr>
              <w:jc w:val="right"/>
              <w:ind w:right="219"/>
              <w:spacing w:after="0"/>
              <w:rPr>
                <w:sz w:val="20"/>
                <w:szCs w:val="20"/>
                <w:color w:val="auto"/>
              </w:rPr>
            </w:pPr>
            <w:r>
              <w:rPr>
                <w:rFonts w:ascii="Arial" w:cs="Arial" w:eastAsia="Arial" w:hAnsi="Arial"/>
                <w:sz w:val="16"/>
                <w:szCs w:val="16"/>
                <w:color w:val="auto"/>
              </w:rPr>
              <w:t>51,747</w:t>
            </w: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21 %</w:t>
            </w:r>
          </w:p>
        </w:tc>
      </w:tr>
      <w:tr>
        <w:trPr>
          <w:trHeight w:val="224"/>
        </w:trPr>
        <w:tc>
          <w:tcPr>
            <w:tcW w:w="39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995,619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1,183,690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 Revenue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in thousands)</w:t>
      </w:r>
    </w:p>
    <w:p>
      <w:pPr>
        <w:spacing w:after="0" w:line="28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constant currency impact is calculated using the average foreign exchange rates from the prior year period and applying these rates to foreign-denominated revenues in the current corresponding period. Commvault analyzes revenue growth on a constant currency basis in order to provide a comparable framework for assessing how the business performed excluding the effect of foreign currency fluctuations. The non-GAAP financial measures presented in this press release should not be considered as a substitute for, or superior to, the measures of financial performance prepared in accordance with GAAP.</w:t>
      </w:r>
    </w:p>
    <w:p>
      <w:pPr>
        <w:spacing w:after="0" w:line="14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Q4'25 Revenue</w:t>
            </w:r>
          </w:p>
        </w:tc>
        <w:tc>
          <w:tcPr>
            <w:tcW w:w="14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Q4'26 Revenue</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Constant</w:t>
            </w: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 Change Y/Y</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 Change Y/Y</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as Reported</w:t>
            </w:r>
          </w:p>
        </w:tc>
        <w:tc>
          <w:tcPr>
            <w:tcW w:w="12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4"/>
                <w:szCs w:val="14"/>
                <w:color w:val="auto"/>
              </w:rPr>
            </w:pPr>
          </w:p>
        </w:tc>
        <w:tc>
          <w:tcPr>
            <w:tcW w:w="12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Currency</w:t>
            </w:r>
          </w:p>
        </w:tc>
        <w:tc>
          <w:tcPr>
            <w:tcW w:w="1300" w:type="dxa"/>
            <w:vAlign w:val="bottom"/>
            <w:gridSpan w:val="2"/>
            <w:vMerge w:val="continue"/>
          </w:tcPr>
          <w:p>
            <w:pPr>
              <w:spacing w:after="0"/>
              <w:rPr>
                <w:sz w:val="14"/>
                <w:szCs w:val="14"/>
                <w:color w:val="auto"/>
              </w:rPr>
            </w:pPr>
          </w:p>
        </w:tc>
        <w:tc>
          <w:tcPr>
            <w:tcW w:w="1180" w:type="dxa"/>
            <w:vAlign w:val="bottom"/>
          </w:tcPr>
          <w:p>
            <w:pPr>
              <w:jc w:val="right"/>
              <w:ind w:right="159"/>
              <w:spacing w:after="0" w:line="16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(GAAP)</w:t>
            </w: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Impact</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(GAAP)</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50"/>
        </w:trPr>
        <w:tc>
          <w:tcPr>
            <w:tcW w:w="242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Subscription:</w:t>
            </w:r>
          </w:p>
        </w:tc>
        <w:tc>
          <w:tcPr>
            <w:tcW w:w="140" w:type="dxa"/>
            <w:vAlign w:val="bottom"/>
            <w:tcBorders>
              <w:top w:val="single" w:sz="8" w:color="auto"/>
            </w:tcBorders>
            <w:shd w:val="clear" w:color="auto" w:fill="EAEAEA"/>
          </w:tcPr>
          <w:p>
            <w:pPr>
              <w:spacing w:after="0"/>
              <w:rPr>
                <w:sz w:val="21"/>
                <w:szCs w:val="21"/>
                <w:color w:val="auto"/>
              </w:rPr>
            </w:pPr>
          </w:p>
        </w:tc>
        <w:tc>
          <w:tcPr>
            <w:tcW w:w="1100" w:type="dxa"/>
            <w:vAlign w:val="bottom"/>
            <w:tcBorders>
              <w:top w:val="single" w:sz="8" w:color="auto"/>
            </w:tcBorders>
            <w:shd w:val="clear" w:color="auto" w:fill="EAEAEA"/>
          </w:tcPr>
          <w:p>
            <w:pPr>
              <w:spacing w:after="0"/>
              <w:rPr>
                <w:sz w:val="21"/>
                <w:szCs w:val="21"/>
                <w:color w:val="auto"/>
              </w:rPr>
            </w:pPr>
          </w:p>
        </w:tc>
        <w:tc>
          <w:tcPr>
            <w:tcW w:w="160" w:type="dxa"/>
            <w:vAlign w:val="bottom"/>
            <w:tcBorders>
              <w:top w:val="single" w:sz="8" w:color="EAEAEA"/>
            </w:tcBorders>
            <w:shd w:val="clear" w:color="auto" w:fill="EAEAEA"/>
          </w:tcPr>
          <w:p>
            <w:pPr>
              <w:spacing w:after="0"/>
              <w:rPr>
                <w:sz w:val="21"/>
                <w:szCs w:val="21"/>
                <w:color w:val="auto"/>
              </w:rPr>
            </w:pPr>
          </w:p>
        </w:tc>
        <w:tc>
          <w:tcPr>
            <w:tcW w:w="120" w:type="dxa"/>
            <w:vAlign w:val="bottom"/>
            <w:tcBorders>
              <w:top w:val="single" w:sz="8" w:color="auto"/>
            </w:tcBorders>
            <w:shd w:val="clear" w:color="auto" w:fill="EAEAEA"/>
          </w:tcPr>
          <w:p>
            <w:pPr>
              <w:spacing w:after="0"/>
              <w:rPr>
                <w:sz w:val="21"/>
                <w:szCs w:val="21"/>
                <w:color w:val="auto"/>
              </w:rPr>
            </w:pPr>
          </w:p>
        </w:tc>
        <w:tc>
          <w:tcPr>
            <w:tcW w:w="1120" w:type="dxa"/>
            <w:vAlign w:val="bottom"/>
            <w:tcBorders>
              <w:top w:val="single" w:sz="8" w:color="auto"/>
            </w:tcBorders>
            <w:shd w:val="clear" w:color="auto" w:fill="EAEAEA"/>
          </w:tcPr>
          <w:p>
            <w:pPr>
              <w:spacing w:after="0"/>
              <w:rPr>
                <w:sz w:val="21"/>
                <w:szCs w:val="21"/>
                <w:color w:val="auto"/>
              </w:rPr>
            </w:pPr>
          </w:p>
        </w:tc>
        <w:tc>
          <w:tcPr>
            <w:tcW w:w="160" w:type="dxa"/>
            <w:vAlign w:val="bottom"/>
            <w:tcBorders>
              <w:top w:val="single" w:sz="8" w:color="EAEAEA"/>
            </w:tcBorders>
            <w:shd w:val="clear" w:color="auto" w:fill="EAEAEA"/>
          </w:tcPr>
          <w:p>
            <w:pPr>
              <w:spacing w:after="0"/>
              <w:rPr>
                <w:sz w:val="21"/>
                <w:szCs w:val="21"/>
                <w:color w:val="auto"/>
              </w:rPr>
            </w:pPr>
          </w:p>
        </w:tc>
        <w:tc>
          <w:tcPr>
            <w:tcW w:w="180" w:type="dxa"/>
            <w:vAlign w:val="bottom"/>
            <w:tcBorders>
              <w:top w:val="single" w:sz="8" w:color="auto"/>
            </w:tcBorders>
            <w:shd w:val="clear" w:color="auto" w:fill="EAEAEA"/>
          </w:tcPr>
          <w:p>
            <w:pPr>
              <w:spacing w:after="0"/>
              <w:rPr>
                <w:sz w:val="21"/>
                <w:szCs w:val="21"/>
                <w:color w:val="auto"/>
              </w:rPr>
            </w:pPr>
          </w:p>
        </w:tc>
        <w:tc>
          <w:tcPr>
            <w:tcW w:w="1060" w:type="dxa"/>
            <w:vAlign w:val="bottom"/>
            <w:tcBorders>
              <w:top w:val="single" w:sz="8" w:color="auto"/>
            </w:tcBorders>
            <w:shd w:val="clear" w:color="auto" w:fill="EAEAEA"/>
          </w:tcPr>
          <w:p>
            <w:pPr>
              <w:spacing w:after="0"/>
              <w:rPr>
                <w:sz w:val="21"/>
                <w:szCs w:val="21"/>
                <w:color w:val="auto"/>
              </w:rPr>
            </w:pPr>
          </w:p>
        </w:tc>
        <w:tc>
          <w:tcPr>
            <w:tcW w:w="160" w:type="dxa"/>
            <w:vAlign w:val="bottom"/>
            <w:tcBorders>
              <w:top w:val="single" w:sz="8" w:color="EAEAEA"/>
            </w:tcBorders>
            <w:shd w:val="clear" w:color="auto" w:fill="EAEAEA"/>
          </w:tcPr>
          <w:p>
            <w:pPr>
              <w:spacing w:after="0"/>
              <w:rPr>
                <w:sz w:val="21"/>
                <w:szCs w:val="21"/>
                <w:color w:val="auto"/>
              </w:rPr>
            </w:pPr>
          </w:p>
        </w:tc>
        <w:tc>
          <w:tcPr>
            <w:tcW w:w="1160" w:type="dxa"/>
            <w:vAlign w:val="bottom"/>
            <w:tcBorders>
              <w:top w:val="single" w:sz="8" w:color="auto"/>
            </w:tcBorders>
            <w:shd w:val="clear" w:color="auto" w:fill="EAEAEA"/>
          </w:tcPr>
          <w:p>
            <w:pPr>
              <w:spacing w:after="0"/>
              <w:rPr>
                <w:sz w:val="21"/>
                <w:szCs w:val="21"/>
                <w:color w:val="auto"/>
              </w:rPr>
            </w:pPr>
          </w:p>
        </w:tc>
        <w:tc>
          <w:tcPr>
            <w:tcW w:w="140" w:type="dxa"/>
            <w:vAlign w:val="bottom"/>
            <w:tcBorders>
              <w:top w:val="single" w:sz="8" w:color="EAEAEA"/>
            </w:tcBorders>
            <w:shd w:val="clear" w:color="auto" w:fill="EAEAEA"/>
          </w:tcPr>
          <w:p>
            <w:pPr>
              <w:spacing w:after="0"/>
              <w:rPr>
                <w:sz w:val="21"/>
                <w:szCs w:val="21"/>
                <w:color w:val="auto"/>
              </w:rPr>
            </w:pPr>
          </w:p>
        </w:tc>
        <w:tc>
          <w:tcPr>
            <w:tcW w:w="1180" w:type="dxa"/>
            <w:vAlign w:val="bottom"/>
            <w:tcBorders>
              <w:top w:val="single" w:sz="8" w:color="auto"/>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420" w:type="dxa"/>
            <w:vAlign w:val="bottom"/>
          </w:tcPr>
          <w:p>
            <w:pPr>
              <w:ind w:left="120"/>
              <w:spacing w:after="0"/>
              <w:rPr>
                <w:sz w:val="20"/>
                <w:szCs w:val="20"/>
                <w:color w:val="auto"/>
              </w:rPr>
            </w:pPr>
            <w:r>
              <w:rPr>
                <w:rFonts w:ascii="Arial" w:cs="Arial" w:eastAsia="Arial" w:hAnsi="Arial"/>
                <w:sz w:val="16"/>
                <w:szCs w:val="16"/>
                <w:color w:val="auto"/>
              </w:rPr>
              <w:t>Term-based license</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107,954</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114,445</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(3,827)</w:t>
            </w:r>
          </w:p>
        </w:tc>
        <w:tc>
          <w:tcPr>
            <w:tcW w:w="16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2420" w:type="dxa"/>
            <w:vAlign w:val="bottom"/>
            <w:shd w:val="clear" w:color="auto" w:fill="EAEAEA"/>
          </w:tcPr>
          <w:p>
            <w:pPr>
              <w:ind w:left="120"/>
              <w:spacing w:after="0"/>
              <w:rPr>
                <w:sz w:val="20"/>
                <w:szCs w:val="20"/>
                <w:color w:val="auto"/>
              </w:rPr>
            </w:pPr>
            <w:r>
              <w:rPr>
                <w:rFonts w:ascii="Arial" w:cs="Arial" w:eastAsia="Arial" w:hAnsi="Arial"/>
                <w:sz w:val="16"/>
                <w:szCs w:val="16"/>
                <w:color w:val="auto"/>
              </w:rPr>
              <w:t>SaaS</w:t>
            </w:r>
          </w:p>
        </w:tc>
        <w:tc>
          <w:tcPr>
            <w:tcW w:w="140" w:type="dxa"/>
            <w:vAlign w:val="bottom"/>
            <w:tcBorders>
              <w:bottom w:val="single" w:sz="8" w:color="auto"/>
            </w:tcBorders>
            <w:shd w:val="clear" w:color="auto" w:fill="EAEAEA"/>
          </w:tcPr>
          <w:p>
            <w:pPr>
              <w:spacing w:after="0"/>
              <w:rPr>
                <w:sz w:val="23"/>
                <w:szCs w:val="23"/>
                <w:color w:val="auto"/>
              </w:rPr>
            </w:pPr>
          </w:p>
        </w:tc>
        <w:tc>
          <w:tcPr>
            <w:tcW w:w="110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65,274</w:t>
            </w:r>
          </w:p>
        </w:tc>
        <w:tc>
          <w:tcPr>
            <w:tcW w:w="160" w:type="dxa"/>
            <w:vAlign w:val="bottom"/>
            <w:shd w:val="clear" w:color="auto" w:fill="EAEAEA"/>
          </w:tcPr>
          <w:p>
            <w:pPr>
              <w:spacing w:after="0"/>
              <w:rPr>
                <w:sz w:val="23"/>
                <w:szCs w:val="23"/>
                <w:color w:val="auto"/>
              </w:rPr>
            </w:pPr>
          </w:p>
        </w:tc>
        <w:tc>
          <w:tcPr>
            <w:tcW w:w="120" w:type="dxa"/>
            <w:vAlign w:val="bottom"/>
            <w:tcBorders>
              <w:bottom w:val="single" w:sz="8" w:color="auto"/>
            </w:tcBorders>
            <w:shd w:val="clear" w:color="auto" w:fill="EAEAEA"/>
          </w:tcPr>
          <w:p>
            <w:pPr>
              <w:spacing w:after="0"/>
              <w:rPr>
                <w:sz w:val="23"/>
                <w:szCs w:val="23"/>
                <w:color w:val="auto"/>
              </w:rPr>
            </w:pPr>
          </w:p>
        </w:tc>
        <w:tc>
          <w:tcPr>
            <w:tcW w:w="112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93,139</w:t>
            </w:r>
          </w:p>
        </w:tc>
        <w:tc>
          <w:tcPr>
            <w:tcW w:w="160" w:type="dxa"/>
            <w:vAlign w:val="bottom"/>
            <w:shd w:val="clear" w:color="auto" w:fill="EAEAEA"/>
          </w:tcPr>
          <w:p>
            <w:pPr>
              <w:spacing w:after="0"/>
              <w:rPr>
                <w:sz w:val="23"/>
                <w:szCs w:val="23"/>
                <w:color w:val="auto"/>
              </w:rPr>
            </w:pPr>
          </w:p>
        </w:tc>
        <w:tc>
          <w:tcPr>
            <w:tcW w:w="180" w:type="dxa"/>
            <w:vAlign w:val="bottom"/>
            <w:tcBorders>
              <w:bottom w:val="single" w:sz="8" w:color="auto"/>
            </w:tcBorders>
            <w:shd w:val="clear" w:color="auto" w:fill="EAEAEA"/>
          </w:tcPr>
          <w:p>
            <w:pPr>
              <w:spacing w:after="0"/>
              <w:rPr>
                <w:sz w:val="23"/>
                <w:szCs w:val="23"/>
                <w:color w:val="auto"/>
              </w:rPr>
            </w:pPr>
          </w:p>
        </w:tc>
        <w:tc>
          <w:tcPr>
            <w:tcW w:w="106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(3,113)</w:t>
            </w:r>
          </w:p>
        </w:tc>
        <w:tc>
          <w:tcPr>
            <w:tcW w:w="160" w:type="dxa"/>
            <w:vAlign w:val="bottom"/>
            <w:shd w:val="clear" w:color="auto" w:fill="EAEAEA"/>
          </w:tcPr>
          <w:p>
            <w:pPr>
              <w:spacing w:after="0"/>
              <w:rPr>
                <w:sz w:val="23"/>
                <w:szCs w:val="23"/>
                <w:color w:val="auto"/>
              </w:rPr>
            </w:pPr>
          </w:p>
        </w:tc>
        <w:tc>
          <w:tcPr>
            <w:tcW w:w="116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43%</w:t>
            </w:r>
          </w:p>
        </w:tc>
        <w:tc>
          <w:tcPr>
            <w:tcW w:w="140" w:type="dxa"/>
            <w:vAlign w:val="bottom"/>
            <w:shd w:val="clear" w:color="auto" w:fill="EAEAEA"/>
          </w:tcPr>
          <w:p>
            <w:pPr>
              <w:spacing w:after="0"/>
              <w:rPr>
                <w:sz w:val="23"/>
                <w:szCs w:val="23"/>
                <w:color w:val="auto"/>
              </w:rPr>
            </w:pPr>
          </w:p>
        </w:tc>
        <w:tc>
          <w:tcPr>
            <w:tcW w:w="118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6"/>
                <w:szCs w:val="16"/>
                <w:color w:val="auto"/>
              </w:rPr>
              <w:t>Total subscription</w:t>
            </w:r>
          </w:p>
        </w:tc>
        <w:tc>
          <w:tcPr>
            <w:tcW w:w="14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173,228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207,584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(6,940)</w:t>
            </w:r>
          </w:p>
        </w:tc>
        <w:tc>
          <w:tcPr>
            <w:tcW w:w="16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1"/>
        </w:trPr>
        <w:tc>
          <w:tcPr>
            <w:tcW w:w="24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Perpetual license</w:t>
            </w:r>
          </w:p>
        </w:tc>
        <w:tc>
          <w:tcPr>
            <w:tcW w:w="140" w:type="dxa"/>
            <w:vAlign w:val="bottom"/>
            <w:shd w:val="clear" w:color="auto" w:fill="EAEAEA"/>
          </w:tcPr>
          <w:p>
            <w:pPr>
              <w:spacing w:after="0"/>
              <w:rPr>
                <w:sz w:val="23"/>
                <w:szCs w:val="23"/>
                <w:color w:val="auto"/>
              </w:rPr>
            </w:pPr>
          </w:p>
        </w:tc>
        <w:tc>
          <w:tcPr>
            <w:tcW w:w="110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rPr>
              <w:t>14,962</w:t>
            </w:r>
          </w:p>
        </w:tc>
        <w:tc>
          <w:tcPr>
            <w:tcW w:w="160" w:type="dxa"/>
            <w:vAlign w:val="bottom"/>
            <w:shd w:val="clear" w:color="auto" w:fill="EAEAEA"/>
          </w:tcPr>
          <w:p>
            <w:pPr>
              <w:spacing w:after="0"/>
              <w:rPr>
                <w:sz w:val="23"/>
                <w:szCs w:val="23"/>
                <w:color w:val="auto"/>
              </w:rPr>
            </w:pPr>
          </w:p>
        </w:tc>
        <w:tc>
          <w:tcPr>
            <w:tcW w:w="120" w:type="dxa"/>
            <w:vAlign w:val="bottom"/>
            <w:shd w:val="clear" w:color="auto" w:fill="EAEAEA"/>
          </w:tcPr>
          <w:p>
            <w:pPr>
              <w:spacing w:after="0"/>
              <w:rPr>
                <w:sz w:val="23"/>
                <w:szCs w:val="23"/>
                <w:color w:val="auto"/>
              </w:rPr>
            </w:pPr>
          </w:p>
        </w:tc>
        <w:tc>
          <w:tcPr>
            <w:tcW w:w="112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rPr>
              <w:t>10,129</w:t>
            </w:r>
          </w:p>
        </w:tc>
        <w:tc>
          <w:tcPr>
            <w:tcW w:w="160" w:type="dxa"/>
            <w:vAlign w:val="bottom"/>
            <w:shd w:val="clear" w:color="auto" w:fill="EAEAEA"/>
          </w:tcPr>
          <w:p>
            <w:pPr>
              <w:spacing w:after="0"/>
              <w:rPr>
                <w:sz w:val="23"/>
                <w:szCs w:val="23"/>
                <w:color w:val="auto"/>
              </w:rPr>
            </w:pPr>
          </w:p>
        </w:tc>
        <w:tc>
          <w:tcPr>
            <w:tcW w:w="180" w:type="dxa"/>
            <w:vAlign w:val="bottom"/>
            <w:shd w:val="clear" w:color="auto" w:fill="EAEAEA"/>
          </w:tcPr>
          <w:p>
            <w:pPr>
              <w:spacing w:after="0"/>
              <w:rPr>
                <w:sz w:val="23"/>
                <w:szCs w:val="23"/>
                <w:color w:val="auto"/>
              </w:rPr>
            </w:pPr>
          </w:p>
        </w:tc>
        <w:tc>
          <w:tcPr>
            <w:tcW w:w="106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rPr>
              <w:t>(445)</w:t>
            </w:r>
          </w:p>
        </w:tc>
        <w:tc>
          <w:tcPr>
            <w:tcW w:w="160" w:type="dxa"/>
            <w:vAlign w:val="bottom"/>
            <w:shd w:val="clear" w:color="auto" w:fill="EAEAEA"/>
          </w:tcPr>
          <w:p>
            <w:pPr>
              <w:spacing w:after="0"/>
              <w:rPr>
                <w:sz w:val="23"/>
                <w:szCs w:val="23"/>
                <w:color w:val="auto"/>
              </w:rPr>
            </w:pPr>
          </w:p>
        </w:tc>
        <w:tc>
          <w:tcPr>
            <w:tcW w:w="116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rPr>
              <w:t>(32)%</w:t>
            </w:r>
          </w:p>
        </w:tc>
        <w:tc>
          <w:tcPr>
            <w:tcW w:w="140" w:type="dxa"/>
            <w:vAlign w:val="bottom"/>
            <w:shd w:val="clear" w:color="auto" w:fill="EAEAEA"/>
          </w:tcPr>
          <w:p>
            <w:pPr>
              <w:spacing w:after="0"/>
              <w:rPr>
                <w:sz w:val="23"/>
                <w:szCs w:val="23"/>
                <w:color w:val="auto"/>
              </w:rPr>
            </w:pPr>
          </w:p>
        </w:tc>
        <w:tc>
          <w:tcPr>
            <w:tcW w:w="118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9"/>
        </w:trPr>
        <w:tc>
          <w:tcPr>
            <w:tcW w:w="2420" w:type="dxa"/>
            <w:vAlign w:val="bottom"/>
          </w:tcPr>
          <w:p>
            <w:pPr>
              <w:ind w:left="20"/>
              <w:spacing w:after="0"/>
              <w:rPr>
                <w:sz w:val="20"/>
                <w:szCs w:val="20"/>
                <w:color w:val="auto"/>
              </w:rPr>
            </w:pPr>
            <w:r>
              <w:rPr>
                <w:rFonts w:ascii="Arial" w:cs="Arial" w:eastAsia="Arial" w:hAnsi="Arial"/>
                <w:sz w:val="16"/>
                <w:szCs w:val="16"/>
                <w:color w:val="auto"/>
              </w:rPr>
              <w:t>Customer support</w:t>
            </w:r>
          </w:p>
        </w:tc>
        <w:tc>
          <w:tcPr>
            <w:tcW w:w="140" w:type="dxa"/>
            <w:vAlign w:val="bottom"/>
          </w:tcPr>
          <w:p>
            <w:pPr>
              <w:spacing w:after="0"/>
              <w:rPr>
                <w:sz w:val="23"/>
                <w:szCs w:val="23"/>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76,509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80,905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(3,284)</w:t>
            </w:r>
          </w:p>
        </w:tc>
        <w:tc>
          <w:tcPr>
            <w:tcW w:w="16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4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services</w:t>
            </w:r>
          </w:p>
        </w:tc>
        <w:tc>
          <w:tcPr>
            <w:tcW w:w="140" w:type="dxa"/>
            <w:vAlign w:val="bottom"/>
            <w:tcBorders>
              <w:bottom w:val="single" w:sz="8" w:color="auto"/>
            </w:tcBorders>
            <w:shd w:val="clear" w:color="auto" w:fill="EAEAEA"/>
          </w:tcPr>
          <w:p>
            <w:pPr>
              <w:spacing w:after="0"/>
              <w:rPr>
                <w:sz w:val="23"/>
                <w:szCs w:val="23"/>
                <w:color w:val="auto"/>
              </w:rPr>
            </w:pPr>
          </w:p>
        </w:tc>
        <w:tc>
          <w:tcPr>
            <w:tcW w:w="110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10,340</w:t>
            </w:r>
          </w:p>
        </w:tc>
        <w:tc>
          <w:tcPr>
            <w:tcW w:w="160" w:type="dxa"/>
            <w:vAlign w:val="bottom"/>
            <w:shd w:val="clear" w:color="auto" w:fill="EAEAEA"/>
          </w:tcPr>
          <w:p>
            <w:pPr>
              <w:spacing w:after="0"/>
              <w:rPr>
                <w:sz w:val="23"/>
                <w:szCs w:val="23"/>
                <w:color w:val="auto"/>
              </w:rPr>
            </w:pPr>
          </w:p>
        </w:tc>
        <w:tc>
          <w:tcPr>
            <w:tcW w:w="120" w:type="dxa"/>
            <w:vAlign w:val="bottom"/>
            <w:tcBorders>
              <w:bottom w:val="single" w:sz="8" w:color="auto"/>
            </w:tcBorders>
            <w:shd w:val="clear" w:color="auto" w:fill="EAEAEA"/>
          </w:tcPr>
          <w:p>
            <w:pPr>
              <w:spacing w:after="0"/>
              <w:rPr>
                <w:sz w:val="23"/>
                <w:szCs w:val="23"/>
                <w:color w:val="auto"/>
              </w:rPr>
            </w:pPr>
          </w:p>
        </w:tc>
        <w:tc>
          <w:tcPr>
            <w:tcW w:w="112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13,074</w:t>
            </w:r>
          </w:p>
        </w:tc>
        <w:tc>
          <w:tcPr>
            <w:tcW w:w="160" w:type="dxa"/>
            <w:vAlign w:val="bottom"/>
            <w:shd w:val="clear" w:color="auto" w:fill="EAEAEA"/>
          </w:tcPr>
          <w:p>
            <w:pPr>
              <w:spacing w:after="0"/>
              <w:rPr>
                <w:sz w:val="23"/>
                <w:szCs w:val="23"/>
                <w:color w:val="auto"/>
              </w:rPr>
            </w:pPr>
          </w:p>
        </w:tc>
        <w:tc>
          <w:tcPr>
            <w:tcW w:w="180" w:type="dxa"/>
            <w:vAlign w:val="bottom"/>
            <w:tcBorders>
              <w:bottom w:val="single" w:sz="8" w:color="auto"/>
            </w:tcBorders>
            <w:shd w:val="clear" w:color="auto" w:fill="EAEAEA"/>
          </w:tcPr>
          <w:p>
            <w:pPr>
              <w:spacing w:after="0"/>
              <w:rPr>
                <w:sz w:val="23"/>
                <w:szCs w:val="23"/>
                <w:color w:val="auto"/>
              </w:rPr>
            </w:pPr>
          </w:p>
        </w:tc>
        <w:tc>
          <w:tcPr>
            <w:tcW w:w="106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EAEAEA"/>
          </w:tcPr>
          <w:p>
            <w:pPr>
              <w:spacing w:after="0"/>
              <w:rPr>
                <w:sz w:val="23"/>
                <w:szCs w:val="23"/>
                <w:color w:val="auto"/>
              </w:rPr>
            </w:pPr>
          </w:p>
        </w:tc>
        <w:tc>
          <w:tcPr>
            <w:tcW w:w="116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26%</w:t>
            </w:r>
          </w:p>
        </w:tc>
        <w:tc>
          <w:tcPr>
            <w:tcW w:w="140" w:type="dxa"/>
            <w:vAlign w:val="bottom"/>
            <w:shd w:val="clear" w:color="auto" w:fill="EAEAEA"/>
          </w:tcPr>
          <w:p>
            <w:pPr>
              <w:spacing w:after="0"/>
              <w:rPr>
                <w:sz w:val="23"/>
                <w:szCs w:val="23"/>
                <w:color w:val="auto"/>
              </w:rPr>
            </w:pPr>
          </w:p>
        </w:tc>
        <w:tc>
          <w:tcPr>
            <w:tcW w:w="118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4"/>
        </w:trPr>
        <w:tc>
          <w:tcPr>
            <w:tcW w:w="242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275,039</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311,692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(10,831)</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255" w:right="339" w:bottom="1440" w:gutter="0" w:footer="0" w:header="0"/>
          <w:type w:val="continuous"/>
        </w:sectPr>
      </w:pPr>
    </w:p>
    <w:bookmarkStart w:id="7" w:name="page8"/>
    <w:bookmarkEnd w:id="7"/>
    <w:p>
      <w:pPr>
        <w:spacing w:after="0" w:line="55"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FY'25 Revenue</w:t>
            </w:r>
          </w:p>
        </w:tc>
        <w:tc>
          <w:tcPr>
            <w:tcW w:w="14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FY'26 Revenue</w:t>
            </w:r>
          </w:p>
        </w:tc>
        <w:tc>
          <w:tcPr>
            <w:tcW w:w="18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Constant</w:t>
            </w: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rPr>
              <w:t>% Change Y/Y</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 Change Y/Y</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4"/>
                <w:szCs w:val="14"/>
                <w:color w:val="auto"/>
              </w:rPr>
            </w:pPr>
          </w:p>
        </w:tc>
        <w:tc>
          <w:tcPr>
            <w:tcW w:w="1220" w:type="dxa"/>
            <w:vAlign w:val="bottom"/>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w w:val="99"/>
              </w:rPr>
              <w:t>Currency</w:t>
            </w:r>
          </w:p>
        </w:tc>
        <w:tc>
          <w:tcPr>
            <w:tcW w:w="1280" w:type="dxa"/>
            <w:vAlign w:val="bottom"/>
            <w:gridSpan w:val="2"/>
            <w:vMerge w:val="continue"/>
          </w:tcPr>
          <w:p>
            <w:pPr>
              <w:spacing w:after="0"/>
              <w:rPr>
                <w:sz w:val="14"/>
                <w:szCs w:val="14"/>
                <w:color w:val="auto"/>
              </w:rPr>
            </w:pPr>
          </w:p>
        </w:tc>
        <w:tc>
          <w:tcPr>
            <w:tcW w:w="1180" w:type="dxa"/>
            <w:vAlign w:val="bottom"/>
          </w:tcPr>
          <w:p>
            <w:pPr>
              <w:jc w:val="right"/>
              <w:ind w:right="159"/>
              <w:spacing w:after="0" w:line="16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(GAAP)</w:t>
            </w:r>
          </w:p>
        </w:tc>
        <w:tc>
          <w:tcPr>
            <w:tcW w:w="1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(GAAP)</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Impact</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50"/>
        </w:trPr>
        <w:tc>
          <w:tcPr>
            <w:tcW w:w="242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Subscription:</w:t>
            </w:r>
          </w:p>
        </w:tc>
        <w:tc>
          <w:tcPr>
            <w:tcW w:w="120" w:type="dxa"/>
            <w:vAlign w:val="bottom"/>
            <w:tcBorders>
              <w:top w:val="single" w:sz="8" w:color="auto"/>
            </w:tcBorders>
            <w:shd w:val="clear" w:color="auto" w:fill="EAEAEA"/>
          </w:tcPr>
          <w:p>
            <w:pPr>
              <w:spacing w:after="0"/>
              <w:rPr>
                <w:sz w:val="21"/>
                <w:szCs w:val="21"/>
                <w:color w:val="auto"/>
              </w:rPr>
            </w:pPr>
          </w:p>
        </w:tc>
        <w:tc>
          <w:tcPr>
            <w:tcW w:w="1100" w:type="dxa"/>
            <w:vAlign w:val="bottom"/>
            <w:tcBorders>
              <w:top w:val="single" w:sz="8" w:color="auto"/>
            </w:tcBorders>
            <w:shd w:val="clear" w:color="auto" w:fill="EAEAEA"/>
          </w:tcPr>
          <w:p>
            <w:pPr>
              <w:spacing w:after="0"/>
              <w:rPr>
                <w:sz w:val="21"/>
                <w:szCs w:val="21"/>
                <w:color w:val="auto"/>
              </w:rPr>
            </w:pPr>
          </w:p>
        </w:tc>
        <w:tc>
          <w:tcPr>
            <w:tcW w:w="160" w:type="dxa"/>
            <w:vAlign w:val="bottom"/>
            <w:tcBorders>
              <w:top w:val="single" w:sz="8" w:color="EAEAEA"/>
            </w:tcBorders>
            <w:shd w:val="clear" w:color="auto" w:fill="EAEAEA"/>
          </w:tcPr>
          <w:p>
            <w:pPr>
              <w:spacing w:after="0"/>
              <w:rPr>
                <w:sz w:val="21"/>
                <w:szCs w:val="21"/>
                <w:color w:val="auto"/>
              </w:rPr>
            </w:pPr>
          </w:p>
        </w:tc>
        <w:tc>
          <w:tcPr>
            <w:tcW w:w="140" w:type="dxa"/>
            <w:vAlign w:val="bottom"/>
            <w:tcBorders>
              <w:top w:val="single" w:sz="8" w:color="auto"/>
            </w:tcBorders>
            <w:shd w:val="clear" w:color="auto" w:fill="EAEAEA"/>
          </w:tcPr>
          <w:p>
            <w:pPr>
              <w:spacing w:after="0"/>
              <w:rPr>
                <w:sz w:val="21"/>
                <w:szCs w:val="21"/>
                <w:color w:val="auto"/>
              </w:rPr>
            </w:pPr>
          </w:p>
        </w:tc>
        <w:tc>
          <w:tcPr>
            <w:tcW w:w="1140" w:type="dxa"/>
            <w:vAlign w:val="bottom"/>
            <w:tcBorders>
              <w:top w:val="single" w:sz="8" w:color="auto"/>
            </w:tcBorders>
            <w:shd w:val="clear" w:color="auto" w:fill="EAEAEA"/>
          </w:tcPr>
          <w:p>
            <w:pPr>
              <w:spacing w:after="0"/>
              <w:rPr>
                <w:sz w:val="21"/>
                <w:szCs w:val="21"/>
                <w:color w:val="auto"/>
              </w:rPr>
            </w:pPr>
          </w:p>
        </w:tc>
        <w:tc>
          <w:tcPr>
            <w:tcW w:w="160" w:type="dxa"/>
            <w:vAlign w:val="bottom"/>
            <w:tcBorders>
              <w:top w:val="single" w:sz="8" w:color="EAEAEA"/>
            </w:tcBorders>
            <w:shd w:val="clear" w:color="auto" w:fill="EAEAEA"/>
          </w:tcPr>
          <w:p>
            <w:pPr>
              <w:spacing w:after="0"/>
              <w:rPr>
                <w:sz w:val="21"/>
                <w:szCs w:val="21"/>
                <w:color w:val="auto"/>
              </w:rPr>
            </w:pPr>
          </w:p>
        </w:tc>
        <w:tc>
          <w:tcPr>
            <w:tcW w:w="180" w:type="dxa"/>
            <w:vAlign w:val="bottom"/>
            <w:tcBorders>
              <w:top w:val="single" w:sz="8" w:color="auto"/>
            </w:tcBorders>
            <w:shd w:val="clear" w:color="auto" w:fill="EAEAEA"/>
          </w:tcPr>
          <w:p>
            <w:pPr>
              <w:spacing w:after="0"/>
              <w:rPr>
                <w:sz w:val="21"/>
                <w:szCs w:val="21"/>
                <w:color w:val="auto"/>
              </w:rPr>
            </w:pPr>
          </w:p>
        </w:tc>
        <w:tc>
          <w:tcPr>
            <w:tcW w:w="1060" w:type="dxa"/>
            <w:vAlign w:val="bottom"/>
            <w:tcBorders>
              <w:top w:val="single" w:sz="8" w:color="auto"/>
            </w:tcBorders>
            <w:shd w:val="clear" w:color="auto" w:fill="EAEAEA"/>
          </w:tcPr>
          <w:p>
            <w:pPr>
              <w:spacing w:after="0"/>
              <w:rPr>
                <w:sz w:val="21"/>
                <w:szCs w:val="21"/>
                <w:color w:val="auto"/>
              </w:rPr>
            </w:pPr>
          </w:p>
        </w:tc>
        <w:tc>
          <w:tcPr>
            <w:tcW w:w="160" w:type="dxa"/>
            <w:vAlign w:val="bottom"/>
            <w:tcBorders>
              <w:top w:val="single" w:sz="8" w:color="EAEAEA"/>
            </w:tcBorders>
            <w:shd w:val="clear" w:color="auto" w:fill="EAEAEA"/>
          </w:tcPr>
          <w:p>
            <w:pPr>
              <w:spacing w:after="0"/>
              <w:rPr>
                <w:sz w:val="21"/>
                <w:szCs w:val="21"/>
                <w:color w:val="auto"/>
              </w:rPr>
            </w:pPr>
          </w:p>
        </w:tc>
        <w:tc>
          <w:tcPr>
            <w:tcW w:w="1140" w:type="dxa"/>
            <w:vAlign w:val="bottom"/>
            <w:tcBorders>
              <w:top w:val="single" w:sz="8" w:color="auto"/>
            </w:tcBorders>
            <w:shd w:val="clear" w:color="auto" w:fill="EAEAEA"/>
          </w:tcPr>
          <w:p>
            <w:pPr>
              <w:spacing w:after="0"/>
              <w:rPr>
                <w:sz w:val="21"/>
                <w:szCs w:val="21"/>
                <w:color w:val="auto"/>
              </w:rPr>
            </w:pPr>
          </w:p>
        </w:tc>
        <w:tc>
          <w:tcPr>
            <w:tcW w:w="140" w:type="dxa"/>
            <w:vAlign w:val="bottom"/>
            <w:tcBorders>
              <w:top w:val="single" w:sz="8" w:color="EAEAEA"/>
            </w:tcBorders>
            <w:shd w:val="clear" w:color="auto" w:fill="EAEAEA"/>
          </w:tcPr>
          <w:p>
            <w:pPr>
              <w:spacing w:after="0"/>
              <w:rPr>
                <w:sz w:val="21"/>
                <w:szCs w:val="21"/>
                <w:color w:val="auto"/>
              </w:rPr>
            </w:pPr>
          </w:p>
        </w:tc>
        <w:tc>
          <w:tcPr>
            <w:tcW w:w="1180" w:type="dxa"/>
            <w:vAlign w:val="bottom"/>
            <w:tcBorders>
              <w:top w:val="single" w:sz="8" w:color="auto"/>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420" w:type="dxa"/>
            <w:vAlign w:val="bottom"/>
          </w:tcPr>
          <w:p>
            <w:pPr>
              <w:ind w:left="120"/>
              <w:spacing w:after="0"/>
              <w:rPr>
                <w:sz w:val="20"/>
                <w:szCs w:val="20"/>
                <w:color w:val="auto"/>
              </w:rPr>
            </w:pPr>
            <w:r>
              <w:rPr>
                <w:rFonts w:ascii="Arial" w:cs="Arial" w:eastAsia="Arial" w:hAnsi="Arial"/>
                <w:sz w:val="16"/>
                <w:szCs w:val="16"/>
                <w:color w:val="auto"/>
              </w:rPr>
              <w:t>Term-based license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370,411</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435,324</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(11,694)</w:t>
            </w:r>
          </w:p>
        </w:tc>
        <w:tc>
          <w:tcPr>
            <w:tcW w:w="16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2420" w:type="dxa"/>
            <w:vAlign w:val="bottom"/>
            <w:shd w:val="clear" w:color="auto" w:fill="EAEAEA"/>
          </w:tcPr>
          <w:p>
            <w:pPr>
              <w:ind w:left="120"/>
              <w:spacing w:after="0"/>
              <w:rPr>
                <w:sz w:val="20"/>
                <w:szCs w:val="20"/>
                <w:color w:val="auto"/>
              </w:rPr>
            </w:pPr>
            <w:r>
              <w:rPr>
                <w:rFonts w:ascii="Arial" w:cs="Arial" w:eastAsia="Arial" w:hAnsi="Arial"/>
                <w:sz w:val="16"/>
                <w:szCs w:val="16"/>
                <w:color w:val="auto"/>
              </w:rPr>
              <w:t>SaaS</w:t>
            </w:r>
          </w:p>
        </w:tc>
        <w:tc>
          <w:tcPr>
            <w:tcW w:w="120" w:type="dxa"/>
            <w:vAlign w:val="bottom"/>
            <w:tcBorders>
              <w:bottom w:val="single" w:sz="8" w:color="auto"/>
            </w:tcBorders>
            <w:shd w:val="clear" w:color="auto" w:fill="EAEAEA"/>
          </w:tcPr>
          <w:p>
            <w:pPr>
              <w:spacing w:after="0"/>
              <w:rPr>
                <w:sz w:val="23"/>
                <w:szCs w:val="23"/>
                <w:color w:val="auto"/>
              </w:rPr>
            </w:pPr>
          </w:p>
        </w:tc>
        <w:tc>
          <w:tcPr>
            <w:tcW w:w="110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219,256</w:t>
            </w:r>
          </w:p>
        </w:tc>
        <w:tc>
          <w:tcPr>
            <w:tcW w:w="160" w:type="dxa"/>
            <w:vAlign w:val="bottom"/>
            <w:shd w:val="clear" w:color="auto" w:fill="EAEAEA"/>
          </w:tcPr>
          <w:p>
            <w:pPr>
              <w:spacing w:after="0"/>
              <w:rPr>
                <w:sz w:val="23"/>
                <w:szCs w:val="23"/>
                <w:color w:val="auto"/>
              </w:rPr>
            </w:pPr>
          </w:p>
        </w:tc>
        <w:tc>
          <w:tcPr>
            <w:tcW w:w="140" w:type="dxa"/>
            <w:vAlign w:val="bottom"/>
            <w:tcBorders>
              <w:bottom w:val="single" w:sz="8" w:color="auto"/>
            </w:tcBorders>
            <w:shd w:val="clear" w:color="auto" w:fill="EAEAEA"/>
          </w:tcPr>
          <w:p>
            <w:pPr>
              <w:spacing w:after="0"/>
              <w:rPr>
                <w:sz w:val="23"/>
                <w:szCs w:val="23"/>
                <w:color w:val="auto"/>
              </w:rPr>
            </w:pPr>
          </w:p>
        </w:tc>
        <w:tc>
          <w:tcPr>
            <w:tcW w:w="114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332,981</w:t>
            </w:r>
          </w:p>
        </w:tc>
        <w:tc>
          <w:tcPr>
            <w:tcW w:w="160" w:type="dxa"/>
            <w:vAlign w:val="bottom"/>
            <w:shd w:val="clear" w:color="auto" w:fill="EAEAEA"/>
          </w:tcPr>
          <w:p>
            <w:pPr>
              <w:spacing w:after="0"/>
              <w:rPr>
                <w:sz w:val="23"/>
                <w:szCs w:val="23"/>
                <w:color w:val="auto"/>
              </w:rPr>
            </w:pPr>
          </w:p>
        </w:tc>
        <w:tc>
          <w:tcPr>
            <w:tcW w:w="180" w:type="dxa"/>
            <w:vAlign w:val="bottom"/>
            <w:tcBorders>
              <w:bottom w:val="single" w:sz="8" w:color="auto"/>
            </w:tcBorders>
            <w:shd w:val="clear" w:color="auto" w:fill="EAEAEA"/>
          </w:tcPr>
          <w:p>
            <w:pPr>
              <w:spacing w:after="0"/>
              <w:rPr>
                <w:sz w:val="23"/>
                <w:szCs w:val="23"/>
                <w:color w:val="auto"/>
              </w:rPr>
            </w:pPr>
          </w:p>
        </w:tc>
        <w:tc>
          <w:tcPr>
            <w:tcW w:w="106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(6,945)</w:t>
            </w:r>
          </w:p>
        </w:tc>
        <w:tc>
          <w:tcPr>
            <w:tcW w:w="160" w:type="dxa"/>
            <w:vAlign w:val="bottom"/>
            <w:shd w:val="clear" w:color="auto" w:fill="EAEAEA"/>
          </w:tcPr>
          <w:p>
            <w:pPr>
              <w:spacing w:after="0"/>
              <w:rPr>
                <w:sz w:val="23"/>
                <w:szCs w:val="23"/>
                <w:color w:val="auto"/>
              </w:rPr>
            </w:pPr>
          </w:p>
        </w:tc>
        <w:tc>
          <w:tcPr>
            <w:tcW w:w="114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52%</w:t>
            </w:r>
          </w:p>
        </w:tc>
        <w:tc>
          <w:tcPr>
            <w:tcW w:w="140" w:type="dxa"/>
            <w:vAlign w:val="bottom"/>
            <w:shd w:val="clear" w:color="auto" w:fill="EAEAEA"/>
          </w:tcPr>
          <w:p>
            <w:pPr>
              <w:spacing w:after="0"/>
              <w:rPr>
                <w:sz w:val="23"/>
                <w:szCs w:val="23"/>
                <w:color w:val="auto"/>
              </w:rPr>
            </w:pPr>
          </w:p>
        </w:tc>
        <w:tc>
          <w:tcPr>
            <w:tcW w:w="118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6"/>
                <w:szCs w:val="16"/>
                <w:color w:val="auto"/>
              </w:rPr>
              <w:t>Total subscription</w:t>
            </w:r>
          </w:p>
        </w:tc>
        <w:tc>
          <w:tcPr>
            <w:tcW w:w="12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589,667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768,305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(18,639)</w:t>
            </w: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1"/>
        </w:trPr>
        <w:tc>
          <w:tcPr>
            <w:tcW w:w="24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Perpetual license</w:t>
            </w:r>
          </w:p>
        </w:tc>
        <w:tc>
          <w:tcPr>
            <w:tcW w:w="120" w:type="dxa"/>
            <w:vAlign w:val="bottom"/>
            <w:shd w:val="clear" w:color="auto" w:fill="EAEAEA"/>
          </w:tcPr>
          <w:p>
            <w:pPr>
              <w:spacing w:after="0"/>
              <w:rPr>
                <w:sz w:val="23"/>
                <w:szCs w:val="23"/>
                <w:color w:val="auto"/>
              </w:rPr>
            </w:pPr>
          </w:p>
        </w:tc>
        <w:tc>
          <w:tcPr>
            <w:tcW w:w="110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rPr>
              <w:t>55,643</w:t>
            </w:r>
          </w:p>
        </w:tc>
        <w:tc>
          <w:tcPr>
            <w:tcW w:w="160" w:type="dxa"/>
            <w:vAlign w:val="bottom"/>
            <w:shd w:val="clear" w:color="auto" w:fill="EAEAEA"/>
          </w:tcPr>
          <w:p>
            <w:pPr>
              <w:spacing w:after="0"/>
              <w:rPr>
                <w:sz w:val="23"/>
                <w:szCs w:val="23"/>
                <w:color w:val="auto"/>
              </w:rPr>
            </w:pPr>
          </w:p>
        </w:tc>
        <w:tc>
          <w:tcPr>
            <w:tcW w:w="140" w:type="dxa"/>
            <w:vAlign w:val="bottom"/>
            <w:shd w:val="clear" w:color="auto" w:fill="EAEAEA"/>
          </w:tcPr>
          <w:p>
            <w:pPr>
              <w:spacing w:after="0"/>
              <w:rPr>
                <w:sz w:val="23"/>
                <w:szCs w:val="23"/>
                <w:color w:val="auto"/>
              </w:rPr>
            </w:pPr>
          </w:p>
        </w:tc>
        <w:tc>
          <w:tcPr>
            <w:tcW w:w="114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rPr>
              <w:t>43,212</w:t>
            </w:r>
          </w:p>
        </w:tc>
        <w:tc>
          <w:tcPr>
            <w:tcW w:w="160" w:type="dxa"/>
            <w:vAlign w:val="bottom"/>
            <w:shd w:val="clear" w:color="auto" w:fill="EAEAEA"/>
          </w:tcPr>
          <w:p>
            <w:pPr>
              <w:spacing w:after="0"/>
              <w:rPr>
                <w:sz w:val="23"/>
                <w:szCs w:val="23"/>
                <w:color w:val="auto"/>
              </w:rPr>
            </w:pPr>
          </w:p>
        </w:tc>
        <w:tc>
          <w:tcPr>
            <w:tcW w:w="180" w:type="dxa"/>
            <w:vAlign w:val="bottom"/>
            <w:shd w:val="clear" w:color="auto" w:fill="EAEAEA"/>
          </w:tcPr>
          <w:p>
            <w:pPr>
              <w:spacing w:after="0"/>
              <w:rPr>
                <w:sz w:val="23"/>
                <w:szCs w:val="23"/>
                <w:color w:val="auto"/>
              </w:rPr>
            </w:pPr>
          </w:p>
        </w:tc>
        <w:tc>
          <w:tcPr>
            <w:tcW w:w="106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rPr>
              <w:t>(1,448)</w:t>
            </w:r>
          </w:p>
        </w:tc>
        <w:tc>
          <w:tcPr>
            <w:tcW w:w="160" w:type="dxa"/>
            <w:vAlign w:val="bottom"/>
            <w:shd w:val="clear" w:color="auto" w:fill="EAEAEA"/>
          </w:tcPr>
          <w:p>
            <w:pPr>
              <w:spacing w:after="0"/>
              <w:rPr>
                <w:sz w:val="23"/>
                <w:szCs w:val="23"/>
                <w:color w:val="auto"/>
              </w:rPr>
            </w:pPr>
          </w:p>
        </w:tc>
        <w:tc>
          <w:tcPr>
            <w:tcW w:w="114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rPr>
              <w:t>(22)%</w:t>
            </w:r>
          </w:p>
        </w:tc>
        <w:tc>
          <w:tcPr>
            <w:tcW w:w="140" w:type="dxa"/>
            <w:vAlign w:val="bottom"/>
            <w:shd w:val="clear" w:color="auto" w:fill="EAEAEA"/>
          </w:tcPr>
          <w:p>
            <w:pPr>
              <w:spacing w:after="0"/>
              <w:rPr>
                <w:sz w:val="23"/>
                <w:szCs w:val="23"/>
                <w:color w:val="auto"/>
              </w:rPr>
            </w:pPr>
          </w:p>
        </w:tc>
        <w:tc>
          <w:tcPr>
            <w:tcW w:w="118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9"/>
        </w:trPr>
        <w:tc>
          <w:tcPr>
            <w:tcW w:w="2420" w:type="dxa"/>
            <w:vAlign w:val="bottom"/>
          </w:tcPr>
          <w:p>
            <w:pPr>
              <w:ind w:left="20"/>
              <w:spacing w:after="0"/>
              <w:rPr>
                <w:sz w:val="20"/>
                <w:szCs w:val="20"/>
                <w:color w:val="auto"/>
              </w:rPr>
            </w:pPr>
            <w:r>
              <w:rPr>
                <w:rFonts w:ascii="Arial" w:cs="Arial" w:eastAsia="Arial" w:hAnsi="Arial"/>
                <w:sz w:val="16"/>
                <w:szCs w:val="16"/>
                <w:color w:val="auto"/>
              </w:rPr>
              <w:t>Customer support</w:t>
            </w:r>
          </w:p>
        </w:tc>
        <w:tc>
          <w:tcPr>
            <w:tcW w:w="1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307,563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320,426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(8,400)</w:t>
            </w:r>
          </w:p>
        </w:tc>
        <w:tc>
          <w:tcPr>
            <w:tcW w:w="160" w:type="dxa"/>
            <w:vAlign w:val="bottom"/>
          </w:tcPr>
          <w:p>
            <w:pPr>
              <w:spacing w:after="0"/>
              <w:rPr>
                <w:sz w:val="23"/>
                <w:szCs w:val="23"/>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4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services</w:t>
            </w:r>
          </w:p>
        </w:tc>
        <w:tc>
          <w:tcPr>
            <w:tcW w:w="120" w:type="dxa"/>
            <w:vAlign w:val="bottom"/>
            <w:tcBorders>
              <w:bottom w:val="single" w:sz="8" w:color="auto"/>
            </w:tcBorders>
            <w:shd w:val="clear" w:color="auto" w:fill="EAEAEA"/>
          </w:tcPr>
          <w:p>
            <w:pPr>
              <w:spacing w:after="0"/>
              <w:rPr>
                <w:sz w:val="23"/>
                <w:szCs w:val="23"/>
                <w:color w:val="auto"/>
              </w:rPr>
            </w:pPr>
          </w:p>
        </w:tc>
        <w:tc>
          <w:tcPr>
            <w:tcW w:w="110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42,746</w:t>
            </w:r>
          </w:p>
        </w:tc>
        <w:tc>
          <w:tcPr>
            <w:tcW w:w="160" w:type="dxa"/>
            <w:vAlign w:val="bottom"/>
            <w:shd w:val="clear" w:color="auto" w:fill="EAEAEA"/>
          </w:tcPr>
          <w:p>
            <w:pPr>
              <w:spacing w:after="0"/>
              <w:rPr>
                <w:sz w:val="23"/>
                <w:szCs w:val="23"/>
                <w:color w:val="auto"/>
              </w:rPr>
            </w:pPr>
          </w:p>
        </w:tc>
        <w:tc>
          <w:tcPr>
            <w:tcW w:w="140" w:type="dxa"/>
            <w:vAlign w:val="bottom"/>
            <w:tcBorders>
              <w:bottom w:val="single" w:sz="8" w:color="auto"/>
            </w:tcBorders>
            <w:shd w:val="clear" w:color="auto" w:fill="EAEAEA"/>
          </w:tcPr>
          <w:p>
            <w:pPr>
              <w:spacing w:after="0"/>
              <w:rPr>
                <w:sz w:val="23"/>
                <w:szCs w:val="23"/>
                <w:color w:val="auto"/>
              </w:rPr>
            </w:pPr>
          </w:p>
        </w:tc>
        <w:tc>
          <w:tcPr>
            <w:tcW w:w="114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51,747</w:t>
            </w:r>
          </w:p>
        </w:tc>
        <w:tc>
          <w:tcPr>
            <w:tcW w:w="160" w:type="dxa"/>
            <w:vAlign w:val="bottom"/>
            <w:shd w:val="clear" w:color="auto" w:fill="EAEAEA"/>
          </w:tcPr>
          <w:p>
            <w:pPr>
              <w:spacing w:after="0"/>
              <w:rPr>
                <w:sz w:val="23"/>
                <w:szCs w:val="23"/>
                <w:color w:val="auto"/>
              </w:rPr>
            </w:pPr>
          </w:p>
        </w:tc>
        <w:tc>
          <w:tcPr>
            <w:tcW w:w="180" w:type="dxa"/>
            <w:vAlign w:val="bottom"/>
            <w:tcBorders>
              <w:bottom w:val="single" w:sz="8" w:color="auto"/>
            </w:tcBorders>
            <w:shd w:val="clear" w:color="auto" w:fill="EAEAEA"/>
          </w:tcPr>
          <w:p>
            <w:pPr>
              <w:spacing w:after="0"/>
              <w:rPr>
                <w:sz w:val="23"/>
                <w:szCs w:val="23"/>
                <w:color w:val="auto"/>
              </w:rPr>
            </w:pPr>
          </w:p>
        </w:tc>
        <w:tc>
          <w:tcPr>
            <w:tcW w:w="106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(1,035)</w:t>
            </w:r>
          </w:p>
        </w:tc>
        <w:tc>
          <w:tcPr>
            <w:tcW w:w="160" w:type="dxa"/>
            <w:vAlign w:val="bottom"/>
            <w:shd w:val="clear" w:color="auto" w:fill="EAEAEA"/>
          </w:tcPr>
          <w:p>
            <w:pPr>
              <w:spacing w:after="0"/>
              <w:rPr>
                <w:sz w:val="23"/>
                <w:szCs w:val="23"/>
                <w:color w:val="auto"/>
              </w:rPr>
            </w:pPr>
          </w:p>
        </w:tc>
        <w:tc>
          <w:tcPr>
            <w:tcW w:w="114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21%</w:t>
            </w:r>
          </w:p>
        </w:tc>
        <w:tc>
          <w:tcPr>
            <w:tcW w:w="140" w:type="dxa"/>
            <w:vAlign w:val="bottom"/>
            <w:shd w:val="clear" w:color="auto" w:fill="EAEAEA"/>
          </w:tcPr>
          <w:p>
            <w:pPr>
              <w:spacing w:after="0"/>
              <w:rPr>
                <w:sz w:val="23"/>
                <w:szCs w:val="23"/>
                <w:color w:val="auto"/>
              </w:rPr>
            </w:pPr>
          </w:p>
        </w:tc>
        <w:tc>
          <w:tcPr>
            <w:tcW w:w="118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242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995,619</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1,183,690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(29,522)</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in thousands)</w:t>
      </w:r>
    </w:p>
    <w:p>
      <w:pPr>
        <w:spacing w:after="0" w:line="281"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Our Americas region includes the United States, Canada, and Latin America. Our International region primarily includes Europe, Middle East, Africa, Australia, India, Southeast Asia, and China.</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217"/>
        </w:trPr>
        <w:tc>
          <w:tcPr>
            <w:tcW w:w="100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Q4'25</w:t>
            </w:r>
          </w:p>
        </w:tc>
        <w:tc>
          <w:tcPr>
            <w:tcW w:w="12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Q1'26</w:t>
            </w:r>
          </w:p>
        </w:tc>
        <w:tc>
          <w:tcPr>
            <w:tcW w:w="12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Q2'26</w:t>
            </w:r>
          </w:p>
        </w:tc>
        <w:tc>
          <w:tcPr>
            <w:tcW w:w="12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Q3'26</w:t>
            </w:r>
          </w:p>
        </w:tc>
        <w:tc>
          <w:tcPr>
            <w:tcW w:w="12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Q4'26</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Revenue</w:t>
            </w:r>
          </w:p>
        </w:tc>
        <w:tc>
          <w:tcPr>
            <w:tcW w:w="78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Y/Y</w:t>
            </w: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Revenue</w:t>
            </w:r>
          </w:p>
        </w:tc>
        <w:tc>
          <w:tcPr>
            <w:tcW w:w="800" w:type="dxa"/>
            <w:vAlign w:val="bottom"/>
            <w:gridSpan w:val="2"/>
          </w:tcPr>
          <w:p>
            <w:pPr>
              <w:jc w:val="center"/>
              <w:ind w:right="140"/>
              <w:spacing w:after="0" w:line="183" w:lineRule="exact"/>
              <w:rPr>
                <w:sz w:val="20"/>
                <w:szCs w:val="20"/>
                <w:color w:val="auto"/>
              </w:rPr>
            </w:pPr>
            <w:r>
              <w:rPr>
                <w:rFonts w:ascii="Arial" w:cs="Arial" w:eastAsia="Arial" w:hAnsi="Arial"/>
                <w:sz w:val="16"/>
                <w:szCs w:val="16"/>
                <w:color w:val="auto"/>
              </w:rPr>
              <w:t>Y/Y</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Revenue</w:t>
            </w:r>
          </w:p>
        </w:tc>
        <w:tc>
          <w:tcPr>
            <w:tcW w:w="82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Y/Y</w:t>
            </w: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Revenue</w:t>
            </w:r>
          </w:p>
        </w:tc>
        <w:tc>
          <w:tcPr>
            <w:tcW w:w="82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Y/Y</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Revenue</w:t>
            </w:r>
          </w:p>
        </w:tc>
        <w:tc>
          <w:tcPr>
            <w:tcW w:w="7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Y/Y</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rPr>
              <w:t>Growth</w:t>
            </w:r>
          </w:p>
        </w:tc>
        <w:tc>
          <w:tcPr>
            <w:tcW w:w="840" w:type="dxa"/>
            <w:vAlign w:val="bottom"/>
            <w:vMerge w:val="continue"/>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6"/>
                <w:szCs w:val="16"/>
                <w:color w:val="auto"/>
              </w:rPr>
              <w:t>Growth</w:t>
            </w:r>
          </w:p>
        </w:tc>
        <w:tc>
          <w:tcPr>
            <w:tcW w:w="820" w:type="dxa"/>
            <w:vAlign w:val="bottom"/>
            <w:vMerge w:val="continue"/>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color w:val="auto"/>
              </w:rPr>
              <w:t>Growth</w:t>
            </w:r>
          </w:p>
        </w:tc>
        <w:tc>
          <w:tcPr>
            <w:tcW w:w="840" w:type="dxa"/>
            <w:vAlign w:val="bottom"/>
            <w:vMerge w:val="continue"/>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color w:val="auto"/>
              </w:rPr>
              <w:t>Growth</w:t>
            </w:r>
          </w:p>
        </w:tc>
        <w:tc>
          <w:tcPr>
            <w:tcW w:w="860" w:type="dxa"/>
            <w:vAlign w:val="bottom"/>
            <w:vMerge w:val="continue"/>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251"/>
        </w:trPr>
        <w:tc>
          <w:tcPr>
            <w:tcW w:w="100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Americas</w:t>
            </w: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$ 169,384</w:t>
            </w:r>
          </w:p>
        </w:tc>
        <w:tc>
          <w:tcPr>
            <w:tcW w:w="6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Borders>
              <w:top w:val="single" w:sz="8" w:color="EAEAEA"/>
            </w:tcBorders>
            <w:shd w:val="clear" w:color="auto" w:fill="EAEAEA"/>
          </w:tcPr>
          <w:p>
            <w:pPr>
              <w:spacing w:after="0"/>
              <w:rPr>
                <w:sz w:val="21"/>
                <w:szCs w:val="21"/>
                <w:color w:val="auto"/>
              </w:rPr>
            </w:pPr>
          </w:p>
        </w:tc>
        <w:tc>
          <w:tcPr>
            <w:tcW w:w="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$ 170,928</w:t>
            </w:r>
          </w:p>
        </w:tc>
        <w:tc>
          <w:tcPr>
            <w:tcW w:w="6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top w:val="single" w:sz="8" w:color="EAEAEA"/>
            </w:tcBorders>
            <w:shd w:val="clear" w:color="auto" w:fill="EAEAEA"/>
          </w:tcPr>
          <w:p>
            <w:pPr>
              <w:spacing w:after="0"/>
              <w:rPr>
                <w:sz w:val="21"/>
                <w:szCs w:val="21"/>
                <w:color w:val="auto"/>
              </w:rPr>
            </w:pPr>
          </w:p>
        </w:tc>
        <w:tc>
          <w:tcPr>
            <w:tcW w:w="8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$ 168,125</w:t>
            </w:r>
          </w:p>
        </w:tc>
        <w:tc>
          <w:tcPr>
            <w:tcW w:w="7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top w:val="single" w:sz="8" w:color="EAEAEA"/>
            </w:tcBorders>
            <w:shd w:val="clear" w:color="auto" w:fill="EAEAEA"/>
          </w:tcPr>
          <w:p>
            <w:pPr>
              <w:spacing w:after="0"/>
              <w:rPr>
                <w:sz w:val="21"/>
                <w:szCs w:val="21"/>
                <w:color w:val="auto"/>
              </w:rPr>
            </w:pPr>
          </w:p>
        </w:tc>
        <w:tc>
          <w:tcPr>
            <w:tcW w:w="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$ 178,852</w:t>
            </w:r>
          </w:p>
        </w:tc>
        <w:tc>
          <w:tcPr>
            <w:tcW w:w="7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top w:val="single" w:sz="8" w:color="EAEAEA"/>
            </w:tcBorders>
            <w:shd w:val="clear" w:color="auto" w:fill="EAEAEA"/>
          </w:tcPr>
          <w:p>
            <w:pPr>
              <w:spacing w:after="0"/>
              <w:rPr>
                <w:sz w:val="21"/>
                <w:szCs w:val="21"/>
                <w:color w:val="auto"/>
              </w:rPr>
            </w:pPr>
          </w:p>
        </w:tc>
        <w:tc>
          <w:tcPr>
            <w:tcW w:w="86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$ 184,977</w:t>
            </w:r>
          </w:p>
        </w:tc>
        <w:tc>
          <w:tcPr>
            <w:tcW w:w="7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69"/>
        </w:trPr>
        <w:tc>
          <w:tcPr>
            <w:tcW w:w="100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International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105,655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EAEAEA"/>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111,050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Borders>
              <w:bottom w:val="single" w:sz="8" w:color="EAEAEA"/>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108,063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Borders>
              <w:bottom w:val="single" w:sz="8" w:color="EAEAEA"/>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134,980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EAEAEA"/>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126,715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43"/>
        </w:trPr>
        <w:tc>
          <w:tcPr>
            <w:tcW w:w="1000" w:type="dxa"/>
            <w:vAlign w:val="bottom"/>
            <w:shd w:val="clear" w:color="auto" w:fill="EAEAEA"/>
          </w:tcPr>
          <w:p>
            <w:pPr>
              <w:ind w:left="20"/>
              <w:spacing w:after="0" w:line="143" w:lineRule="exact"/>
              <w:rPr>
                <w:sz w:val="20"/>
                <w:szCs w:val="20"/>
                <w:color w:val="auto"/>
              </w:rPr>
            </w:pPr>
            <w:r>
              <w:rPr>
                <w:rFonts w:ascii="Arial" w:cs="Arial" w:eastAsia="Arial" w:hAnsi="Arial"/>
                <w:sz w:val="16"/>
                <w:szCs w:val="16"/>
                <w:color w:val="auto"/>
              </w:rPr>
              <w:t>Total</w:t>
            </w: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$ 275,039</w:t>
            </w:r>
          </w:p>
        </w:tc>
        <w:tc>
          <w:tcPr>
            <w:tcW w:w="6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EAEAEA"/>
          </w:tcPr>
          <w:p>
            <w:pPr>
              <w:spacing w:after="0"/>
              <w:rPr>
                <w:sz w:val="12"/>
                <w:szCs w:val="12"/>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$ 281,978</w:t>
            </w:r>
          </w:p>
        </w:tc>
        <w:tc>
          <w:tcPr>
            <w:tcW w:w="6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EAEAEA"/>
          </w:tcPr>
          <w:p>
            <w:pPr>
              <w:spacing w:after="0"/>
              <w:rPr>
                <w:sz w:val="12"/>
                <w:szCs w:val="12"/>
                <w:color w:val="auto"/>
              </w:rPr>
            </w:pP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$ 276,188</w:t>
            </w:r>
          </w:p>
        </w:tc>
        <w:tc>
          <w:tcPr>
            <w:tcW w:w="7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EAEAEA"/>
          </w:tcPr>
          <w:p>
            <w:pPr>
              <w:spacing w:after="0"/>
              <w:rPr>
                <w:sz w:val="12"/>
                <w:szCs w:val="12"/>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$ 313,832</w:t>
            </w:r>
          </w:p>
        </w:tc>
        <w:tc>
          <w:tcPr>
            <w:tcW w:w="7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EAEAEA"/>
          </w:tcPr>
          <w:p>
            <w:pPr>
              <w:spacing w:after="0"/>
              <w:rPr>
                <w:sz w:val="12"/>
                <w:szCs w:val="12"/>
                <w:color w:val="auto"/>
              </w:rPr>
            </w:pPr>
          </w:p>
        </w:tc>
        <w:tc>
          <w:tcPr>
            <w:tcW w:w="8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$ 311,692</w:t>
            </w:r>
          </w:p>
        </w:tc>
        <w:tc>
          <w:tcPr>
            <w:tcW w:w="7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9"/>
        </w:trPr>
        <w:tc>
          <w:tcPr>
            <w:tcW w:w="10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revenues</w:t>
            </w:r>
          </w:p>
        </w:tc>
        <w:tc>
          <w:tcPr>
            <w:tcW w:w="800" w:type="dxa"/>
            <w:vAlign w:val="bottom"/>
            <w:tcBorders>
              <w:bottom w:val="single" w:sz="8" w:color="auto"/>
            </w:tcBorders>
            <w:vMerge w:val="continue"/>
            <w:shd w:val="clear" w:color="auto" w:fill="EAEAEA"/>
          </w:tcPr>
          <w:p>
            <w:pPr>
              <w:spacing w:after="0"/>
              <w:rPr>
                <w:sz w:val="18"/>
                <w:szCs w:val="18"/>
                <w:color w:val="auto"/>
              </w:rPr>
            </w:pPr>
          </w:p>
        </w:tc>
        <w:tc>
          <w:tcPr>
            <w:tcW w:w="66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auto"/>
            </w:tcBorders>
            <w:vMerge w:val="continue"/>
            <w:shd w:val="clear" w:color="auto" w:fill="EAEAEA"/>
          </w:tcPr>
          <w:p>
            <w:pPr>
              <w:spacing w:after="0"/>
              <w:rPr>
                <w:sz w:val="18"/>
                <w:szCs w:val="18"/>
                <w:color w:val="auto"/>
              </w:rPr>
            </w:pPr>
          </w:p>
        </w:tc>
        <w:tc>
          <w:tcPr>
            <w:tcW w:w="68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20" w:type="dxa"/>
            <w:vAlign w:val="bottom"/>
            <w:tcBorders>
              <w:bottom w:val="single" w:sz="8" w:color="auto"/>
            </w:tcBorders>
            <w:vMerge w:val="continue"/>
            <w:shd w:val="clear" w:color="auto" w:fill="EAEAEA"/>
          </w:tcPr>
          <w:p>
            <w:pPr>
              <w:spacing w:after="0"/>
              <w:rPr>
                <w:sz w:val="18"/>
                <w:szCs w:val="18"/>
                <w:color w:val="auto"/>
              </w:rPr>
            </w:pPr>
          </w:p>
        </w:tc>
        <w:tc>
          <w:tcPr>
            <w:tcW w:w="70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40" w:type="dxa"/>
            <w:vAlign w:val="bottom"/>
            <w:tcBorders>
              <w:bottom w:val="single" w:sz="8" w:color="auto"/>
            </w:tcBorders>
            <w:vMerge w:val="continue"/>
            <w:shd w:val="clear" w:color="auto" w:fill="EAEAEA"/>
          </w:tcPr>
          <w:p>
            <w:pPr>
              <w:spacing w:after="0"/>
              <w:rPr>
                <w:sz w:val="18"/>
                <w:szCs w:val="18"/>
                <w:color w:val="auto"/>
              </w:rPr>
            </w:pPr>
          </w:p>
        </w:tc>
        <w:tc>
          <w:tcPr>
            <w:tcW w:w="70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860" w:type="dxa"/>
            <w:vAlign w:val="bottom"/>
            <w:tcBorders>
              <w:bottom w:val="single" w:sz="8" w:color="auto"/>
            </w:tcBorders>
            <w:vMerge w:val="continue"/>
            <w:shd w:val="clear" w:color="auto" w:fill="EAEAEA"/>
          </w:tcPr>
          <w:p>
            <w:pPr>
              <w:spacing w:after="0"/>
              <w:rPr>
                <w:sz w:val="18"/>
                <w:szCs w:val="18"/>
                <w:color w:val="auto"/>
              </w:rPr>
            </w:pPr>
          </w:p>
        </w:tc>
        <w:tc>
          <w:tcPr>
            <w:tcW w:w="720" w:type="dxa"/>
            <w:vAlign w:val="bottom"/>
            <w:tcBorders>
              <w:bottom w:val="single" w:sz="8" w:color="auto"/>
            </w:tcBorders>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EAEAEA"/>
            </w:tcBorders>
          </w:tcPr>
          <w:p>
            <w:pPr>
              <w:spacing w:after="0" w:line="20" w:lineRule="exact"/>
              <w:rPr>
                <w:sz w:val="1"/>
                <w:szCs w:val="1"/>
                <w:color w:val="auto"/>
              </w:rPr>
            </w:pPr>
          </w:p>
        </w:tc>
        <w:tc>
          <w:tcPr>
            <w:tcW w:w="800" w:type="dxa"/>
            <w:vAlign w:val="bottom"/>
            <w:tcBorders>
              <w:top w:val="single" w:sz="8" w:color="EAEAEA"/>
              <w:bottom w:val="single" w:sz="8" w:color="auto"/>
            </w:tcBorders>
          </w:tcPr>
          <w:p>
            <w:pPr>
              <w:spacing w:after="0" w:line="20" w:lineRule="exact"/>
              <w:rPr>
                <w:sz w:val="1"/>
                <w:szCs w:val="1"/>
                <w:color w:val="auto"/>
              </w:rPr>
            </w:pPr>
          </w:p>
        </w:tc>
        <w:tc>
          <w:tcPr>
            <w:tcW w:w="6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40" w:type="dxa"/>
            <w:vAlign w:val="bottom"/>
            <w:tcBorders>
              <w:top w:val="single" w:sz="8" w:color="EAEAEA"/>
              <w:bottom w:val="single" w:sz="8" w:color="auto"/>
            </w:tcBorders>
          </w:tcPr>
          <w:p>
            <w:pPr>
              <w:spacing w:after="0" w:line="20" w:lineRule="exact"/>
              <w:rPr>
                <w:sz w:val="1"/>
                <w:szCs w:val="1"/>
                <w:color w:val="auto"/>
              </w:rPr>
            </w:pPr>
          </w:p>
        </w:tc>
        <w:tc>
          <w:tcPr>
            <w:tcW w:w="6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2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4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860" w:type="dxa"/>
            <w:vAlign w:val="bottom"/>
            <w:tcBorders>
              <w:top w:val="single" w:sz="8" w:color="EAEAEA"/>
              <w:bottom w:val="single" w:sz="8" w:color="auto"/>
            </w:tcBorders>
          </w:tcPr>
          <w:p>
            <w:pPr>
              <w:spacing w:after="0" w:line="20" w:lineRule="exact"/>
              <w:rPr>
                <w:sz w:val="1"/>
                <w:szCs w:val="1"/>
                <w:color w:val="auto"/>
              </w:rPr>
            </w:pPr>
          </w:p>
        </w:tc>
        <w:tc>
          <w:tcPr>
            <w:tcW w:w="72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1080" w:type="dxa"/>
        <w:tblCellMar>
          <w:top w:w="0" w:type="dxa"/>
          <w:left w:w="0" w:type="dxa"/>
          <w:bottom w:w="0" w:type="dxa"/>
          <w:right w:w="0" w:type="dxa"/>
        </w:tblCellMar>
      </w:tblPr>
      <w:tr>
        <w:trPr>
          <w:trHeight w:val="217"/>
        </w:trPr>
        <w:tc>
          <w:tcPr>
            <w:tcW w:w="3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FY'25</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FY'26</w:t>
            </w:r>
          </w:p>
        </w:tc>
        <w:tc>
          <w:tcPr>
            <w:tcW w:w="1160" w:type="dxa"/>
            <w:vAlign w:val="bottom"/>
            <w:tcBorders>
              <w:bottom w:val="single" w:sz="8" w:color="auto"/>
            </w:tcBorders>
          </w:tcPr>
          <w:p>
            <w:pPr>
              <w:spacing w:after="0"/>
              <w:rPr>
                <w:sz w:val="18"/>
                <w:szCs w:val="18"/>
                <w:color w:val="auto"/>
              </w:rPr>
            </w:pPr>
          </w:p>
        </w:tc>
      </w:tr>
      <w:tr>
        <w:trPr>
          <w:trHeight w:val="398"/>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Y/Y Growth</w:t>
            </w:r>
          </w:p>
        </w:tc>
        <w:tc>
          <w:tcPr>
            <w:tcW w:w="240" w:type="dxa"/>
            <w:vAlign w:val="bottom"/>
          </w:tcPr>
          <w:p>
            <w:pPr>
              <w:spacing w:after="0"/>
              <w:rPr>
                <w:sz w:val="24"/>
                <w:szCs w:val="24"/>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color w:val="auto"/>
              </w:rPr>
              <w:t>Revenue</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Y/Y Growth</w:t>
            </w:r>
          </w:p>
        </w:tc>
      </w:tr>
      <w:tr>
        <w:trPr>
          <w:trHeight w:val="251"/>
        </w:trPr>
        <w:tc>
          <w:tcPr>
            <w:tcW w:w="334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EAEAEA"/>
          </w:tcPr>
          <w:p>
            <w:pPr>
              <w:jc w:val="right"/>
              <w:ind w:right="259"/>
              <w:spacing w:after="0"/>
              <w:rPr>
                <w:sz w:val="20"/>
                <w:szCs w:val="20"/>
                <w:color w:val="auto"/>
              </w:rPr>
            </w:pPr>
            <w:r>
              <w:rPr>
                <w:rFonts w:ascii="Arial" w:cs="Arial" w:eastAsia="Arial" w:hAnsi="Arial"/>
                <w:sz w:val="16"/>
                <w:szCs w:val="16"/>
                <w:color w:val="auto"/>
              </w:rPr>
              <w:t>607,952</w:t>
            </w:r>
          </w:p>
        </w:tc>
        <w:tc>
          <w:tcPr>
            <w:tcW w:w="1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Borders>
              <w:top w:val="single" w:sz="8" w:color="EAEAEA"/>
            </w:tcBorders>
            <w:shd w:val="clear" w:color="auto" w:fill="EAEAEA"/>
          </w:tcPr>
          <w:p>
            <w:pPr>
              <w:spacing w:after="0"/>
              <w:rPr>
                <w:sz w:val="21"/>
                <w:szCs w:val="21"/>
                <w:color w:val="auto"/>
              </w:rPr>
            </w:pPr>
          </w:p>
        </w:tc>
        <w:tc>
          <w:tcPr>
            <w:tcW w:w="240" w:type="dxa"/>
            <w:vAlign w:val="bottom"/>
            <w:tcBorders>
              <w:top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EAEAEA"/>
          </w:tcPr>
          <w:p>
            <w:pPr>
              <w:jc w:val="right"/>
              <w:ind w:right="239"/>
              <w:spacing w:after="0"/>
              <w:rPr>
                <w:sz w:val="20"/>
                <w:szCs w:val="20"/>
                <w:color w:val="auto"/>
              </w:rPr>
            </w:pPr>
            <w:r>
              <w:rPr>
                <w:rFonts w:ascii="Arial" w:cs="Arial" w:eastAsia="Arial" w:hAnsi="Arial"/>
                <w:sz w:val="16"/>
                <w:szCs w:val="16"/>
                <w:color w:val="auto"/>
              </w:rPr>
              <w:t>702,882</w:t>
            </w:r>
          </w:p>
        </w:tc>
        <w:tc>
          <w:tcPr>
            <w:tcW w:w="1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16 %</w:t>
            </w:r>
          </w:p>
        </w:tc>
      </w:tr>
      <w:tr>
        <w:trPr>
          <w:trHeight w:val="269"/>
        </w:trPr>
        <w:tc>
          <w:tcPr>
            <w:tcW w:w="334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387,667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EAEAEA"/>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480,808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49"/>
        </w:trPr>
        <w:tc>
          <w:tcPr>
            <w:tcW w:w="33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AEAEA"/>
          </w:tcPr>
          <w:p>
            <w:pPr>
              <w:jc w:val="right"/>
              <w:ind w:right="259"/>
              <w:spacing w:after="0"/>
              <w:rPr>
                <w:sz w:val="20"/>
                <w:szCs w:val="20"/>
                <w:color w:val="auto"/>
              </w:rPr>
            </w:pPr>
            <w:r>
              <w:rPr>
                <w:rFonts w:ascii="Arial" w:cs="Arial" w:eastAsia="Arial" w:hAnsi="Arial"/>
                <w:sz w:val="16"/>
                <w:szCs w:val="16"/>
                <w:color w:val="auto"/>
              </w:rPr>
              <w:t>995,619</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EAEAEA"/>
            </w:tcBorders>
            <w:shd w:val="clear" w:color="auto" w:fill="EAEAEA"/>
          </w:tcPr>
          <w:p>
            <w:pPr>
              <w:spacing w:after="0"/>
              <w:rPr>
                <w:sz w:val="21"/>
                <w:szCs w:val="21"/>
                <w:color w:val="auto"/>
              </w:rPr>
            </w:pPr>
          </w:p>
        </w:tc>
        <w:tc>
          <w:tcPr>
            <w:tcW w:w="240" w:type="dxa"/>
            <w:vAlign w:val="bottom"/>
            <w:tcBorders>
              <w:bottom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EAEAEA"/>
          </w:tcPr>
          <w:p>
            <w:pPr>
              <w:jc w:val="right"/>
              <w:ind w:right="239"/>
              <w:spacing w:after="0"/>
              <w:rPr>
                <w:sz w:val="20"/>
                <w:szCs w:val="20"/>
                <w:color w:val="auto"/>
              </w:rPr>
            </w:pPr>
            <w:r>
              <w:rPr>
                <w:rFonts w:ascii="Arial" w:cs="Arial" w:eastAsia="Arial" w:hAnsi="Arial"/>
                <w:sz w:val="16"/>
                <w:szCs w:val="16"/>
                <w:color w:val="auto"/>
              </w:rPr>
              <w:t>1,183,690</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3340" w:type="dxa"/>
            <w:vAlign w:val="bottom"/>
            <w:tcBorders>
              <w:top w:val="single" w:sz="8" w:color="EAEAEA"/>
            </w:tcBorders>
          </w:tcPr>
          <w:p>
            <w:pPr>
              <w:spacing w:after="0" w:line="20" w:lineRule="exact"/>
              <w:rPr>
                <w:sz w:val="1"/>
                <w:szCs w:val="1"/>
                <w:color w:val="auto"/>
              </w:rPr>
            </w:pPr>
          </w:p>
        </w:tc>
        <w:tc>
          <w:tcPr>
            <w:tcW w:w="240" w:type="dxa"/>
            <w:vAlign w:val="bottom"/>
            <w:tcBorders>
              <w:top w:val="single" w:sz="8" w:color="EAEAEA"/>
              <w:bottom w:val="single" w:sz="8" w:color="auto"/>
            </w:tcBorders>
          </w:tcPr>
          <w:p>
            <w:pPr>
              <w:spacing w:after="0" w:line="20" w:lineRule="exact"/>
              <w:rPr>
                <w:sz w:val="1"/>
                <w:szCs w:val="1"/>
                <w:color w:val="auto"/>
              </w:rPr>
            </w:pPr>
          </w:p>
        </w:tc>
        <w:tc>
          <w:tcPr>
            <w:tcW w:w="1400" w:type="dxa"/>
            <w:vAlign w:val="bottom"/>
            <w:tcBorders>
              <w:top w:val="single" w:sz="8" w:color="EAEAEA"/>
              <w:bottom w:val="single" w:sz="8" w:color="auto"/>
            </w:tcBorders>
          </w:tcPr>
          <w:p>
            <w:pPr>
              <w:spacing w:after="0" w:line="20" w:lineRule="exact"/>
              <w:rPr>
                <w:sz w:val="1"/>
                <w:szCs w:val="1"/>
                <w:color w:val="auto"/>
              </w:rPr>
            </w:pPr>
          </w:p>
        </w:tc>
        <w:tc>
          <w:tcPr>
            <w:tcW w:w="11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240" w:type="dxa"/>
            <w:vAlign w:val="bottom"/>
            <w:tcBorders>
              <w:top w:val="single" w:sz="8" w:color="EAEAEA"/>
              <w:bottom w:val="single" w:sz="8" w:color="auto"/>
            </w:tcBorders>
          </w:tcPr>
          <w:p>
            <w:pPr>
              <w:spacing w:after="0" w:line="20" w:lineRule="exact"/>
              <w:rPr>
                <w:sz w:val="1"/>
                <w:szCs w:val="1"/>
                <w:color w:val="auto"/>
              </w:rPr>
            </w:pPr>
          </w:p>
        </w:tc>
        <w:tc>
          <w:tcPr>
            <w:tcW w:w="1420" w:type="dxa"/>
            <w:vAlign w:val="bottom"/>
            <w:tcBorders>
              <w:top w:val="single" w:sz="8" w:color="EAEAEA"/>
              <w:bottom w:val="single" w:sz="8" w:color="auto"/>
            </w:tcBorders>
          </w:tcPr>
          <w:p>
            <w:pPr>
              <w:spacing w:after="0" w:line="20" w:lineRule="exact"/>
              <w:rPr>
                <w:sz w:val="1"/>
                <w:szCs w:val="1"/>
                <w:color w:val="auto"/>
              </w:rPr>
            </w:pPr>
          </w:p>
        </w:tc>
        <w:tc>
          <w:tcPr>
            <w:tcW w:w="1160" w:type="dxa"/>
            <w:vAlign w:val="bottom"/>
            <w:tcBorders>
              <w:top w:val="single" w:sz="8" w:color="EAEAEA"/>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ARR, Subscription ARR and SaaS ARR</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6"/>
          <w:szCs w:val="16"/>
          <w:color w:val="auto"/>
        </w:rPr>
        <w:t>($ in thousands)</w:t>
      </w:r>
    </w:p>
    <w:p>
      <w:pPr>
        <w:spacing w:after="0" w:line="327" w:lineRule="exact"/>
        <w:rPr>
          <w:sz w:val="20"/>
          <w:szCs w:val="20"/>
          <w:color w:val="auto"/>
        </w:rPr>
      </w:pPr>
    </w:p>
    <w:tbl>
      <w:tblPr>
        <w:tblLayout w:type="fixed"/>
        <w:tblInd w:w="1120"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Q4'25</w:t>
            </w: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Q1'26</w:t>
            </w:r>
          </w:p>
        </w:tc>
        <w:tc>
          <w:tcPr>
            <w:tcW w:w="28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Q2'26</w:t>
            </w: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Q3'26</w:t>
            </w:r>
          </w:p>
        </w:tc>
        <w:tc>
          <w:tcPr>
            <w:tcW w:w="26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Q4'26</w:t>
            </w:r>
          </w:p>
        </w:tc>
      </w:tr>
      <w:tr>
        <w:trPr>
          <w:trHeight w:val="250"/>
        </w:trPr>
        <w:tc>
          <w:tcPr>
            <w:tcW w:w="218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ARR</w:t>
            </w:r>
            <w:r>
              <w:rPr>
                <w:rFonts w:ascii="Arial" w:cs="Arial" w:eastAsia="Arial" w:hAnsi="Arial"/>
                <w:sz w:val="21"/>
                <w:szCs w:val="21"/>
                <w:color w:val="auto"/>
                <w:vertAlign w:val="superscript"/>
              </w:rPr>
              <w:t>1</w:t>
            </w:r>
          </w:p>
        </w:tc>
        <w:tc>
          <w:tcPr>
            <w:tcW w:w="260" w:type="dxa"/>
            <w:vAlign w:val="bottom"/>
            <w:tcBorders>
              <w:top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930,051</w:t>
            </w:r>
          </w:p>
        </w:tc>
        <w:tc>
          <w:tcPr>
            <w:tcW w:w="120" w:type="dxa"/>
            <w:vAlign w:val="bottom"/>
            <w:tcBorders>
              <w:top w:val="single" w:sz="8" w:color="EAEAEA"/>
            </w:tcBorders>
            <w:shd w:val="clear" w:color="auto" w:fill="EAEAEA"/>
          </w:tcPr>
          <w:p>
            <w:pPr>
              <w:spacing w:after="0"/>
              <w:rPr>
                <w:sz w:val="21"/>
                <w:szCs w:val="21"/>
                <w:color w:val="auto"/>
              </w:rPr>
            </w:pPr>
          </w:p>
        </w:tc>
        <w:tc>
          <w:tcPr>
            <w:tcW w:w="260" w:type="dxa"/>
            <w:vAlign w:val="bottom"/>
            <w:tcBorders>
              <w:top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996,202</w:t>
            </w:r>
          </w:p>
        </w:tc>
        <w:tc>
          <w:tcPr>
            <w:tcW w:w="120" w:type="dxa"/>
            <w:vAlign w:val="bottom"/>
            <w:tcBorders>
              <w:top w:val="single" w:sz="8" w:color="EAEAEA"/>
            </w:tcBorders>
            <w:shd w:val="clear" w:color="auto" w:fill="EAEAEA"/>
          </w:tcPr>
          <w:p>
            <w:pPr>
              <w:spacing w:after="0"/>
              <w:rPr>
                <w:sz w:val="21"/>
                <w:szCs w:val="21"/>
                <w:color w:val="auto"/>
              </w:rPr>
            </w:pPr>
          </w:p>
        </w:tc>
        <w:tc>
          <w:tcPr>
            <w:tcW w:w="280" w:type="dxa"/>
            <w:vAlign w:val="bottom"/>
            <w:tcBorders>
              <w:top w:val="single" w:sz="8" w:color="auto"/>
            </w:tcBorders>
            <w:shd w:val="clear" w:color="auto" w:fill="EAEAEA"/>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1,043,295</w:t>
            </w:r>
          </w:p>
        </w:tc>
        <w:tc>
          <w:tcPr>
            <w:tcW w:w="120" w:type="dxa"/>
            <w:vAlign w:val="bottom"/>
            <w:tcBorders>
              <w:top w:val="single" w:sz="8" w:color="EAEAEA"/>
            </w:tcBorders>
            <w:shd w:val="clear" w:color="auto" w:fill="EAEAEA"/>
          </w:tcPr>
          <w:p>
            <w:pPr>
              <w:spacing w:after="0"/>
              <w:rPr>
                <w:sz w:val="21"/>
                <w:szCs w:val="21"/>
                <w:color w:val="auto"/>
              </w:rPr>
            </w:pPr>
          </w:p>
        </w:tc>
        <w:tc>
          <w:tcPr>
            <w:tcW w:w="260" w:type="dxa"/>
            <w:vAlign w:val="bottom"/>
            <w:tcBorders>
              <w:top w:val="single" w:sz="8" w:color="auto"/>
            </w:tcBorders>
            <w:shd w:val="clear" w:color="auto" w:fill="EAEAEA"/>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1,084,880</w:t>
            </w:r>
          </w:p>
        </w:tc>
        <w:tc>
          <w:tcPr>
            <w:tcW w:w="120" w:type="dxa"/>
            <w:vAlign w:val="bottom"/>
            <w:tcBorders>
              <w:top w:val="single" w:sz="8" w:color="EAEAEA"/>
            </w:tcBorders>
            <w:shd w:val="clear" w:color="auto" w:fill="EAEAEA"/>
          </w:tcPr>
          <w:p>
            <w:pPr>
              <w:spacing w:after="0"/>
              <w:rPr>
                <w:sz w:val="21"/>
                <w:szCs w:val="21"/>
                <w:color w:val="auto"/>
              </w:rPr>
            </w:pPr>
          </w:p>
        </w:tc>
        <w:tc>
          <w:tcPr>
            <w:tcW w:w="260" w:type="dxa"/>
            <w:vAlign w:val="bottom"/>
            <w:tcBorders>
              <w:top w:val="single" w:sz="8" w:color="auto"/>
            </w:tcBorders>
            <w:shd w:val="clear" w:color="auto" w:fill="EAEAEA"/>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1,121,571</w:t>
            </w:r>
          </w:p>
        </w:tc>
      </w:tr>
      <w:tr>
        <w:trPr>
          <w:trHeight w:val="270"/>
        </w:trPr>
        <w:tc>
          <w:tcPr>
            <w:tcW w:w="2180" w:type="dxa"/>
            <w:vAlign w:val="bottom"/>
          </w:tcPr>
          <w:p>
            <w:pPr>
              <w:ind w:left="20"/>
              <w:spacing w:after="0"/>
              <w:rPr>
                <w:sz w:val="20"/>
                <w:szCs w:val="20"/>
                <w:color w:val="auto"/>
              </w:rPr>
            </w:pPr>
            <w:r>
              <w:rPr>
                <w:rFonts w:ascii="Arial" w:cs="Arial" w:eastAsia="Arial" w:hAnsi="Arial"/>
                <w:sz w:val="16"/>
                <w:szCs w:val="16"/>
                <w:color w:val="auto"/>
              </w:rPr>
              <w:t>Subscription ARR</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780,098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843,873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893,707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940,859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989,294</w:t>
            </w:r>
          </w:p>
        </w:tc>
      </w:tr>
      <w:tr>
        <w:trPr>
          <w:trHeight w:val="270"/>
        </w:trPr>
        <w:tc>
          <w:tcPr>
            <w:tcW w:w="2180" w:type="dxa"/>
            <w:vAlign w:val="bottom"/>
            <w:shd w:val="clear" w:color="auto" w:fill="EAEAEA"/>
          </w:tcPr>
          <w:p>
            <w:pPr>
              <w:ind w:left="20"/>
              <w:spacing w:after="0"/>
              <w:rPr>
                <w:sz w:val="20"/>
                <w:szCs w:val="20"/>
                <w:color w:val="auto"/>
              </w:rPr>
            </w:pPr>
            <w:r>
              <w:rPr>
                <w:rFonts w:ascii="Arial" w:cs="Arial" w:eastAsia="Arial" w:hAnsi="Arial"/>
                <w:sz w:val="16"/>
                <w:szCs w:val="16"/>
                <w:color w:val="auto"/>
              </w:rPr>
              <w:t>SaaS ARR</w:t>
            </w:r>
            <w:r>
              <w:rPr>
                <w:rFonts w:ascii="Arial" w:cs="Arial" w:eastAsia="Arial" w:hAnsi="Arial"/>
                <w:sz w:val="21"/>
                <w:szCs w:val="21"/>
                <w:color w:val="auto"/>
                <w:vertAlign w:val="superscript"/>
              </w:rPr>
              <w:t>1</w:t>
            </w:r>
          </w:p>
        </w:tc>
        <w:tc>
          <w:tcPr>
            <w:tcW w:w="260" w:type="dxa"/>
            <w:vAlign w:val="bottom"/>
            <w:shd w:val="clear" w:color="auto" w:fill="EAEAEA"/>
          </w:tcPr>
          <w:p>
            <w:pPr>
              <w:spacing w:after="0"/>
              <w:rPr>
                <w:sz w:val="23"/>
                <w:szCs w:val="23"/>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281,045</w:t>
            </w:r>
          </w:p>
        </w:tc>
        <w:tc>
          <w:tcPr>
            <w:tcW w:w="120" w:type="dxa"/>
            <w:vAlign w:val="bottom"/>
            <w:shd w:val="clear" w:color="auto" w:fill="EAEAEA"/>
          </w:tcPr>
          <w:p>
            <w:pPr>
              <w:spacing w:after="0"/>
              <w:rPr>
                <w:sz w:val="23"/>
                <w:szCs w:val="23"/>
                <w:color w:val="auto"/>
              </w:rPr>
            </w:pPr>
          </w:p>
        </w:tc>
        <w:tc>
          <w:tcPr>
            <w:tcW w:w="260" w:type="dxa"/>
            <w:vAlign w:val="bottom"/>
            <w:shd w:val="clear" w:color="auto" w:fill="EAEAEA"/>
          </w:tcPr>
          <w:p>
            <w:pPr>
              <w:spacing w:after="0"/>
              <w:rPr>
                <w:sz w:val="23"/>
                <w:szCs w:val="23"/>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306,874</w:t>
            </w:r>
          </w:p>
        </w:tc>
        <w:tc>
          <w:tcPr>
            <w:tcW w:w="120" w:type="dxa"/>
            <w:vAlign w:val="bottom"/>
            <w:shd w:val="clear" w:color="auto" w:fill="EAEAEA"/>
          </w:tcPr>
          <w:p>
            <w:pPr>
              <w:spacing w:after="0"/>
              <w:rPr>
                <w:sz w:val="23"/>
                <w:szCs w:val="23"/>
                <w:color w:val="auto"/>
              </w:rPr>
            </w:pPr>
          </w:p>
        </w:tc>
        <w:tc>
          <w:tcPr>
            <w:tcW w:w="280" w:type="dxa"/>
            <w:vAlign w:val="bottom"/>
            <w:shd w:val="clear" w:color="auto" w:fill="EAEAEA"/>
          </w:tcPr>
          <w:p>
            <w:pPr>
              <w:spacing w:after="0"/>
              <w:rPr>
                <w:sz w:val="23"/>
                <w:szCs w:val="23"/>
                <w:color w:val="auto"/>
              </w:rPr>
            </w:pPr>
          </w:p>
        </w:tc>
        <w:tc>
          <w:tcPr>
            <w:tcW w:w="102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335,669</w:t>
            </w:r>
          </w:p>
        </w:tc>
        <w:tc>
          <w:tcPr>
            <w:tcW w:w="120" w:type="dxa"/>
            <w:vAlign w:val="bottom"/>
            <w:shd w:val="clear" w:color="auto" w:fill="EAEAEA"/>
          </w:tcPr>
          <w:p>
            <w:pPr>
              <w:spacing w:after="0"/>
              <w:rPr>
                <w:sz w:val="23"/>
                <w:szCs w:val="23"/>
                <w:color w:val="auto"/>
              </w:rPr>
            </w:pPr>
          </w:p>
        </w:tc>
        <w:tc>
          <w:tcPr>
            <w:tcW w:w="260" w:type="dxa"/>
            <w:vAlign w:val="bottom"/>
            <w:shd w:val="clear" w:color="auto" w:fill="EAEAEA"/>
          </w:tcPr>
          <w:p>
            <w:pPr>
              <w:spacing w:after="0"/>
              <w:rPr>
                <w:sz w:val="23"/>
                <w:szCs w:val="23"/>
                <w:color w:val="auto"/>
              </w:rPr>
            </w:pP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363,732</w:t>
            </w:r>
          </w:p>
        </w:tc>
        <w:tc>
          <w:tcPr>
            <w:tcW w:w="120" w:type="dxa"/>
            <w:vAlign w:val="bottom"/>
            <w:shd w:val="clear" w:color="auto" w:fill="EAEAEA"/>
          </w:tcPr>
          <w:p>
            <w:pPr>
              <w:spacing w:after="0"/>
              <w:rPr>
                <w:sz w:val="23"/>
                <w:szCs w:val="23"/>
                <w:color w:val="auto"/>
              </w:rPr>
            </w:pPr>
          </w:p>
        </w:tc>
        <w:tc>
          <w:tcPr>
            <w:tcW w:w="260" w:type="dxa"/>
            <w:vAlign w:val="bottom"/>
            <w:shd w:val="clear" w:color="auto" w:fill="EAEAEA"/>
          </w:tcPr>
          <w:p>
            <w:pPr>
              <w:spacing w:after="0"/>
              <w:rPr>
                <w:sz w:val="23"/>
                <w:szCs w:val="23"/>
                <w:color w:val="auto"/>
              </w:rPr>
            </w:pP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400,157</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Constant Currency - ARR</w:t>
      </w:r>
      <w:r>
        <w:rPr>
          <w:rFonts w:ascii="Arial" w:cs="Arial" w:eastAsia="Arial" w:hAnsi="Arial"/>
          <w:sz w:val="23"/>
          <w:szCs w:val="23"/>
          <w:color w:val="auto"/>
          <w:vertAlign w:val="superscript"/>
        </w:rPr>
        <w:t>1</w:t>
      </w:r>
    </w:p>
    <w:p>
      <w:pPr>
        <w:spacing w:after="0"/>
        <w:rPr>
          <w:sz w:val="20"/>
          <w:szCs w:val="20"/>
          <w:color w:val="auto"/>
        </w:rPr>
      </w:pPr>
      <w:r>
        <w:rPr>
          <w:rFonts w:ascii="Arial" w:cs="Arial" w:eastAsia="Arial" w:hAnsi="Arial"/>
          <w:sz w:val="16"/>
          <w:szCs w:val="16"/>
          <w:color w:val="auto"/>
        </w:rPr>
        <w:t>($ in thousands)</w:t>
      </w:r>
    </w:p>
    <w:p>
      <w:pPr>
        <w:spacing w:after="0" w:line="281" w:lineRule="exact"/>
        <w:rPr>
          <w:sz w:val="20"/>
          <w:szCs w:val="20"/>
          <w:color w:val="auto"/>
        </w:rPr>
      </w:pPr>
    </w:p>
    <w:p>
      <w:pPr>
        <w:spacing w:after="0" w:line="345" w:lineRule="auto"/>
        <w:rPr>
          <w:sz w:val="20"/>
          <w:szCs w:val="20"/>
          <w:color w:val="auto"/>
        </w:rPr>
      </w:pPr>
      <w:r>
        <w:rPr>
          <w:rFonts w:ascii="Arial" w:cs="Arial" w:eastAsia="Arial" w:hAnsi="Arial"/>
          <w:sz w:val="18"/>
          <w:szCs w:val="18"/>
          <w:color w:val="auto"/>
        </w:rPr>
        <w:t>The constant currency impact on ARR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calculated using the foreign exchange spot rates from March 31, 2025 and applying these rates to foreign-denominated results in the periods presented.</w:t>
      </w:r>
    </w:p>
    <w:p>
      <w:pPr>
        <w:spacing w:after="0" w:line="97" w:lineRule="exact"/>
        <w:rPr>
          <w:sz w:val="20"/>
          <w:szCs w:val="20"/>
          <w:color w:val="auto"/>
        </w:rPr>
      </w:pPr>
    </w:p>
    <w:tbl>
      <w:tblPr>
        <w:tblLayout w:type="fixed"/>
        <w:tblInd w:w="1060" w:type="dxa"/>
        <w:tblCellMar>
          <w:top w:w="0" w:type="dxa"/>
          <w:left w:w="0" w:type="dxa"/>
          <w:bottom w:w="0" w:type="dxa"/>
          <w:right w:w="0" w:type="dxa"/>
        </w:tblCellMar>
      </w:tblPr>
      <w:tr>
        <w:trPr>
          <w:trHeight w:val="217"/>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Q4'25</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Q1'26</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Q2'26</w:t>
            </w: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Q3'26</w:t>
            </w:r>
          </w:p>
        </w:tc>
        <w:tc>
          <w:tcPr>
            <w:tcW w:w="240" w:type="dxa"/>
            <w:vAlign w:val="bottom"/>
          </w:tcPr>
          <w:p>
            <w:pPr>
              <w:spacing w:after="0"/>
              <w:rPr>
                <w:sz w:val="18"/>
                <w:szCs w:val="18"/>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Q4'26</w:t>
            </w:r>
          </w:p>
        </w:tc>
        <w:tc>
          <w:tcPr>
            <w:tcW w:w="0" w:type="dxa"/>
            <w:vAlign w:val="bottom"/>
          </w:tcPr>
          <w:p>
            <w:pPr>
              <w:spacing w:after="0"/>
              <w:rPr>
                <w:sz w:val="1"/>
                <w:szCs w:val="1"/>
                <w:color w:val="auto"/>
              </w:rPr>
            </w:pPr>
          </w:p>
        </w:tc>
      </w:tr>
      <w:tr>
        <w:trPr>
          <w:trHeight w:val="237"/>
        </w:trPr>
        <w:tc>
          <w:tcPr>
            <w:tcW w:w="2640" w:type="dxa"/>
            <w:vAlign w:val="bottom"/>
            <w:tcBorders>
              <w:top w:val="single" w:sz="8" w:color="EAEAEA"/>
            </w:tcBorders>
            <w:shd w:val="clear" w:color="auto" w:fill="EAEAEA"/>
          </w:tcPr>
          <w:p>
            <w:pPr>
              <w:ind w:left="20"/>
              <w:spacing w:after="0" w:line="237" w:lineRule="exact"/>
              <w:rPr>
                <w:sz w:val="20"/>
                <w:szCs w:val="20"/>
                <w:color w:val="auto"/>
              </w:rPr>
            </w:pPr>
            <w:r>
              <w:rPr>
                <w:rFonts w:ascii="Arial" w:cs="Arial" w:eastAsia="Arial" w:hAnsi="Arial"/>
                <w:sz w:val="16"/>
                <w:szCs w:val="16"/>
                <w:color w:val="auto"/>
              </w:rPr>
              <w:t>Total ARR</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as Reported</w:t>
            </w:r>
          </w:p>
        </w:tc>
        <w:tc>
          <w:tcPr>
            <w:tcW w:w="220" w:type="dxa"/>
            <w:vAlign w:val="bottom"/>
            <w:tcBorders>
              <w:top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930,051</w:t>
            </w:r>
          </w:p>
        </w:tc>
        <w:tc>
          <w:tcPr>
            <w:tcW w:w="140" w:type="dxa"/>
            <w:vAlign w:val="bottom"/>
            <w:tcBorders>
              <w:top w:val="single" w:sz="8" w:color="EAEAEA"/>
            </w:tcBorders>
            <w:shd w:val="clear" w:color="auto" w:fill="EAEAEA"/>
          </w:tcPr>
          <w:p>
            <w:pPr>
              <w:spacing w:after="0"/>
              <w:rPr>
                <w:sz w:val="20"/>
                <w:szCs w:val="20"/>
                <w:color w:val="auto"/>
              </w:rPr>
            </w:pPr>
          </w:p>
        </w:tc>
        <w:tc>
          <w:tcPr>
            <w:tcW w:w="240" w:type="dxa"/>
            <w:vAlign w:val="bottom"/>
            <w:tcBorders>
              <w:top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996,202</w:t>
            </w:r>
          </w:p>
        </w:tc>
        <w:tc>
          <w:tcPr>
            <w:tcW w:w="160" w:type="dxa"/>
            <w:vAlign w:val="bottom"/>
            <w:tcBorders>
              <w:top w:val="single" w:sz="8" w:color="EAEAEA"/>
            </w:tcBorders>
            <w:shd w:val="clear" w:color="auto" w:fill="EAEAEA"/>
          </w:tcPr>
          <w:p>
            <w:pPr>
              <w:spacing w:after="0"/>
              <w:rPr>
                <w:sz w:val="20"/>
                <w:szCs w:val="20"/>
                <w:color w:val="auto"/>
              </w:rPr>
            </w:pPr>
          </w:p>
        </w:tc>
        <w:tc>
          <w:tcPr>
            <w:tcW w:w="220" w:type="dxa"/>
            <w:vAlign w:val="bottom"/>
            <w:tcBorders>
              <w:top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1,043,295</w:t>
            </w:r>
          </w:p>
        </w:tc>
        <w:tc>
          <w:tcPr>
            <w:tcW w:w="160" w:type="dxa"/>
            <w:vAlign w:val="bottom"/>
            <w:tcBorders>
              <w:top w:val="single" w:sz="8" w:color="EAEAEA"/>
            </w:tcBorders>
            <w:shd w:val="clear" w:color="auto" w:fill="EAEAEA"/>
          </w:tcPr>
          <w:p>
            <w:pPr>
              <w:spacing w:after="0"/>
              <w:rPr>
                <w:sz w:val="20"/>
                <w:szCs w:val="20"/>
                <w:color w:val="auto"/>
              </w:rPr>
            </w:pPr>
          </w:p>
        </w:tc>
        <w:tc>
          <w:tcPr>
            <w:tcW w:w="240" w:type="dxa"/>
            <w:vAlign w:val="bottom"/>
            <w:tcBorders>
              <w:top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1,084,880</w:t>
            </w:r>
          </w:p>
        </w:tc>
        <w:tc>
          <w:tcPr>
            <w:tcW w:w="140" w:type="dxa"/>
            <w:vAlign w:val="bottom"/>
            <w:tcBorders>
              <w:top w:val="single" w:sz="8" w:color="EAEAEA"/>
            </w:tcBorders>
            <w:shd w:val="clear" w:color="auto" w:fill="EAEAEA"/>
          </w:tcPr>
          <w:p>
            <w:pPr>
              <w:spacing w:after="0"/>
              <w:rPr>
                <w:sz w:val="20"/>
                <w:szCs w:val="20"/>
                <w:color w:val="auto"/>
              </w:rPr>
            </w:pPr>
          </w:p>
        </w:tc>
        <w:tc>
          <w:tcPr>
            <w:tcW w:w="240" w:type="dxa"/>
            <w:vAlign w:val="bottom"/>
            <w:tcBorders>
              <w:top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1,121,571</w:t>
            </w:r>
          </w:p>
        </w:tc>
        <w:tc>
          <w:tcPr>
            <w:tcW w:w="0" w:type="dxa"/>
            <w:vAlign w:val="bottom"/>
          </w:tcPr>
          <w:p>
            <w:pPr>
              <w:spacing w:after="0"/>
              <w:rPr>
                <w:sz w:val="1"/>
                <w:szCs w:val="1"/>
                <w:color w:val="auto"/>
              </w:rPr>
            </w:pPr>
          </w:p>
        </w:tc>
      </w:tr>
      <w:tr>
        <w:trPr>
          <w:trHeight w:val="255"/>
        </w:trPr>
        <w:tc>
          <w:tcPr>
            <w:tcW w:w="2640" w:type="dxa"/>
            <w:vAlign w:val="bottom"/>
          </w:tcPr>
          <w:p>
            <w:pPr>
              <w:ind w:left="20"/>
              <w:spacing w:after="0"/>
              <w:rPr>
                <w:sz w:val="20"/>
                <w:szCs w:val="20"/>
                <w:color w:val="auto"/>
              </w:rPr>
            </w:pPr>
            <w:r>
              <w:rPr>
                <w:rFonts w:ascii="Arial" w:cs="Arial" w:eastAsia="Arial" w:hAnsi="Arial"/>
                <w:sz w:val="16"/>
                <w:szCs w:val="16"/>
                <w:color w:val="auto"/>
              </w:rPr>
              <w:t>As Reported NNARR</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40,423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66,151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47,093</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41,585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36,691</w:t>
            </w:r>
          </w:p>
        </w:tc>
        <w:tc>
          <w:tcPr>
            <w:tcW w:w="0" w:type="dxa"/>
            <w:vAlign w:val="bottom"/>
          </w:tcPr>
          <w:p>
            <w:pPr>
              <w:spacing w:after="0"/>
              <w:rPr>
                <w:sz w:val="1"/>
                <w:szCs w:val="1"/>
                <w:color w:val="auto"/>
              </w:rPr>
            </w:pPr>
          </w:p>
        </w:tc>
      </w:tr>
      <w:tr>
        <w:trPr>
          <w:trHeight w:val="163"/>
        </w:trPr>
        <w:tc>
          <w:tcPr>
            <w:tcW w:w="2640" w:type="dxa"/>
            <w:vAlign w:val="bottom"/>
            <w:shd w:val="clear" w:color="auto" w:fill="EAEAEA"/>
          </w:tcPr>
          <w:p>
            <w:pPr>
              <w:ind w:left="20"/>
              <w:spacing w:after="0" w:line="164" w:lineRule="exact"/>
              <w:rPr>
                <w:sz w:val="20"/>
                <w:szCs w:val="20"/>
                <w:color w:val="auto"/>
              </w:rPr>
            </w:pPr>
            <w:r>
              <w:rPr>
                <w:rFonts w:ascii="Arial" w:cs="Arial" w:eastAsia="Arial" w:hAnsi="Arial"/>
                <w:sz w:val="14"/>
                <w:szCs w:val="14"/>
                <w:color w:val="auto"/>
              </w:rPr>
              <w:t>Total ARR</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using March 31, 2025</w:t>
            </w:r>
          </w:p>
        </w:tc>
        <w:tc>
          <w:tcPr>
            <w:tcW w:w="220" w:type="dxa"/>
            <w:vAlign w:val="bottom"/>
            <w:shd w:val="clear" w:color="auto" w:fill="EAEAEA"/>
          </w:tcPr>
          <w:p>
            <w:pPr>
              <w:spacing w:after="0"/>
              <w:rPr>
                <w:sz w:val="14"/>
                <w:szCs w:val="14"/>
                <w:color w:val="auto"/>
              </w:rPr>
            </w:pPr>
          </w:p>
        </w:tc>
        <w:tc>
          <w:tcPr>
            <w:tcW w:w="92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930,051</w:t>
            </w:r>
          </w:p>
        </w:tc>
        <w:tc>
          <w:tcPr>
            <w:tcW w:w="14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4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969,693</w:t>
            </w:r>
          </w:p>
        </w:tc>
        <w:tc>
          <w:tcPr>
            <w:tcW w:w="160" w:type="dxa"/>
            <w:vAlign w:val="bottom"/>
            <w:shd w:val="clear" w:color="auto" w:fill="EAEAEA"/>
          </w:tcPr>
          <w:p>
            <w:pPr>
              <w:spacing w:after="0"/>
              <w:rPr>
                <w:sz w:val="14"/>
                <w:szCs w:val="14"/>
                <w:color w:val="auto"/>
              </w:rPr>
            </w:pPr>
          </w:p>
        </w:tc>
        <w:tc>
          <w:tcPr>
            <w:tcW w:w="220" w:type="dxa"/>
            <w:vAlign w:val="bottom"/>
            <w:shd w:val="clear" w:color="auto" w:fill="EAEAEA"/>
          </w:tcPr>
          <w:p>
            <w:pPr>
              <w:spacing w:after="0"/>
              <w:rPr>
                <w:sz w:val="14"/>
                <w:szCs w:val="14"/>
                <w:color w:val="auto"/>
              </w:rPr>
            </w:pPr>
          </w:p>
        </w:tc>
        <w:tc>
          <w:tcPr>
            <w:tcW w:w="9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1,016,697</w:t>
            </w:r>
          </w:p>
        </w:tc>
        <w:tc>
          <w:tcPr>
            <w:tcW w:w="16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1,055,806</w:t>
            </w:r>
          </w:p>
        </w:tc>
        <w:tc>
          <w:tcPr>
            <w:tcW w:w="14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1,099,539</w:t>
            </w:r>
          </w:p>
        </w:tc>
        <w:tc>
          <w:tcPr>
            <w:tcW w:w="0" w:type="dxa"/>
            <w:vAlign w:val="bottom"/>
          </w:tcPr>
          <w:p>
            <w:pPr>
              <w:spacing w:after="0"/>
              <w:rPr>
                <w:sz w:val="1"/>
                <w:szCs w:val="1"/>
                <w:color w:val="auto"/>
              </w:rPr>
            </w:pPr>
          </w:p>
        </w:tc>
      </w:tr>
      <w:tr>
        <w:trPr>
          <w:trHeight w:val="216"/>
        </w:trPr>
        <w:tc>
          <w:tcPr>
            <w:tcW w:w="2640" w:type="dxa"/>
            <w:vAlign w:val="bottom"/>
            <w:shd w:val="clear" w:color="auto" w:fill="EAEAEA"/>
          </w:tcPr>
          <w:p>
            <w:pPr>
              <w:ind w:left="20"/>
              <w:spacing w:after="0"/>
              <w:rPr>
                <w:sz w:val="20"/>
                <w:szCs w:val="20"/>
                <w:color w:val="auto"/>
              </w:rPr>
            </w:pPr>
            <w:r>
              <w:rPr>
                <w:rFonts w:ascii="Arial" w:cs="Arial" w:eastAsia="Arial" w:hAnsi="Arial"/>
                <w:sz w:val="16"/>
                <w:szCs w:val="16"/>
                <w:color w:val="auto"/>
              </w:rPr>
              <w:t>rates</w:t>
            </w:r>
          </w:p>
        </w:tc>
        <w:tc>
          <w:tcPr>
            <w:tcW w:w="220" w:type="dxa"/>
            <w:vAlign w:val="bottom"/>
            <w:shd w:val="clear" w:color="auto" w:fill="EAEAEA"/>
          </w:tcPr>
          <w:p>
            <w:pPr>
              <w:spacing w:after="0"/>
              <w:rPr>
                <w:sz w:val="18"/>
                <w:szCs w:val="18"/>
                <w:color w:val="auto"/>
              </w:rPr>
            </w:pPr>
          </w:p>
        </w:tc>
        <w:tc>
          <w:tcPr>
            <w:tcW w:w="920" w:type="dxa"/>
            <w:vAlign w:val="bottom"/>
            <w:vMerge w:val="continue"/>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40" w:type="dxa"/>
            <w:vAlign w:val="bottom"/>
            <w:vMerge w:val="continue"/>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60" w:type="dxa"/>
            <w:vAlign w:val="bottom"/>
            <w:vMerge w:val="continue"/>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60" w:type="dxa"/>
            <w:vAlign w:val="bottom"/>
            <w:vMerge w:val="continue"/>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6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40" w:type="dxa"/>
            <w:vAlign w:val="bottom"/>
          </w:tcPr>
          <w:p>
            <w:pPr>
              <w:ind w:left="20"/>
              <w:spacing w:after="0"/>
              <w:rPr>
                <w:sz w:val="20"/>
                <w:szCs w:val="20"/>
                <w:color w:val="auto"/>
              </w:rPr>
            </w:pPr>
            <w:r>
              <w:rPr>
                <w:rFonts w:ascii="Arial" w:cs="Arial" w:eastAsia="Arial" w:hAnsi="Arial"/>
                <w:sz w:val="16"/>
                <w:szCs w:val="16"/>
                <w:color w:val="auto"/>
              </w:rPr>
              <w:t>Constant currency NNARR</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30,686</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39,642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47,004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39,109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43,733</w:t>
            </w:r>
          </w:p>
        </w:tc>
        <w:tc>
          <w:tcPr>
            <w:tcW w:w="0" w:type="dxa"/>
            <w:vAlign w:val="bottom"/>
          </w:tcPr>
          <w:p>
            <w:pPr>
              <w:spacing w:after="0"/>
              <w:rPr>
                <w:sz w:val="1"/>
                <w:szCs w:val="1"/>
                <w:color w:val="auto"/>
              </w:rPr>
            </w:pPr>
          </w:p>
        </w:tc>
      </w:tr>
      <w:tr>
        <w:trPr>
          <w:trHeight w:val="258"/>
        </w:trPr>
        <w:tc>
          <w:tcPr>
            <w:tcW w:w="264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920" w:type="dxa"/>
            <w:vAlign w:val="bottom"/>
            <w:shd w:val="clear" w:color="auto" w:fill="EAEAEA"/>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40" w:type="dxa"/>
            <w:vAlign w:val="bottom"/>
            <w:shd w:val="clear" w:color="auto" w:fill="EAEAEA"/>
          </w:tcPr>
          <w:p>
            <w:pPr>
              <w:spacing w:after="0"/>
              <w:rPr>
                <w:sz w:val="22"/>
                <w:szCs w:val="22"/>
                <w:color w:val="auto"/>
              </w:rPr>
            </w:pPr>
          </w:p>
        </w:tc>
        <w:tc>
          <w:tcPr>
            <w:tcW w:w="16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960" w:type="dxa"/>
            <w:vAlign w:val="bottom"/>
            <w:shd w:val="clear" w:color="auto" w:fill="EAEAEA"/>
          </w:tcPr>
          <w:p>
            <w:pPr>
              <w:spacing w:after="0"/>
              <w:rPr>
                <w:sz w:val="22"/>
                <w:szCs w:val="22"/>
                <w:color w:val="auto"/>
              </w:rPr>
            </w:pPr>
          </w:p>
        </w:tc>
        <w:tc>
          <w:tcPr>
            <w:tcW w:w="16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60" w:type="dxa"/>
            <w:vAlign w:val="bottom"/>
            <w:shd w:val="clear" w:color="auto" w:fill="EAEAEA"/>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6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40" w:type="dxa"/>
            <w:vAlign w:val="bottom"/>
          </w:tcPr>
          <w:p>
            <w:pPr>
              <w:ind w:left="20"/>
              <w:spacing w:after="0"/>
              <w:rPr>
                <w:sz w:val="20"/>
                <w:szCs w:val="20"/>
                <w:color w:val="auto"/>
              </w:rPr>
            </w:pPr>
            <w:r>
              <w:rPr>
                <w:rFonts w:ascii="Arial" w:cs="Arial" w:eastAsia="Arial" w:hAnsi="Arial"/>
                <w:sz w:val="16"/>
                <w:szCs w:val="16"/>
                <w:color w:val="auto"/>
              </w:rPr>
              <w:t>Subscription ARR</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as Reported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780,098</w:t>
            </w:r>
          </w:p>
        </w:tc>
        <w:tc>
          <w:tcPr>
            <w:tcW w:w="1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843,873</w:t>
            </w:r>
          </w:p>
        </w:tc>
        <w:tc>
          <w:tcPr>
            <w:tcW w:w="16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893,707</w:t>
            </w:r>
          </w:p>
        </w:tc>
        <w:tc>
          <w:tcPr>
            <w:tcW w:w="16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940,859</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989,294</w:t>
            </w:r>
          </w:p>
        </w:tc>
        <w:tc>
          <w:tcPr>
            <w:tcW w:w="0" w:type="dxa"/>
            <w:vAlign w:val="bottom"/>
          </w:tcPr>
          <w:p>
            <w:pPr>
              <w:spacing w:after="0"/>
              <w:rPr>
                <w:sz w:val="1"/>
                <w:szCs w:val="1"/>
                <w:color w:val="auto"/>
              </w:rPr>
            </w:pPr>
          </w:p>
        </w:tc>
      </w:tr>
      <w:tr>
        <w:trPr>
          <w:trHeight w:val="257"/>
        </w:trPr>
        <w:tc>
          <w:tcPr>
            <w:tcW w:w="2640" w:type="dxa"/>
            <w:vAlign w:val="bottom"/>
            <w:shd w:val="clear" w:color="auto" w:fill="EAEAEA"/>
          </w:tcPr>
          <w:p>
            <w:pPr>
              <w:ind w:left="20"/>
              <w:spacing w:after="0"/>
              <w:rPr>
                <w:sz w:val="20"/>
                <w:szCs w:val="20"/>
                <w:color w:val="auto"/>
              </w:rPr>
            </w:pPr>
            <w:r>
              <w:rPr>
                <w:rFonts w:ascii="Arial" w:cs="Arial" w:eastAsia="Arial" w:hAnsi="Arial"/>
                <w:sz w:val="16"/>
                <w:szCs w:val="16"/>
                <w:color w:val="auto"/>
              </w:rPr>
              <w:t>As Reported NNARR</w:t>
            </w:r>
          </w:p>
        </w:tc>
        <w:tc>
          <w:tcPr>
            <w:tcW w:w="220" w:type="dxa"/>
            <w:vAlign w:val="bottom"/>
            <w:shd w:val="clear" w:color="auto" w:fill="EAEAEA"/>
          </w:tcPr>
          <w:p>
            <w:pPr>
              <w:spacing w:after="0"/>
              <w:rPr>
                <w:sz w:val="22"/>
                <w:szCs w:val="22"/>
                <w:color w:val="auto"/>
              </w:rPr>
            </w:pPr>
          </w:p>
        </w:tc>
        <w:tc>
          <w:tcPr>
            <w:tcW w:w="92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45,886</w:t>
            </w: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63,775</w:t>
            </w:r>
          </w:p>
        </w:tc>
        <w:tc>
          <w:tcPr>
            <w:tcW w:w="16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49,834</w:t>
            </w:r>
          </w:p>
        </w:tc>
        <w:tc>
          <w:tcPr>
            <w:tcW w:w="16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47,152</w:t>
            </w: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48,435</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Arial" w:cs="Arial" w:eastAsia="Arial" w:hAnsi="Arial"/>
                <w:sz w:val="14"/>
                <w:szCs w:val="14"/>
                <w:color w:val="auto"/>
              </w:rPr>
              <w:t>Subscription ARR</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using March 31,</w:t>
            </w:r>
          </w:p>
        </w:tc>
        <w:tc>
          <w:tcPr>
            <w:tcW w:w="22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780,098</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822,695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872,065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916,722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970,133</w:t>
            </w: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2025 rates</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Constant currency NNARR</w:t>
            </w:r>
          </w:p>
        </w:tc>
        <w:tc>
          <w:tcPr>
            <w:tcW w:w="220" w:type="dxa"/>
            <w:vAlign w:val="bottom"/>
            <w:shd w:val="clear" w:color="auto" w:fill="EAEAEA"/>
          </w:tcPr>
          <w:p>
            <w:pPr>
              <w:spacing w:after="0"/>
              <w:rPr>
                <w:sz w:val="22"/>
                <w:szCs w:val="22"/>
                <w:color w:val="auto"/>
              </w:rPr>
            </w:pPr>
          </w:p>
        </w:tc>
        <w:tc>
          <w:tcPr>
            <w:tcW w:w="92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38,572</w:t>
            </w: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42,597</w:t>
            </w:r>
          </w:p>
        </w:tc>
        <w:tc>
          <w:tcPr>
            <w:tcW w:w="160" w:type="dxa"/>
            <w:vAlign w:val="bottom"/>
            <w:shd w:val="clear" w:color="auto" w:fill="EAEAEA"/>
          </w:tcPr>
          <w:p>
            <w:pPr>
              <w:spacing w:after="0"/>
              <w:rPr>
                <w:sz w:val="22"/>
                <w:szCs w:val="22"/>
                <w:color w:val="auto"/>
              </w:rPr>
            </w:pPr>
          </w:p>
        </w:tc>
        <w:tc>
          <w:tcPr>
            <w:tcW w:w="220" w:type="dxa"/>
            <w:vAlign w:val="bottom"/>
            <w:shd w:val="clear" w:color="auto" w:fill="EAEAEA"/>
          </w:tcPr>
          <w:p>
            <w:pPr>
              <w:spacing w:after="0"/>
              <w:rPr>
                <w:sz w:val="22"/>
                <w:szCs w:val="22"/>
                <w:color w:val="auto"/>
              </w:rPr>
            </w:pP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49,370</w:t>
            </w:r>
          </w:p>
        </w:tc>
        <w:tc>
          <w:tcPr>
            <w:tcW w:w="16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44,657</w:t>
            </w: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spacing w:after="0"/>
              <w:rPr>
                <w:sz w:val="22"/>
                <w:szCs w:val="22"/>
                <w:color w:val="auto"/>
              </w:rPr>
            </w:pP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53,411</w:t>
            </w: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EAEAEA"/>
          </w:tcPr>
          <w:p>
            <w:pPr>
              <w:ind w:left="20"/>
              <w:spacing w:after="0"/>
              <w:rPr>
                <w:sz w:val="20"/>
                <w:szCs w:val="20"/>
                <w:color w:val="auto"/>
              </w:rPr>
            </w:pPr>
            <w:r>
              <w:rPr>
                <w:rFonts w:ascii="Arial" w:cs="Arial" w:eastAsia="Arial" w:hAnsi="Arial"/>
                <w:sz w:val="16"/>
                <w:szCs w:val="16"/>
                <w:color w:val="auto"/>
              </w:rPr>
              <w:t>SaaS ARR</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as Reported</w:t>
            </w:r>
          </w:p>
        </w:tc>
        <w:tc>
          <w:tcPr>
            <w:tcW w:w="22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281,045</w:t>
            </w: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306,874</w:t>
            </w:r>
          </w:p>
        </w:tc>
        <w:tc>
          <w:tcPr>
            <w:tcW w:w="160" w:type="dxa"/>
            <w:vAlign w:val="bottom"/>
            <w:shd w:val="clear" w:color="auto" w:fill="EAEAEA"/>
          </w:tcPr>
          <w:p>
            <w:pPr>
              <w:spacing w:after="0"/>
              <w:rPr>
                <w:sz w:val="22"/>
                <w:szCs w:val="22"/>
                <w:color w:val="auto"/>
              </w:rPr>
            </w:pPr>
          </w:p>
        </w:tc>
        <w:tc>
          <w:tcPr>
            <w:tcW w:w="22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335,669</w:t>
            </w:r>
          </w:p>
        </w:tc>
        <w:tc>
          <w:tcPr>
            <w:tcW w:w="160" w:type="dxa"/>
            <w:vAlign w:val="bottom"/>
            <w:shd w:val="clear" w:color="auto" w:fill="EAEAEA"/>
          </w:tcPr>
          <w:p>
            <w:pPr>
              <w:spacing w:after="0"/>
              <w:rPr>
                <w:sz w:val="22"/>
                <w:szCs w:val="22"/>
                <w:color w:val="auto"/>
              </w:rPr>
            </w:pPr>
          </w:p>
        </w:tc>
        <w:tc>
          <w:tcPr>
            <w:tcW w:w="24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363,732</w:t>
            </w:r>
          </w:p>
        </w:tc>
        <w:tc>
          <w:tcPr>
            <w:tcW w:w="140" w:type="dxa"/>
            <w:vAlign w:val="bottom"/>
            <w:shd w:val="clear" w:color="auto" w:fill="EAEAEA"/>
          </w:tcPr>
          <w:p>
            <w:pPr>
              <w:spacing w:after="0"/>
              <w:rPr>
                <w:sz w:val="22"/>
                <w:szCs w:val="22"/>
                <w:color w:val="auto"/>
              </w:rPr>
            </w:pPr>
          </w:p>
        </w:tc>
        <w:tc>
          <w:tcPr>
            <w:tcW w:w="24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400,157</w:t>
            </w:r>
          </w:p>
        </w:tc>
        <w:tc>
          <w:tcPr>
            <w:tcW w:w="0" w:type="dxa"/>
            <w:vAlign w:val="bottom"/>
          </w:tcPr>
          <w:p>
            <w:pPr>
              <w:spacing w:after="0"/>
              <w:rPr>
                <w:sz w:val="1"/>
                <w:szCs w:val="1"/>
                <w:color w:val="auto"/>
              </w:rPr>
            </w:pPr>
          </w:p>
        </w:tc>
      </w:tr>
      <w:tr>
        <w:trPr>
          <w:trHeight w:val="256"/>
        </w:trPr>
        <w:tc>
          <w:tcPr>
            <w:tcW w:w="2640" w:type="dxa"/>
            <w:vAlign w:val="bottom"/>
          </w:tcPr>
          <w:p>
            <w:pPr>
              <w:ind w:left="20"/>
              <w:spacing w:after="0"/>
              <w:rPr>
                <w:sz w:val="20"/>
                <w:szCs w:val="20"/>
                <w:color w:val="auto"/>
              </w:rPr>
            </w:pPr>
            <w:r>
              <w:rPr>
                <w:rFonts w:ascii="Arial" w:cs="Arial" w:eastAsia="Arial" w:hAnsi="Arial"/>
                <w:sz w:val="16"/>
                <w:szCs w:val="16"/>
                <w:color w:val="auto"/>
              </w:rPr>
              <w:t>As Reported NNARR</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22,088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25,829</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28,795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28,063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36,425</w:t>
            </w:r>
          </w:p>
        </w:tc>
        <w:tc>
          <w:tcPr>
            <w:tcW w:w="0" w:type="dxa"/>
            <w:vAlign w:val="bottom"/>
          </w:tcPr>
          <w:p>
            <w:pPr>
              <w:spacing w:after="0"/>
              <w:rPr>
                <w:sz w:val="1"/>
                <w:szCs w:val="1"/>
                <w:color w:val="auto"/>
              </w:rPr>
            </w:pPr>
          </w:p>
        </w:tc>
      </w:tr>
      <w:tr>
        <w:trPr>
          <w:trHeight w:val="163"/>
        </w:trPr>
        <w:tc>
          <w:tcPr>
            <w:tcW w:w="2640" w:type="dxa"/>
            <w:vAlign w:val="bottom"/>
            <w:shd w:val="clear" w:color="auto" w:fill="EAEAEA"/>
          </w:tcPr>
          <w:p>
            <w:pPr>
              <w:ind w:left="20"/>
              <w:spacing w:after="0" w:line="163" w:lineRule="exact"/>
              <w:rPr>
                <w:sz w:val="20"/>
                <w:szCs w:val="20"/>
                <w:color w:val="auto"/>
              </w:rPr>
            </w:pPr>
            <w:r>
              <w:rPr>
                <w:rFonts w:ascii="Arial" w:cs="Arial" w:eastAsia="Arial" w:hAnsi="Arial"/>
                <w:sz w:val="14"/>
                <w:szCs w:val="14"/>
                <w:color w:val="auto"/>
              </w:rPr>
              <w:t>SaaS ARR</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using March 31, 2025</w:t>
            </w:r>
          </w:p>
        </w:tc>
        <w:tc>
          <w:tcPr>
            <w:tcW w:w="220" w:type="dxa"/>
            <w:vAlign w:val="bottom"/>
            <w:shd w:val="clear" w:color="auto" w:fill="EAEAEA"/>
          </w:tcPr>
          <w:p>
            <w:pPr>
              <w:spacing w:after="0"/>
              <w:rPr>
                <w:sz w:val="14"/>
                <w:szCs w:val="14"/>
                <w:color w:val="auto"/>
              </w:rPr>
            </w:pPr>
          </w:p>
        </w:tc>
        <w:tc>
          <w:tcPr>
            <w:tcW w:w="92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281,045</w:t>
            </w:r>
          </w:p>
        </w:tc>
        <w:tc>
          <w:tcPr>
            <w:tcW w:w="14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4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299,017</w:t>
            </w:r>
          </w:p>
        </w:tc>
        <w:tc>
          <w:tcPr>
            <w:tcW w:w="160" w:type="dxa"/>
            <w:vAlign w:val="bottom"/>
            <w:shd w:val="clear" w:color="auto" w:fill="EAEAEA"/>
          </w:tcPr>
          <w:p>
            <w:pPr>
              <w:spacing w:after="0"/>
              <w:rPr>
                <w:sz w:val="14"/>
                <w:szCs w:val="14"/>
                <w:color w:val="auto"/>
              </w:rPr>
            </w:pPr>
          </w:p>
        </w:tc>
        <w:tc>
          <w:tcPr>
            <w:tcW w:w="220" w:type="dxa"/>
            <w:vAlign w:val="bottom"/>
            <w:shd w:val="clear" w:color="auto" w:fill="EAEAEA"/>
          </w:tcPr>
          <w:p>
            <w:pPr>
              <w:spacing w:after="0"/>
              <w:rPr>
                <w:sz w:val="14"/>
                <w:szCs w:val="14"/>
                <w:color w:val="auto"/>
              </w:rPr>
            </w:pPr>
          </w:p>
        </w:tc>
        <w:tc>
          <w:tcPr>
            <w:tcW w:w="9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327,781</w:t>
            </w:r>
          </w:p>
        </w:tc>
        <w:tc>
          <w:tcPr>
            <w:tcW w:w="16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354,888</w:t>
            </w:r>
          </w:p>
        </w:tc>
        <w:tc>
          <w:tcPr>
            <w:tcW w:w="14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9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393,058</w:t>
            </w:r>
          </w:p>
        </w:tc>
        <w:tc>
          <w:tcPr>
            <w:tcW w:w="0" w:type="dxa"/>
            <w:vAlign w:val="bottom"/>
          </w:tcPr>
          <w:p>
            <w:pPr>
              <w:spacing w:after="0"/>
              <w:rPr>
                <w:sz w:val="1"/>
                <w:szCs w:val="1"/>
                <w:color w:val="auto"/>
              </w:rPr>
            </w:pPr>
          </w:p>
        </w:tc>
      </w:tr>
      <w:tr>
        <w:trPr>
          <w:trHeight w:val="216"/>
        </w:trPr>
        <w:tc>
          <w:tcPr>
            <w:tcW w:w="2640" w:type="dxa"/>
            <w:vAlign w:val="bottom"/>
            <w:shd w:val="clear" w:color="auto" w:fill="EAEAEA"/>
          </w:tcPr>
          <w:p>
            <w:pPr>
              <w:ind w:left="20"/>
              <w:spacing w:after="0"/>
              <w:rPr>
                <w:sz w:val="20"/>
                <w:szCs w:val="20"/>
                <w:color w:val="auto"/>
              </w:rPr>
            </w:pPr>
            <w:r>
              <w:rPr>
                <w:rFonts w:ascii="Arial" w:cs="Arial" w:eastAsia="Arial" w:hAnsi="Arial"/>
                <w:sz w:val="16"/>
                <w:szCs w:val="16"/>
                <w:color w:val="auto"/>
              </w:rPr>
              <w:t>rates</w:t>
            </w:r>
          </w:p>
        </w:tc>
        <w:tc>
          <w:tcPr>
            <w:tcW w:w="220" w:type="dxa"/>
            <w:vAlign w:val="bottom"/>
            <w:shd w:val="clear" w:color="auto" w:fill="EAEAEA"/>
          </w:tcPr>
          <w:p>
            <w:pPr>
              <w:spacing w:after="0"/>
              <w:rPr>
                <w:sz w:val="18"/>
                <w:szCs w:val="18"/>
                <w:color w:val="auto"/>
              </w:rPr>
            </w:pPr>
          </w:p>
        </w:tc>
        <w:tc>
          <w:tcPr>
            <w:tcW w:w="920" w:type="dxa"/>
            <w:vAlign w:val="bottom"/>
            <w:vMerge w:val="continue"/>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40" w:type="dxa"/>
            <w:vAlign w:val="bottom"/>
            <w:vMerge w:val="continue"/>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60" w:type="dxa"/>
            <w:vAlign w:val="bottom"/>
            <w:vMerge w:val="continue"/>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60" w:type="dxa"/>
            <w:vAlign w:val="bottom"/>
            <w:vMerge w:val="continue"/>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6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640" w:type="dxa"/>
            <w:vAlign w:val="bottom"/>
          </w:tcPr>
          <w:p>
            <w:pPr>
              <w:ind w:left="20"/>
              <w:spacing w:after="0"/>
              <w:rPr>
                <w:sz w:val="20"/>
                <w:szCs w:val="20"/>
                <w:color w:val="auto"/>
              </w:rPr>
            </w:pPr>
            <w:r>
              <w:rPr>
                <w:rFonts w:ascii="Arial" w:cs="Arial" w:eastAsia="Arial" w:hAnsi="Arial"/>
                <w:sz w:val="16"/>
                <w:szCs w:val="16"/>
                <w:color w:val="auto"/>
              </w:rPr>
              <w:t>Constant currency NNARR</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19,629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17,972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28,764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27,107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38,170</w:t>
            </w:r>
          </w:p>
        </w:tc>
        <w:tc>
          <w:tcPr>
            <w:tcW w:w="0" w:type="dxa"/>
            <w:vAlign w:val="bottom"/>
          </w:tcPr>
          <w:p>
            <w:pPr>
              <w:spacing w:after="0"/>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March 31, 2026 -</w:t>
      </w:r>
    </w:p>
    <w:p>
      <w:pPr>
        <w:spacing w:after="0" w:line="10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GAAP net income was $15 million, or $0.34 per diluted share for the three months ended March 31, 2026</w:t>
      </w:r>
    </w:p>
    <w:p>
      <w:pPr>
        <w:spacing w:after="0" w:line="10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GAAP gross margin was 81.4% and non-GAAP gross margin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81.8% for the three months ended March 31, 2026</w:t>
      </w:r>
    </w:p>
    <w:p>
      <w:pPr>
        <w:spacing w:after="0" w:line="4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repurchased approximately 3 million shares of common stock for $259 million during the three months ended March 31, 2026</w:t>
      </w:r>
    </w:p>
    <w:p>
      <w:pPr>
        <w:spacing w:after="0" w:line="103"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Weighted average diluted shares outstanding were approximately 43 million for the three months ended March 31, 2026</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March 31, 2026 -</w:t>
      </w:r>
    </w:p>
    <w:p>
      <w:pPr>
        <w:spacing w:after="0" w:line="1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GAAP net income was $71 million, or $1.58 per diluted share for the year ended March 31, 2026</w:t>
      </w:r>
    </w:p>
    <w:p>
      <w:pPr>
        <w:spacing w:after="0" w:line="101"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GAAP gross margin was 81.2% and non-GAAP gross margin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81.6% for the year ended March 31, 2026</w:t>
      </w:r>
    </w:p>
    <w:p>
      <w:pPr>
        <w:spacing w:after="0" w:line="4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repurchased approximately 4 million shares of common stock for $446 million during the year ended March 31, 2026</w:t>
      </w:r>
    </w:p>
    <w:p>
      <w:pPr>
        <w:spacing w:after="0" w:line="103"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Weighted average diluted shares outstanding were approximately 45 million for the year ended March 31, 2026</w:t>
      </w:r>
    </w:p>
    <w:p>
      <w:pPr>
        <w:spacing w:after="0" w:line="103"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totaled $900 million as of March 31, 2026</w:t>
      </w:r>
    </w:p>
    <w:p>
      <w:pPr>
        <w:spacing w:after="0" w:line="11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SaaS net dollar retention rate (NRR)</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was 122% as of March 31, 2026</w:t>
      </w:r>
    </w:p>
    <w:p>
      <w:pPr>
        <w:spacing w:after="0" w:line="48" w:lineRule="exact"/>
        <w:rPr>
          <w:rFonts w:ascii="Arial" w:cs="Arial" w:eastAsia="Arial" w:hAnsi="Arial"/>
          <w:sz w:val="18"/>
          <w:szCs w:val="18"/>
          <w:b w:val="1"/>
          <w:bCs w:val="1"/>
          <w:color w:val="auto"/>
        </w:rPr>
      </w:pPr>
    </w:p>
    <w:p>
      <w:pPr>
        <w:ind w:left="660" w:hanging="328"/>
        <w:spacing w:after="0" w:line="39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April 15, 2026, Commvault's Board of Directors approved recommitting our share repurchase program so that $250 million was made available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0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EAEAE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EAEAEA"/>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37"/>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AEAEA"/>
          </w:tcPr>
          <w:p>
            <w:pPr>
              <w:spacing w:after="0"/>
              <w:rPr>
                <w:sz w:val="20"/>
                <w:szCs w:val="20"/>
                <w:color w:val="auto"/>
              </w:rPr>
            </w:pPr>
          </w:p>
        </w:tc>
        <w:tc>
          <w:tcPr>
            <w:tcW w:w="82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8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2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6"/>
                <w:szCs w:val="16"/>
                <w:color w:val="auto"/>
              </w:rPr>
              <w:t>Subscription:</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60" w:type="dxa"/>
            <w:vAlign w:val="bottom"/>
            <w:shd w:val="clear" w:color="auto" w:fill="EAEAEA"/>
          </w:tcPr>
          <w:p>
            <w:pPr>
              <w:ind w:left="680"/>
              <w:spacing w:after="0"/>
              <w:rPr>
                <w:sz w:val="20"/>
                <w:szCs w:val="20"/>
                <w:color w:val="auto"/>
              </w:rPr>
            </w:pPr>
            <w:r>
              <w:rPr>
                <w:rFonts w:ascii="Arial" w:cs="Arial" w:eastAsia="Arial" w:hAnsi="Arial"/>
                <w:sz w:val="16"/>
                <w:szCs w:val="16"/>
                <w:color w:val="auto"/>
              </w:rPr>
              <w:t>Term-based license</w:t>
            </w:r>
          </w:p>
        </w:tc>
        <w:tc>
          <w:tcPr>
            <w:tcW w:w="22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114,445</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107,954</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435,324</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370,411</w:t>
            </w:r>
          </w:p>
        </w:tc>
        <w:tc>
          <w:tcPr>
            <w:tcW w:w="0" w:type="dxa"/>
            <w:vAlign w:val="bottom"/>
          </w:tcPr>
          <w:p>
            <w:pPr>
              <w:spacing w:after="0"/>
              <w:rPr>
                <w:sz w:val="1"/>
                <w:szCs w:val="1"/>
                <w:color w:val="auto"/>
              </w:rPr>
            </w:pPr>
          </w:p>
        </w:tc>
      </w:tr>
      <w:tr>
        <w:trPr>
          <w:trHeight w:val="255"/>
        </w:trPr>
        <w:tc>
          <w:tcPr>
            <w:tcW w:w="4360" w:type="dxa"/>
            <w:vAlign w:val="bottom"/>
            <w:tcBorders>
              <w:bottom w:val="single" w:sz="8" w:color="EAEAEA"/>
            </w:tcBorders>
          </w:tcPr>
          <w:p>
            <w:pPr>
              <w:ind w:left="680"/>
              <w:spacing w:after="0"/>
              <w:rPr>
                <w:sz w:val="20"/>
                <w:szCs w:val="20"/>
                <w:color w:val="auto"/>
              </w:rPr>
            </w:pPr>
            <w:r>
              <w:rPr>
                <w:rFonts w:ascii="Arial" w:cs="Arial" w:eastAsia="Arial" w:hAnsi="Arial"/>
                <w:sz w:val="16"/>
                <w:szCs w:val="16"/>
                <w:color w:val="auto"/>
              </w:rPr>
              <w:t>Software-as-a-service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93,139</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65,274</w:t>
            </w:r>
          </w:p>
        </w:tc>
        <w:tc>
          <w:tcPr>
            <w:tcW w:w="14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332,981</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219,256</w:t>
            </w:r>
          </w:p>
        </w:tc>
        <w:tc>
          <w:tcPr>
            <w:tcW w:w="0" w:type="dxa"/>
            <w:vAlign w:val="bottom"/>
          </w:tcPr>
          <w:p>
            <w:pPr>
              <w:spacing w:after="0"/>
              <w:rPr>
                <w:sz w:val="1"/>
                <w:szCs w:val="1"/>
                <w:color w:val="auto"/>
              </w:rPr>
            </w:pPr>
          </w:p>
        </w:tc>
      </w:tr>
      <w:tr>
        <w:trPr>
          <w:trHeight w:val="238"/>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Total subscription</w:t>
            </w:r>
          </w:p>
        </w:tc>
        <w:tc>
          <w:tcPr>
            <w:tcW w:w="220" w:type="dxa"/>
            <w:vAlign w:val="bottom"/>
            <w:shd w:val="clear" w:color="auto" w:fill="EAEAEA"/>
          </w:tcPr>
          <w:p>
            <w:pPr>
              <w:spacing w:after="0"/>
              <w:rPr>
                <w:sz w:val="20"/>
                <w:szCs w:val="20"/>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207,584</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173,228</w:t>
            </w: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768,305</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589,667</w:t>
            </w:r>
          </w:p>
        </w:tc>
        <w:tc>
          <w:tcPr>
            <w:tcW w:w="0" w:type="dxa"/>
            <w:vAlign w:val="bottom"/>
          </w:tcPr>
          <w:p>
            <w:pPr>
              <w:spacing w:after="0"/>
              <w:rPr>
                <w:sz w:val="1"/>
                <w:szCs w:val="1"/>
                <w:color w:val="auto"/>
              </w:rPr>
            </w:pPr>
          </w:p>
        </w:tc>
      </w:tr>
      <w:tr>
        <w:trPr>
          <w:trHeight w:val="255"/>
        </w:trPr>
        <w:tc>
          <w:tcPr>
            <w:tcW w:w="4360" w:type="dxa"/>
            <w:vAlign w:val="bottom"/>
          </w:tcPr>
          <w:p>
            <w:pPr>
              <w:ind w:left="260"/>
              <w:spacing w:after="0"/>
              <w:rPr>
                <w:sz w:val="20"/>
                <w:szCs w:val="20"/>
                <w:color w:val="auto"/>
              </w:rPr>
            </w:pPr>
            <w:r>
              <w:rPr>
                <w:rFonts w:ascii="Arial" w:cs="Arial" w:eastAsia="Arial" w:hAnsi="Arial"/>
                <w:sz w:val="16"/>
                <w:szCs w:val="16"/>
                <w:color w:val="auto"/>
              </w:rPr>
              <w:t>Perpetual license</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10,129</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14,962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43,212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55,643</w:t>
            </w:r>
          </w:p>
        </w:tc>
        <w:tc>
          <w:tcPr>
            <w:tcW w:w="0" w:type="dxa"/>
            <w:vAlign w:val="bottom"/>
          </w:tcPr>
          <w:p>
            <w:pPr>
              <w:spacing w:after="0"/>
              <w:rPr>
                <w:sz w:val="1"/>
                <w:szCs w:val="1"/>
                <w:color w:val="auto"/>
              </w:rPr>
            </w:pPr>
          </w:p>
        </w:tc>
      </w:tr>
      <w:tr>
        <w:trPr>
          <w:trHeight w:val="258"/>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Customer support</w:t>
            </w:r>
          </w:p>
        </w:tc>
        <w:tc>
          <w:tcPr>
            <w:tcW w:w="220" w:type="dxa"/>
            <w:vAlign w:val="bottom"/>
            <w:shd w:val="clear" w:color="auto" w:fill="EAEAEA"/>
          </w:tcPr>
          <w:p>
            <w:pPr>
              <w:spacing w:after="0"/>
              <w:rPr>
                <w:sz w:val="22"/>
                <w:szCs w:val="2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80,905</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76,509</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320,426</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307,563</w:t>
            </w:r>
          </w:p>
        </w:tc>
        <w:tc>
          <w:tcPr>
            <w:tcW w:w="0" w:type="dxa"/>
            <w:vAlign w:val="bottom"/>
          </w:tcPr>
          <w:p>
            <w:pPr>
              <w:spacing w:after="0"/>
              <w:rPr>
                <w:sz w:val="1"/>
                <w:szCs w:val="1"/>
                <w:color w:val="auto"/>
              </w:rPr>
            </w:pPr>
          </w:p>
        </w:tc>
      </w:tr>
      <w:tr>
        <w:trPr>
          <w:trHeight w:val="255"/>
        </w:trPr>
        <w:tc>
          <w:tcPr>
            <w:tcW w:w="4360" w:type="dxa"/>
            <w:vAlign w:val="bottom"/>
            <w:tcBorders>
              <w:bottom w:val="single" w:sz="8" w:color="EAEAEA"/>
            </w:tcBorders>
          </w:tcPr>
          <w:p>
            <w:pPr>
              <w:ind w:left="260"/>
              <w:spacing w:after="0"/>
              <w:rPr>
                <w:sz w:val="20"/>
                <w:szCs w:val="20"/>
                <w:color w:val="auto"/>
              </w:rPr>
            </w:pPr>
            <w:r>
              <w:rPr>
                <w:rFonts w:ascii="Arial" w:cs="Arial" w:eastAsia="Arial" w:hAnsi="Arial"/>
                <w:sz w:val="16"/>
                <w:szCs w:val="16"/>
                <w:color w:val="auto"/>
              </w:rPr>
              <w:t>Other services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13,074</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10,340</w:t>
            </w:r>
          </w:p>
        </w:tc>
        <w:tc>
          <w:tcPr>
            <w:tcW w:w="14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51,747</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42,746</w:t>
            </w:r>
          </w:p>
        </w:tc>
        <w:tc>
          <w:tcPr>
            <w:tcW w:w="0" w:type="dxa"/>
            <w:vAlign w:val="bottom"/>
          </w:tcPr>
          <w:p>
            <w:pPr>
              <w:spacing w:after="0"/>
              <w:rPr>
                <w:sz w:val="1"/>
                <w:szCs w:val="1"/>
                <w:color w:val="auto"/>
              </w:rPr>
            </w:pPr>
          </w:p>
        </w:tc>
      </w:tr>
      <w:tr>
        <w:trPr>
          <w:trHeight w:val="238"/>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EAEAEA"/>
          </w:tcPr>
          <w:p>
            <w:pPr>
              <w:spacing w:after="0"/>
              <w:rPr>
                <w:sz w:val="20"/>
                <w:szCs w:val="20"/>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311,692</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275,039</w:t>
            </w: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1,183,690</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995,619</w:t>
            </w:r>
          </w:p>
        </w:tc>
        <w:tc>
          <w:tcPr>
            <w:tcW w:w="0" w:type="dxa"/>
            <w:vAlign w:val="bottom"/>
          </w:tcPr>
          <w:p>
            <w:pPr>
              <w:spacing w:after="0"/>
              <w:rPr>
                <w:sz w:val="1"/>
                <w:szCs w:val="1"/>
                <w:color w:val="auto"/>
              </w:rPr>
            </w:pPr>
          </w:p>
        </w:tc>
      </w:tr>
      <w:tr>
        <w:trPr>
          <w:trHeight w:val="256"/>
        </w:trPr>
        <w:tc>
          <w:tcPr>
            <w:tcW w:w="43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Subscription:</w:t>
            </w:r>
          </w:p>
        </w:tc>
        <w:tc>
          <w:tcPr>
            <w:tcW w:w="220" w:type="dxa"/>
            <w:vAlign w:val="bottom"/>
            <w:shd w:val="clear" w:color="auto" w:fill="EAEAEA"/>
          </w:tcPr>
          <w:p>
            <w:pPr>
              <w:spacing w:after="0"/>
              <w:rPr>
                <w:sz w:val="22"/>
                <w:szCs w:val="22"/>
                <w:color w:val="auto"/>
              </w:rPr>
            </w:pPr>
          </w:p>
        </w:tc>
        <w:tc>
          <w:tcPr>
            <w:tcW w:w="820" w:type="dxa"/>
            <w:vAlign w:val="bottom"/>
            <w:shd w:val="clear" w:color="auto" w:fill="EAEAEA"/>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00" w:type="dxa"/>
            <w:vAlign w:val="bottom"/>
            <w:shd w:val="clear" w:color="auto" w:fill="EAEAEA"/>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860" w:type="dxa"/>
            <w:vAlign w:val="bottom"/>
            <w:shd w:val="clear" w:color="auto" w:fill="EAEAEA"/>
          </w:tcPr>
          <w:p>
            <w:pPr>
              <w:spacing w:after="0"/>
              <w:rPr>
                <w:sz w:val="22"/>
                <w:szCs w:val="22"/>
                <w:color w:val="auto"/>
              </w:rPr>
            </w:pP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680"/>
              <w:spacing w:after="0"/>
              <w:rPr>
                <w:sz w:val="20"/>
                <w:szCs w:val="20"/>
                <w:color w:val="auto"/>
              </w:rPr>
            </w:pPr>
            <w:r>
              <w:rPr>
                <w:rFonts w:ascii="Arial" w:cs="Arial" w:eastAsia="Arial" w:hAnsi="Arial"/>
                <w:sz w:val="16"/>
                <w:szCs w:val="16"/>
                <w:color w:val="auto"/>
              </w:rPr>
              <w:t>Term-based license</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3,007</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10,662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56"/>
        </w:trPr>
        <w:tc>
          <w:tcPr>
            <w:tcW w:w="4360" w:type="dxa"/>
            <w:vAlign w:val="bottom"/>
            <w:shd w:val="clear" w:color="auto" w:fill="EAEAEA"/>
          </w:tcPr>
          <w:p>
            <w:pPr>
              <w:ind w:left="680"/>
              <w:spacing w:after="0"/>
              <w:rPr>
                <w:sz w:val="20"/>
                <w:szCs w:val="20"/>
                <w:color w:val="auto"/>
              </w:rPr>
            </w:pPr>
            <w:r>
              <w:rPr>
                <w:rFonts w:ascii="Arial" w:cs="Arial" w:eastAsia="Arial" w:hAnsi="Arial"/>
                <w:sz w:val="16"/>
                <w:szCs w:val="16"/>
                <w:color w:val="auto"/>
              </w:rPr>
              <w:t>Software-as-a-service</w:t>
            </w:r>
          </w:p>
        </w:tc>
        <w:tc>
          <w:tcPr>
            <w:tcW w:w="220" w:type="dxa"/>
            <w:vAlign w:val="bottom"/>
            <w:tcBorders>
              <w:bottom w:val="single" w:sz="8" w:color="auto"/>
            </w:tcBorders>
            <w:shd w:val="clear" w:color="auto" w:fill="EAEAEA"/>
          </w:tcPr>
          <w:p>
            <w:pPr>
              <w:spacing w:after="0"/>
              <w:rPr>
                <w:sz w:val="22"/>
                <w:szCs w:val="22"/>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31,555</w:t>
            </w:r>
          </w:p>
        </w:tc>
        <w:tc>
          <w:tcPr>
            <w:tcW w:w="140" w:type="dxa"/>
            <w:vAlign w:val="bottom"/>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23,045</w:t>
            </w:r>
          </w:p>
        </w:tc>
        <w:tc>
          <w:tcPr>
            <w:tcW w:w="140" w:type="dxa"/>
            <w:vAlign w:val="bottom"/>
            <w:shd w:val="clear" w:color="auto" w:fill="EAEAEA"/>
          </w:tcPr>
          <w:p>
            <w:pPr>
              <w:spacing w:after="0"/>
              <w:rPr>
                <w:sz w:val="22"/>
                <w:szCs w:val="22"/>
                <w:color w:val="auto"/>
              </w:rPr>
            </w:pPr>
          </w:p>
        </w:tc>
        <w:tc>
          <w:tcPr>
            <w:tcW w:w="180" w:type="dxa"/>
            <w:vAlign w:val="bottom"/>
            <w:tcBorders>
              <w:bottom w:val="single" w:sz="8" w:color="auto"/>
            </w:tcBorders>
            <w:shd w:val="clear" w:color="auto" w:fill="EAEAEA"/>
          </w:tcPr>
          <w:p>
            <w:pPr>
              <w:spacing w:after="0"/>
              <w:rPr>
                <w:sz w:val="22"/>
                <w:szCs w:val="22"/>
                <w:color w:val="auto"/>
              </w:rPr>
            </w:pP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118,301</w:t>
            </w:r>
          </w:p>
        </w:tc>
        <w:tc>
          <w:tcPr>
            <w:tcW w:w="140" w:type="dxa"/>
            <w:vAlign w:val="bottom"/>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79,341</w:t>
            </w:r>
          </w:p>
        </w:tc>
        <w:tc>
          <w:tcPr>
            <w:tcW w:w="0" w:type="dxa"/>
            <w:vAlign w:val="bottom"/>
          </w:tcPr>
          <w:p>
            <w:pPr>
              <w:spacing w:after="0"/>
              <w:rPr>
                <w:sz w:val="1"/>
                <w:szCs w:val="1"/>
                <w:color w:val="auto"/>
              </w:rPr>
            </w:pPr>
          </w:p>
        </w:tc>
      </w:tr>
      <w:tr>
        <w:trPr>
          <w:trHeight w:val="236"/>
        </w:trPr>
        <w:tc>
          <w:tcPr>
            <w:tcW w:w="4360" w:type="dxa"/>
            <w:vAlign w:val="bottom"/>
          </w:tcPr>
          <w:p>
            <w:pPr>
              <w:ind w:left="260"/>
              <w:spacing w:after="0"/>
              <w:rPr>
                <w:sz w:val="20"/>
                <w:szCs w:val="20"/>
                <w:color w:val="auto"/>
              </w:rPr>
            </w:pPr>
            <w:r>
              <w:rPr>
                <w:rFonts w:ascii="Arial" w:cs="Arial" w:eastAsia="Arial" w:hAnsi="Arial"/>
                <w:sz w:val="16"/>
                <w:szCs w:val="16"/>
                <w:color w:val="auto"/>
              </w:rPr>
              <w:t>Total subscription</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34,562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25,801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128,963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88,899</w:t>
            </w:r>
          </w:p>
        </w:tc>
        <w:tc>
          <w:tcPr>
            <w:tcW w:w="0" w:type="dxa"/>
            <w:vAlign w:val="bottom"/>
          </w:tcPr>
          <w:p>
            <w:pPr>
              <w:spacing w:after="0"/>
              <w:rPr>
                <w:sz w:val="1"/>
                <w:szCs w:val="1"/>
                <w:color w:val="auto"/>
              </w:rPr>
            </w:pPr>
          </w:p>
        </w:tc>
      </w:tr>
      <w:tr>
        <w:trPr>
          <w:trHeight w:val="258"/>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Perpetual license</w:t>
            </w:r>
          </w:p>
        </w:tc>
        <w:tc>
          <w:tcPr>
            <w:tcW w:w="220" w:type="dxa"/>
            <w:vAlign w:val="bottom"/>
            <w:shd w:val="clear" w:color="auto" w:fill="EAEAEA"/>
          </w:tcPr>
          <w:p>
            <w:pPr>
              <w:spacing w:after="0"/>
              <w:rPr>
                <w:sz w:val="22"/>
                <w:szCs w:val="2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312</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6"/>
                <w:szCs w:val="16"/>
                <w:color w:val="auto"/>
              </w:rPr>
              <w:t>Customer support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14,397</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13,746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58,879</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57,680</w:t>
            </w:r>
          </w:p>
        </w:tc>
        <w:tc>
          <w:tcPr>
            <w:tcW w:w="0" w:type="dxa"/>
            <w:vAlign w:val="bottom"/>
          </w:tcPr>
          <w:p>
            <w:pPr>
              <w:spacing w:after="0"/>
              <w:rPr>
                <w:sz w:val="1"/>
                <w:szCs w:val="1"/>
                <w:color w:val="auto"/>
              </w:rPr>
            </w:pPr>
          </w:p>
        </w:tc>
      </w:tr>
      <w:tr>
        <w:trPr>
          <w:trHeight w:val="256"/>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Other services</w:t>
            </w:r>
          </w:p>
        </w:tc>
        <w:tc>
          <w:tcPr>
            <w:tcW w:w="220" w:type="dxa"/>
            <w:vAlign w:val="bottom"/>
            <w:tcBorders>
              <w:bottom w:val="single" w:sz="8" w:color="auto"/>
            </w:tcBorders>
            <w:shd w:val="clear" w:color="auto" w:fill="EAEAEA"/>
          </w:tcPr>
          <w:p>
            <w:pPr>
              <w:spacing w:after="0"/>
              <w:rPr>
                <w:sz w:val="22"/>
                <w:szCs w:val="22"/>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9,013</w:t>
            </w:r>
          </w:p>
        </w:tc>
        <w:tc>
          <w:tcPr>
            <w:tcW w:w="140" w:type="dxa"/>
            <w:vAlign w:val="bottom"/>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7,907</w:t>
            </w:r>
          </w:p>
        </w:tc>
        <w:tc>
          <w:tcPr>
            <w:tcW w:w="140" w:type="dxa"/>
            <w:vAlign w:val="bottom"/>
            <w:shd w:val="clear" w:color="auto" w:fill="EAEAEA"/>
          </w:tcPr>
          <w:p>
            <w:pPr>
              <w:spacing w:after="0"/>
              <w:rPr>
                <w:sz w:val="22"/>
                <w:szCs w:val="22"/>
                <w:color w:val="auto"/>
              </w:rPr>
            </w:pPr>
          </w:p>
        </w:tc>
        <w:tc>
          <w:tcPr>
            <w:tcW w:w="180" w:type="dxa"/>
            <w:vAlign w:val="bottom"/>
            <w:tcBorders>
              <w:bottom w:val="single" w:sz="8" w:color="auto"/>
            </w:tcBorders>
            <w:shd w:val="clear" w:color="auto" w:fill="EAEAEA"/>
          </w:tcPr>
          <w:p>
            <w:pPr>
              <w:spacing w:after="0"/>
              <w:rPr>
                <w:sz w:val="22"/>
                <w:szCs w:val="22"/>
                <w:color w:val="auto"/>
              </w:rPr>
            </w:pP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34,747</w:t>
            </w:r>
          </w:p>
        </w:tc>
        <w:tc>
          <w:tcPr>
            <w:tcW w:w="140" w:type="dxa"/>
            <w:vAlign w:val="bottom"/>
            <w:shd w:val="clear" w:color="auto" w:fill="EAEAEA"/>
          </w:tcPr>
          <w:p>
            <w:pPr>
              <w:spacing w:after="0"/>
              <w:rPr>
                <w:sz w:val="22"/>
                <w:szCs w:val="22"/>
                <w:color w:val="auto"/>
              </w:rPr>
            </w:pPr>
          </w:p>
        </w:tc>
        <w:tc>
          <w:tcPr>
            <w:tcW w:w="320" w:type="dxa"/>
            <w:vAlign w:val="bottom"/>
            <w:tcBorders>
              <w:bottom w:val="single" w:sz="8" w:color="auto"/>
            </w:tcBorders>
            <w:shd w:val="clear" w:color="auto" w:fill="EAEAEA"/>
          </w:tcPr>
          <w:p>
            <w:pPr>
              <w:spacing w:after="0"/>
              <w:rPr>
                <w:sz w:val="22"/>
                <w:szCs w:val="22"/>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30,956</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cost of revenues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58,004</w:t>
            </w:r>
          </w:p>
        </w:tc>
        <w:tc>
          <w:tcPr>
            <w:tcW w:w="140" w:type="dxa"/>
            <w:vAlign w:val="bottom"/>
            <w:tcBorders>
              <w:bottom w:val="single" w:sz="8" w:color="EAEAEA"/>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47,766</w:t>
            </w:r>
          </w:p>
        </w:tc>
        <w:tc>
          <w:tcPr>
            <w:tcW w:w="140" w:type="dxa"/>
            <w:vAlign w:val="bottom"/>
            <w:tcBorders>
              <w:bottom w:val="single" w:sz="8" w:color="EA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223,120</w:t>
            </w:r>
          </w:p>
        </w:tc>
        <w:tc>
          <w:tcPr>
            <w:tcW w:w="140" w:type="dxa"/>
            <w:vAlign w:val="bottom"/>
            <w:tcBorders>
              <w:bottom w:val="single" w:sz="8" w:color="EAEAEA"/>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179,035</w:t>
            </w:r>
          </w:p>
        </w:tc>
        <w:tc>
          <w:tcPr>
            <w:tcW w:w="0" w:type="dxa"/>
            <w:vAlign w:val="bottom"/>
          </w:tcPr>
          <w:p>
            <w:pPr>
              <w:spacing w:after="0"/>
              <w:rPr>
                <w:sz w:val="1"/>
                <w:szCs w:val="1"/>
                <w:color w:val="auto"/>
              </w:rPr>
            </w:pPr>
          </w:p>
        </w:tc>
      </w:tr>
      <w:tr>
        <w:trPr>
          <w:trHeight w:val="238"/>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EAEAEA"/>
          </w:tcPr>
          <w:p>
            <w:pPr>
              <w:spacing w:after="0"/>
              <w:rPr>
                <w:sz w:val="20"/>
                <w:szCs w:val="20"/>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253,688</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227,273</w:t>
            </w: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960,570</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816,584</w:t>
            </w:r>
          </w:p>
        </w:tc>
        <w:tc>
          <w:tcPr>
            <w:tcW w:w="0" w:type="dxa"/>
            <w:vAlign w:val="bottom"/>
          </w:tcPr>
          <w:p>
            <w:pPr>
              <w:spacing w:after="0"/>
              <w:rPr>
                <w:sz w:val="1"/>
                <w:szCs w:val="1"/>
                <w:color w:val="auto"/>
              </w:rPr>
            </w:pPr>
          </w:p>
        </w:tc>
      </w:tr>
      <w:tr>
        <w:trPr>
          <w:trHeight w:val="256"/>
        </w:trPr>
        <w:tc>
          <w:tcPr>
            <w:tcW w:w="4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EAEAEA"/>
          </w:tcPr>
          <w:p>
            <w:pPr>
              <w:spacing w:after="0"/>
              <w:rPr>
                <w:sz w:val="22"/>
                <w:szCs w:val="2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135,655</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120,152</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519,688</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434,117</w:t>
            </w:r>
          </w:p>
        </w:tc>
        <w:tc>
          <w:tcPr>
            <w:tcW w:w="0" w:type="dxa"/>
            <w:vAlign w:val="bottom"/>
          </w:tcPr>
          <w:p>
            <w:pPr>
              <w:spacing w:after="0"/>
              <w:rPr>
                <w:sz w:val="1"/>
                <w:szCs w:val="1"/>
                <w:color w:val="auto"/>
              </w:rPr>
            </w:pPr>
          </w:p>
        </w:tc>
      </w:tr>
      <w:tr>
        <w:trPr>
          <w:trHeight w:val="255"/>
        </w:trPr>
        <w:tc>
          <w:tcPr>
            <w:tcW w:w="43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40,062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39,333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162,213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146,286</w:t>
            </w:r>
          </w:p>
        </w:tc>
        <w:tc>
          <w:tcPr>
            <w:tcW w:w="0" w:type="dxa"/>
            <w:vAlign w:val="bottom"/>
          </w:tcPr>
          <w:p>
            <w:pPr>
              <w:spacing w:after="0"/>
              <w:rPr>
                <w:sz w:val="1"/>
                <w:szCs w:val="1"/>
                <w:color w:val="auto"/>
              </w:rPr>
            </w:pPr>
          </w:p>
        </w:tc>
      </w:tr>
      <w:tr>
        <w:trPr>
          <w:trHeight w:val="258"/>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EAEAEA"/>
          </w:tcPr>
          <w:p>
            <w:pPr>
              <w:spacing w:after="0"/>
              <w:rPr>
                <w:sz w:val="22"/>
                <w:szCs w:val="2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40,167</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38,274</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162,722</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138,375</w:t>
            </w:r>
          </w:p>
        </w:tc>
        <w:tc>
          <w:tcPr>
            <w:tcW w:w="0" w:type="dxa"/>
            <w:vAlign w:val="bottom"/>
          </w:tcPr>
          <w:p>
            <w:pPr>
              <w:spacing w:after="0"/>
              <w:rPr>
                <w:sz w:val="1"/>
                <w:szCs w:val="1"/>
                <w:color w:val="auto"/>
              </w:rPr>
            </w:pPr>
          </w:p>
        </w:tc>
      </w:tr>
      <w:tr>
        <w:trPr>
          <w:trHeight w:val="256"/>
        </w:trPr>
        <w:tc>
          <w:tcPr>
            <w:tcW w:w="43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10,348</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9,072</w:t>
            </w:r>
          </w:p>
        </w:tc>
        <w:tc>
          <w:tcPr>
            <w:tcW w:w="0" w:type="dxa"/>
            <w:vAlign w:val="bottom"/>
          </w:tcPr>
          <w:p>
            <w:pPr>
              <w:spacing w:after="0"/>
              <w:rPr>
                <w:sz w:val="1"/>
                <w:szCs w:val="1"/>
                <w:color w:val="auto"/>
              </w:rPr>
            </w:pPr>
          </w:p>
        </w:tc>
      </w:tr>
      <w:tr>
        <w:trPr>
          <w:trHeight w:val="258"/>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Restructuring</w:t>
            </w:r>
          </w:p>
        </w:tc>
        <w:tc>
          <w:tcPr>
            <w:tcW w:w="220" w:type="dxa"/>
            <w:vAlign w:val="bottom"/>
            <w:shd w:val="clear" w:color="auto" w:fill="EAEAEA"/>
          </w:tcPr>
          <w:p>
            <w:pPr>
              <w:spacing w:after="0"/>
              <w:rPr>
                <w:sz w:val="22"/>
                <w:szCs w:val="2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18,603</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812</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32,154</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10,026</w:t>
            </w:r>
          </w:p>
        </w:tc>
        <w:tc>
          <w:tcPr>
            <w:tcW w:w="0" w:type="dxa"/>
            <w:vAlign w:val="bottom"/>
          </w:tcPr>
          <w:p>
            <w:pPr>
              <w:spacing w:after="0"/>
              <w:rPr>
                <w:sz w:val="1"/>
                <w:szCs w:val="1"/>
                <w:color w:val="auto"/>
              </w:rPr>
            </w:pPr>
          </w:p>
        </w:tc>
      </w:tr>
      <w:tr>
        <w:trPr>
          <w:trHeight w:val="255"/>
        </w:trPr>
        <w:tc>
          <w:tcPr>
            <w:tcW w:w="4360" w:type="dxa"/>
            <w:vAlign w:val="bottom"/>
          </w:tcPr>
          <w:p>
            <w:pPr>
              <w:ind w:left="260"/>
              <w:spacing w:after="0"/>
              <w:rPr>
                <w:sz w:val="20"/>
                <w:szCs w:val="20"/>
                <w:color w:val="auto"/>
              </w:rPr>
            </w:pPr>
            <w:r>
              <w:rPr>
                <w:rFonts w:ascii="Arial" w:cs="Arial" w:eastAsia="Arial" w:hAnsi="Arial"/>
                <w:sz w:val="16"/>
                <w:szCs w:val="16"/>
                <w:color w:val="auto"/>
              </w:rPr>
              <w:t>Change in contingent consideration</w:t>
            </w:r>
          </w:p>
        </w:tc>
        <w:tc>
          <w:tcPr>
            <w:tcW w:w="2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257"/>
        </w:trPr>
        <w:tc>
          <w:tcPr>
            <w:tcW w:w="43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Impairment charges</w:t>
            </w:r>
          </w:p>
        </w:tc>
        <w:tc>
          <w:tcPr>
            <w:tcW w:w="220" w:type="dxa"/>
            <w:vAlign w:val="bottom"/>
            <w:shd w:val="clear" w:color="auto" w:fill="EAEAEA"/>
          </w:tcPr>
          <w:p>
            <w:pPr>
              <w:spacing w:after="0"/>
              <w:rPr>
                <w:sz w:val="22"/>
                <w:szCs w:val="22"/>
                <w:color w:val="auto"/>
              </w:rPr>
            </w:pPr>
          </w:p>
        </w:tc>
        <w:tc>
          <w:tcPr>
            <w:tcW w:w="9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100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237,050</w:t>
            </w:r>
          </w:p>
        </w:tc>
        <w:tc>
          <w:tcPr>
            <w:tcW w:w="140" w:type="dxa"/>
            <w:vAlign w:val="bottom"/>
            <w:tcBorders>
              <w:bottom w:val="single" w:sz="8" w:color="EAEAEA"/>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200,546</w:t>
            </w:r>
          </w:p>
        </w:tc>
        <w:tc>
          <w:tcPr>
            <w:tcW w:w="140" w:type="dxa"/>
            <w:vAlign w:val="bottom"/>
            <w:tcBorders>
              <w:bottom w:val="single" w:sz="8" w:color="EAEAEA"/>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886,580</w:t>
            </w:r>
          </w:p>
        </w:tc>
        <w:tc>
          <w:tcPr>
            <w:tcW w:w="140" w:type="dxa"/>
            <w:vAlign w:val="bottom"/>
            <w:tcBorders>
              <w:bottom w:val="single" w:sz="8" w:color="EAEAEA"/>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742,846</w:t>
            </w:r>
          </w:p>
        </w:tc>
        <w:tc>
          <w:tcPr>
            <w:tcW w:w="0" w:type="dxa"/>
            <w:vAlign w:val="bottom"/>
          </w:tcPr>
          <w:p>
            <w:pPr>
              <w:spacing w:after="0"/>
              <w:rPr>
                <w:sz w:val="1"/>
                <w:szCs w:val="1"/>
                <w:color w:val="auto"/>
              </w:rPr>
            </w:pPr>
          </w:p>
        </w:tc>
      </w:tr>
      <w:tr>
        <w:trPr>
          <w:trHeight w:val="238"/>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Income from operations</w:t>
            </w:r>
          </w:p>
        </w:tc>
        <w:tc>
          <w:tcPr>
            <w:tcW w:w="220" w:type="dxa"/>
            <w:vAlign w:val="bottom"/>
            <w:shd w:val="clear" w:color="auto" w:fill="EAEAEA"/>
          </w:tcPr>
          <w:p>
            <w:pPr>
              <w:spacing w:after="0"/>
              <w:rPr>
                <w:sz w:val="20"/>
                <w:szCs w:val="20"/>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16,638</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26,727</w:t>
            </w: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73,990</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73,738</w:t>
            </w:r>
          </w:p>
        </w:tc>
        <w:tc>
          <w:tcPr>
            <w:tcW w:w="0" w:type="dxa"/>
            <w:vAlign w:val="bottom"/>
          </w:tcPr>
          <w:p>
            <w:pPr>
              <w:spacing w:after="0"/>
              <w:rPr>
                <w:sz w:val="1"/>
                <w:szCs w:val="1"/>
                <w:color w:val="auto"/>
              </w:rPr>
            </w:pPr>
          </w:p>
        </w:tc>
      </w:tr>
      <w:tr>
        <w:trPr>
          <w:trHeight w:val="255"/>
        </w:trPr>
        <w:tc>
          <w:tcPr>
            <w:tcW w:w="43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8,313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21,810</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6,654</w:t>
            </w:r>
          </w:p>
        </w:tc>
        <w:tc>
          <w:tcPr>
            <w:tcW w:w="0" w:type="dxa"/>
            <w:vAlign w:val="bottom"/>
          </w:tcPr>
          <w:p>
            <w:pPr>
              <w:spacing w:after="0"/>
              <w:rPr>
                <w:sz w:val="1"/>
                <w:szCs w:val="1"/>
                <w:color w:val="auto"/>
              </w:rPr>
            </w:pPr>
          </w:p>
        </w:tc>
      </w:tr>
      <w:tr>
        <w:trPr>
          <w:trHeight w:val="258"/>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EAEAEA"/>
          </w:tcPr>
          <w:p>
            <w:pPr>
              <w:spacing w:after="0"/>
              <w:rPr>
                <w:sz w:val="22"/>
                <w:szCs w:val="22"/>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(1,431)</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(3,795)</w:t>
            </w:r>
          </w:p>
        </w:tc>
        <w:tc>
          <w:tcPr>
            <w:tcW w:w="140" w:type="dxa"/>
            <w:vAlign w:val="bottom"/>
            <w:shd w:val="clear" w:color="auto" w:fill="EAEAEA"/>
          </w:tcPr>
          <w:p>
            <w:pPr>
              <w:spacing w:after="0"/>
              <w:rPr>
                <w:sz w:val="22"/>
                <w:szCs w:val="22"/>
                <w:color w:val="auto"/>
              </w:rPr>
            </w:pPr>
          </w:p>
        </w:tc>
        <w:tc>
          <w:tcPr>
            <w:tcW w:w="3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55"/>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4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38"/>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EAEAEA"/>
          </w:tcPr>
          <w:p>
            <w:pPr>
              <w:spacing w:after="0"/>
              <w:rPr>
                <w:sz w:val="20"/>
                <w:szCs w:val="20"/>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23,117</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28,633</w:t>
            </w: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92,124</w:t>
            </w:r>
          </w:p>
        </w:tc>
        <w:tc>
          <w:tcPr>
            <w:tcW w:w="140" w:type="dxa"/>
            <w:vAlign w:val="bottom"/>
            <w:shd w:val="clear" w:color="auto" w:fill="EAEAEA"/>
          </w:tcPr>
          <w:p>
            <w:pPr>
              <w:spacing w:after="0"/>
              <w:rPr>
                <w:sz w:val="20"/>
                <w:szCs w:val="20"/>
                <w:color w:val="auto"/>
              </w:rPr>
            </w:pPr>
          </w:p>
        </w:tc>
        <w:tc>
          <w:tcPr>
            <w:tcW w:w="320" w:type="dxa"/>
            <w:vAlign w:val="bottom"/>
            <w:shd w:val="clear" w:color="auto" w:fill="EAEAEA"/>
          </w:tcPr>
          <w:p>
            <w:pPr>
              <w:spacing w:after="0"/>
              <w:rPr>
                <w:sz w:val="20"/>
                <w:szCs w:val="20"/>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81,053</w:t>
            </w:r>
          </w:p>
        </w:tc>
        <w:tc>
          <w:tcPr>
            <w:tcW w:w="0" w:type="dxa"/>
            <w:vAlign w:val="bottom"/>
          </w:tcPr>
          <w:p>
            <w:pPr>
              <w:spacing w:after="0"/>
              <w:rPr>
                <w:sz w:val="1"/>
                <w:szCs w:val="1"/>
                <w:color w:val="auto"/>
              </w:rPr>
            </w:pPr>
          </w:p>
        </w:tc>
      </w:tr>
      <w:tr>
        <w:trPr>
          <w:trHeight w:val="255"/>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8,468</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w:t>
            </w:r>
          </w:p>
        </w:tc>
        <w:tc>
          <w:tcPr>
            <w:tcW w:w="14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21,467</w:t>
            </w:r>
          </w:p>
        </w:tc>
        <w:tc>
          <w:tcPr>
            <w:tcW w:w="140" w:type="dxa"/>
            <w:vAlign w:val="bottom"/>
            <w:tcBorders>
              <w:bottom w:val="single" w:sz="8" w:color="EAEAEA"/>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4,947</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14,649</w:t>
            </w:r>
          </w:p>
        </w:tc>
        <w:tc>
          <w:tcPr>
            <w:tcW w:w="14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30,993</w:t>
            </w: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70,657</w:t>
            </w:r>
          </w:p>
        </w:tc>
        <w:tc>
          <w:tcPr>
            <w:tcW w:w="14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76,106</w:t>
            </w:r>
          </w:p>
        </w:tc>
        <w:tc>
          <w:tcPr>
            <w:tcW w:w="0" w:type="dxa"/>
            <w:vAlign w:val="bottom"/>
          </w:tcPr>
          <w:p>
            <w:pPr>
              <w:spacing w:after="0"/>
              <w:rPr>
                <w:sz w:val="1"/>
                <w:szCs w:val="1"/>
                <w:color w:val="auto"/>
              </w:rPr>
            </w:pPr>
          </w:p>
        </w:tc>
      </w:tr>
      <w:tr>
        <w:trPr>
          <w:trHeight w:val="20"/>
        </w:trPr>
        <w:tc>
          <w:tcPr>
            <w:tcW w:w="436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6"/>
                <w:szCs w:val="16"/>
                <w:color w:val="auto"/>
              </w:rPr>
              <w:t>Net income per common share:</w:t>
            </w: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82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86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72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0.70</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Borders>
              <w:bottom w:val="single" w:sz="8" w:color="EAEAEA"/>
            </w:tcBorders>
            <w:shd w:val="clear" w:color="auto" w:fill="EAEAEA"/>
          </w:tcPr>
          <w:p>
            <w:pPr>
              <w:spacing w:after="0"/>
              <w:rPr>
                <w:sz w:val="21"/>
                <w:szCs w:val="21"/>
                <w:color w:val="auto"/>
              </w:rPr>
            </w:pPr>
          </w:p>
        </w:tc>
        <w:tc>
          <w:tcPr>
            <w:tcW w:w="320" w:type="dxa"/>
            <w:vAlign w:val="bottom"/>
            <w:tcBorders>
              <w:bottom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82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86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72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tcPr>
          <w:p>
            <w:pPr>
              <w:ind w:left="2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0.69</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
        </w:trPr>
        <w:tc>
          <w:tcPr>
            <w:tcW w:w="4360" w:type="dxa"/>
            <w:vAlign w:val="bottom"/>
            <w:tcBorders>
              <w:bottom w:val="single" w:sz="8" w:color="EAEAEA"/>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EAEAEA"/>
          </w:tcPr>
          <w:p>
            <w:pPr>
              <w:spacing w:after="0"/>
              <w:rPr>
                <w:sz w:val="19"/>
                <w:szCs w:val="19"/>
                <w:color w:val="auto"/>
              </w:rPr>
            </w:pPr>
          </w:p>
        </w:tc>
        <w:tc>
          <w:tcPr>
            <w:tcW w:w="82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80" w:type="dxa"/>
            <w:vAlign w:val="bottom"/>
            <w:shd w:val="clear" w:color="auto" w:fill="EAEAEA"/>
          </w:tcPr>
          <w:p>
            <w:pPr>
              <w:spacing w:after="0"/>
              <w:rPr>
                <w:sz w:val="19"/>
                <w:szCs w:val="19"/>
                <w:color w:val="auto"/>
              </w:rPr>
            </w:pPr>
          </w:p>
        </w:tc>
        <w:tc>
          <w:tcPr>
            <w:tcW w:w="86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320" w:type="dxa"/>
            <w:vAlign w:val="bottom"/>
            <w:shd w:val="clear" w:color="auto" w:fill="EAEAEA"/>
          </w:tcPr>
          <w:p>
            <w:pPr>
              <w:spacing w:after="0"/>
              <w:rPr>
                <w:sz w:val="19"/>
                <w:szCs w:val="19"/>
                <w:color w:val="auto"/>
              </w:rPr>
            </w:pPr>
          </w:p>
        </w:tc>
        <w:tc>
          <w:tcPr>
            <w:tcW w:w="72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43,047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44,066</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43,976</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EAEAEA"/>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6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EAEAEA"/>
          </w:tcPr>
          <w:p>
            <w:pPr>
              <w:spacing w:after="0"/>
              <w:rPr>
                <w:sz w:val="20"/>
                <w:szCs w:val="20"/>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43,263</w:t>
            </w:r>
          </w:p>
        </w:tc>
        <w:tc>
          <w:tcPr>
            <w:tcW w:w="14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spacing w:after="0"/>
              <w:rPr>
                <w:sz w:val="20"/>
                <w:szCs w:val="20"/>
                <w:color w:val="auto"/>
              </w:rPr>
            </w:pP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45,158</w:t>
            </w: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auto"/>
            </w:tcBorders>
            <w:shd w:val="clear" w:color="auto" w:fill="EAEAEA"/>
          </w:tcPr>
          <w:p>
            <w:pPr>
              <w:spacing w:after="0"/>
              <w:rPr>
                <w:sz w:val="20"/>
                <w:szCs w:val="20"/>
                <w:color w:val="auto"/>
              </w:rPr>
            </w:pP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44,654</w:t>
            </w:r>
          </w:p>
        </w:tc>
        <w:tc>
          <w:tcPr>
            <w:tcW w:w="14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spacing w:after="0"/>
              <w:rPr>
                <w:sz w:val="20"/>
                <w:szCs w:val="20"/>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45,187</w:t>
            </w:r>
          </w:p>
        </w:tc>
        <w:tc>
          <w:tcPr>
            <w:tcW w:w="0" w:type="dxa"/>
            <w:vAlign w:val="bottom"/>
          </w:tcPr>
          <w:p>
            <w:pPr>
              <w:spacing w:after="0"/>
              <w:rPr>
                <w:sz w:val="1"/>
                <w:szCs w:val="1"/>
                <w:color w:val="auto"/>
              </w:rPr>
            </w:pP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82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86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72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890"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890" w:right="1440"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Trade accounts receivable, net</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Assets held for sale</w:t>
      </w:r>
    </w:p>
    <w:p>
      <w:pPr>
        <w:spacing w:after="0" w:line="86" w:lineRule="exact"/>
        <w:rPr>
          <w:sz w:val="20"/>
          <w:szCs w:val="20"/>
          <w:color w:val="auto"/>
        </w:rPr>
      </w:pPr>
    </w:p>
    <w:p>
      <w:pPr>
        <w:ind w:left="20" w:right="740" w:firstLine="121"/>
        <w:spacing w:after="0" w:line="392" w:lineRule="auto"/>
        <w:rPr>
          <w:sz w:val="20"/>
          <w:szCs w:val="20"/>
          <w:color w:val="auto"/>
        </w:rPr>
      </w:pPr>
      <w:r>
        <w:rPr>
          <w:rFonts w:ascii="Arial" w:cs="Arial" w:eastAsia="Arial" w:hAnsi="Arial"/>
          <w:sz w:val="16"/>
          <w:szCs w:val="16"/>
          <w:color w:val="auto"/>
        </w:rPr>
        <w:t>Other current assets Total current assets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assets,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assets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commissions cost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8"/>
          <w:szCs w:val="18"/>
          <w:b w:val="1"/>
          <w:bCs w:val="1"/>
          <w:color w:val="auto"/>
        </w:rPr>
        <w:t>Commvault Systems, Inc.</w:t>
      </w:r>
    </w:p>
    <w:p>
      <w:pPr>
        <w:spacing w:after="0" w:line="252"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1460" w:type="dxa"/>
        <w:tblCellMar>
          <w:top w:w="0" w:type="dxa"/>
          <w:left w:w="0" w:type="dxa"/>
          <w:bottom w:w="0" w:type="dxa"/>
          <w:right w:w="0" w:type="dxa"/>
        </w:tblCellMar>
      </w:tblPr>
      <w:tr>
        <w:trPr>
          <w:trHeight w:val="217"/>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9"/>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2"/>
        </w:trPr>
        <w:tc>
          <w:tcPr>
            <w:tcW w:w="1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3"/>
        </w:trPr>
        <w:tc>
          <w:tcPr>
            <w:tcW w:w="2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899,987</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302,103</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330,483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251,995</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34,770</w:t>
            </w:r>
          </w:p>
        </w:tc>
        <w:tc>
          <w:tcPr>
            <w:tcW w:w="0" w:type="dxa"/>
            <w:vAlign w:val="bottom"/>
          </w:tcPr>
          <w:p>
            <w:pPr>
              <w:spacing w:after="0"/>
              <w:rPr>
                <w:sz w:val="1"/>
                <w:szCs w:val="1"/>
                <w:color w:val="auto"/>
              </w:rPr>
            </w:pPr>
          </w:p>
        </w:tc>
      </w:tr>
      <w:tr>
        <w:trPr>
          <w:trHeight w:val="271"/>
        </w:trPr>
        <w:tc>
          <w:tcPr>
            <w:tcW w:w="19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56,040</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46,189</w:t>
            </w:r>
          </w:p>
        </w:tc>
        <w:tc>
          <w:tcPr>
            <w:tcW w:w="0" w:type="dxa"/>
            <w:vAlign w:val="bottom"/>
          </w:tcPr>
          <w:p>
            <w:pPr>
              <w:spacing w:after="0"/>
              <w:rPr>
                <w:sz w:val="1"/>
                <w:szCs w:val="1"/>
                <w:color w:val="auto"/>
              </w:rPr>
            </w:pPr>
          </w:p>
        </w:tc>
      </w:tr>
      <w:tr>
        <w:trPr>
          <w:trHeight w:val="249"/>
        </w:trPr>
        <w:tc>
          <w:tcPr>
            <w:tcW w:w="1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1,286,510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635,057</w:t>
            </w:r>
          </w:p>
        </w:tc>
        <w:tc>
          <w:tcPr>
            <w:tcW w:w="0" w:type="dxa"/>
            <w:vAlign w:val="bottom"/>
          </w:tcPr>
          <w:p>
            <w:pPr>
              <w:spacing w:after="0"/>
              <w:rPr>
                <w:sz w:val="1"/>
                <w:szCs w:val="1"/>
                <w:color w:val="auto"/>
              </w:rPr>
            </w:pPr>
          </w:p>
        </w:tc>
      </w:tr>
      <w:tr>
        <w:trPr>
          <w:trHeight w:val="540"/>
        </w:trPr>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153,766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133,378</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34,920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10,124</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103,892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19,715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20,737</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209,322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185,255</w:t>
            </w:r>
          </w:p>
        </w:tc>
        <w:tc>
          <w:tcPr>
            <w:tcW w:w="0" w:type="dxa"/>
            <w:vAlign w:val="bottom"/>
          </w:tcPr>
          <w:p>
            <w:pPr>
              <w:spacing w:after="0"/>
              <w:rPr>
                <w:sz w:val="1"/>
                <w:szCs w:val="1"/>
                <w:color w:val="auto"/>
              </w:rPr>
            </w:pPr>
          </w:p>
        </w:tc>
      </w:tr>
      <w:tr>
        <w:trPr>
          <w:trHeight w:val="271"/>
        </w:trPr>
        <w:tc>
          <w:tcPr>
            <w:tcW w:w="19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68,430</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46,112</w:t>
            </w:r>
          </w:p>
        </w:tc>
        <w:tc>
          <w:tcPr>
            <w:tcW w:w="0" w:type="dxa"/>
            <w:vAlign w:val="bottom"/>
          </w:tcPr>
          <w:p>
            <w:pPr>
              <w:spacing w:after="0"/>
              <w:rPr>
                <w:sz w:val="1"/>
                <w:szCs w:val="1"/>
                <w:color w:val="auto"/>
              </w:rPr>
            </w:pPr>
          </w:p>
        </w:tc>
      </w:tr>
      <w:tr>
        <w:trPr>
          <w:trHeight w:val="223"/>
        </w:trPr>
        <w:tc>
          <w:tcPr>
            <w:tcW w:w="2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1,886,305</w:t>
            </w:r>
          </w:p>
        </w:tc>
        <w:tc>
          <w:tcPr>
            <w:tcW w:w="1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1,118,266</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-2750820</wp:posOffset>
            </wp:positionV>
            <wp:extent cx="580326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03265" cy="163195"/>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-2416810</wp:posOffset>
            </wp:positionV>
            <wp:extent cx="580326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-2073910</wp:posOffset>
            </wp:positionV>
            <wp:extent cx="580326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-1731010</wp:posOffset>
            </wp:positionV>
            <wp:extent cx="580326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-1388110</wp:posOffset>
            </wp:positionV>
            <wp:extent cx="580326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-1045210</wp:posOffset>
            </wp:positionV>
            <wp:extent cx="580326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-702310</wp:posOffset>
            </wp:positionV>
            <wp:extent cx="580326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-359410</wp:posOffset>
            </wp:positionV>
            <wp:extent cx="580326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-16510</wp:posOffset>
            </wp:positionV>
            <wp:extent cx="580326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0326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440"/>
            <w:col w:w="6360"/>
          </w:cols>
          <w:pgMar w:left="1380" w:top="890" w:right="137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LIABILITIES AND STOCKHOLDERS’ EQUITY</w:t>
      </w:r>
    </w:p>
    <w:p>
      <w:pPr>
        <w:sectPr>
          <w:pgSz w:w="11900" w:h="16838" w:orient="portrait"/>
          <w:cols w:equalWidth="0" w:num="1">
            <w:col w:w="9140"/>
          </w:cols>
          <w:pgMar w:left="1380" w:top="890" w:right="1379" w:bottom="1440" w:gutter="0" w:footer="0" w:header="0"/>
          <w:type w:val="continuous"/>
        </w:sectPr>
      </w:pP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580326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03265" cy="171450"/>
                    </a:xfrm>
                    <a:prstGeom prst="rect">
                      <a:avLst/>
                    </a:prstGeom>
                    <a:noFill/>
                  </pic:spPr>
                </pic:pic>
              </a:graphicData>
            </a:graphic>
          </wp:anchor>
        </w:drawing>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580326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3265" cy="171450"/>
                    </a:xfrm>
                    <a:prstGeom prst="rect">
                      <a:avLst/>
                    </a:prstGeom>
                    <a:noFill/>
                  </pic:spPr>
                </pic:pic>
              </a:graphicData>
            </a:graphic>
          </wp:anchor>
        </w:drawing>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Current portion of operating lease liabilities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580326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03265"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165,583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147,133</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6,963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4,614</w:t>
            </w:r>
          </w:p>
        </w:tc>
      </w:tr>
      <w:tr>
        <w:trPr>
          <w:trHeight w:val="271"/>
        </w:trPr>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484,973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402,930</w:t>
            </w:r>
          </w:p>
        </w:tc>
      </w:tr>
      <w:tr>
        <w:trPr>
          <w:trHeight w:val="249"/>
        </w:trPr>
        <w:tc>
          <w:tcPr>
            <w:tcW w:w="4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658,170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555,050</w:t>
            </w:r>
          </w:p>
        </w:tc>
      </w:tr>
    </w:tbl>
    <w:p>
      <w:pPr>
        <w:spacing w:after="0" w:line="20" w:lineRule="exact"/>
        <w:rPr>
          <w:sz w:val="20"/>
          <w:szCs w:val="20"/>
          <w:color w:val="auto"/>
        </w:rPr>
      </w:pPr>
    </w:p>
    <w:p>
      <w:pPr>
        <w:sectPr>
          <w:pgSz w:w="11900" w:h="16838" w:orient="portrait"/>
          <w:cols w:equalWidth="0" w:num="2">
            <w:col w:w="5500" w:space="720"/>
            <w:col w:w="2920"/>
          </w:cols>
          <w:pgMar w:left="1380" w:top="890" w:right="137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6220" w:type="dxa"/>
            <w:vAlign w:val="bottom"/>
            <w:shd w:val="clear" w:color="auto" w:fill="EAEAEA"/>
          </w:tcPr>
          <w:p>
            <w:pPr>
              <w:spacing w:after="0"/>
              <w:rPr>
                <w:sz w:val="21"/>
                <w:szCs w:val="21"/>
                <w:color w:val="auto"/>
              </w:rPr>
            </w:pPr>
          </w:p>
        </w:tc>
        <w:tc>
          <w:tcPr>
            <w:tcW w:w="340" w:type="dxa"/>
            <w:vAlign w:val="bottom"/>
            <w:shd w:val="clear" w:color="auto" w:fill="EAEAEA"/>
          </w:tcPr>
          <w:p>
            <w:pPr>
              <w:spacing w:after="0"/>
              <w:rPr>
                <w:sz w:val="21"/>
                <w:szCs w:val="21"/>
                <w:color w:val="auto"/>
              </w:rPr>
            </w:pPr>
          </w:p>
        </w:tc>
        <w:tc>
          <w:tcPr>
            <w:tcW w:w="106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360" w:type="dxa"/>
            <w:vAlign w:val="bottom"/>
            <w:shd w:val="clear" w:color="auto" w:fill="EAEAEA"/>
          </w:tcPr>
          <w:p>
            <w:pPr>
              <w:spacing w:after="0"/>
              <w:rPr>
                <w:sz w:val="21"/>
                <w:szCs w:val="21"/>
                <w:color w:val="auto"/>
              </w:rPr>
            </w:pPr>
          </w:p>
        </w:tc>
        <w:tc>
          <w:tcPr>
            <w:tcW w:w="104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Convertible notes, net</w:t>
            </w:r>
          </w:p>
        </w:tc>
        <w:tc>
          <w:tcPr>
            <w:tcW w:w="34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880,863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62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Deferred revenue, less current portion</w:t>
            </w:r>
          </w:p>
        </w:tc>
        <w:tc>
          <w:tcPr>
            <w:tcW w:w="340" w:type="dxa"/>
            <w:vAlign w:val="bottom"/>
            <w:tcBorders>
              <w:bottom w:val="single" w:sz="8" w:color="EAEAEA"/>
            </w:tcBorders>
            <w:shd w:val="clear" w:color="auto" w:fill="EAEAEA"/>
          </w:tcPr>
          <w:p>
            <w:pPr>
              <w:spacing w:after="0"/>
              <w:rPr>
                <w:sz w:val="21"/>
                <w:szCs w:val="21"/>
                <w:color w:val="auto"/>
              </w:rPr>
            </w:pPr>
          </w:p>
        </w:tc>
        <w:tc>
          <w:tcPr>
            <w:tcW w:w="106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293,725</w:t>
            </w:r>
          </w:p>
        </w:tc>
        <w:tc>
          <w:tcPr>
            <w:tcW w:w="120" w:type="dxa"/>
            <w:vAlign w:val="bottom"/>
            <w:tcBorders>
              <w:bottom w:val="single" w:sz="8" w:color="EAEAEA"/>
            </w:tcBorders>
            <w:shd w:val="clear" w:color="auto" w:fill="EAEAEA"/>
          </w:tcPr>
          <w:p>
            <w:pPr>
              <w:spacing w:after="0"/>
              <w:rPr>
                <w:sz w:val="21"/>
                <w:szCs w:val="21"/>
                <w:color w:val="auto"/>
              </w:rPr>
            </w:pPr>
          </w:p>
        </w:tc>
        <w:tc>
          <w:tcPr>
            <w:tcW w:w="360" w:type="dxa"/>
            <w:vAlign w:val="bottom"/>
            <w:tcBorders>
              <w:bottom w:val="single" w:sz="8" w:color="EAEAEA"/>
            </w:tcBorders>
            <w:shd w:val="clear" w:color="auto" w:fill="EAEAEA"/>
          </w:tcPr>
          <w:p>
            <w:pPr>
              <w:spacing w:after="0"/>
              <w:rPr>
                <w:sz w:val="21"/>
                <w:szCs w:val="21"/>
                <w:color w:val="auto"/>
              </w:rPr>
            </w:pPr>
          </w:p>
        </w:tc>
        <w:tc>
          <w:tcPr>
            <w:tcW w:w="104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223,282</w:t>
            </w:r>
          </w:p>
        </w:tc>
        <w:tc>
          <w:tcPr>
            <w:tcW w:w="0" w:type="dxa"/>
            <w:vAlign w:val="bottom"/>
          </w:tcPr>
          <w:p>
            <w:pPr>
              <w:spacing w:after="0"/>
              <w:rPr>
                <w:sz w:val="1"/>
                <w:szCs w:val="1"/>
                <w:color w:val="auto"/>
              </w:rPr>
            </w:pP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1,565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54"/>
        </w:trPr>
        <w:tc>
          <w:tcPr>
            <w:tcW w:w="6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62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Long-term operating lease liabilities</w:t>
            </w:r>
          </w:p>
        </w:tc>
        <w:tc>
          <w:tcPr>
            <w:tcW w:w="340" w:type="dxa"/>
            <w:vAlign w:val="bottom"/>
            <w:tcBorders>
              <w:bottom w:val="single" w:sz="8" w:color="EAEAEA"/>
            </w:tcBorders>
            <w:shd w:val="clear" w:color="auto" w:fill="EAEAEA"/>
          </w:tcPr>
          <w:p>
            <w:pPr>
              <w:spacing w:after="0"/>
              <w:rPr>
                <w:sz w:val="21"/>
                <w:szCs w:val="21"/>
                <w:color w:val="auto"/>
              </w:rPr>
            </w:pPr>
          </w:p>
        </w:tc>
        <w:tc>
          <w:tcPr>
            <w:tcW w:w="106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29,675</w:t>
            </w:r>
          </w:p>
        </w:tc>
        <w:tc>
          <w:tcPr>
            <w:tcW w:w="120" w:type="dxa"/>
            <w:vAlign w:val="bottom"/>
            <w:tcBorders>
              <w:bottom w:val="single" w:sz="8" w:color="EAEAEA"/>
            </w:tcBorders>
            <w:shd w:val="clear" w:color="auto" w:fill="EAEAEA"/>
          </w:tcPr>
          <w:p>
            <w:pPr>
              <w:spacing w:after="0"/>
              <w:rPr>
                <w:sz w:val="21"/>
                <w:szCs w:val="21"/>
                <w:color w:val="auto"/>
              </w:rPr>
            </w:pPr>
          </w:p>
        </w:tc>
        <w:tc>
          <w:tcPr>
            <w:tcW w:w="360" w:type="dxa"/>
            <w:vAlign w:val="bottom"/>
            <w:tcBorders>
              <w:bottom w:val="single" w:sz="8" w:color="EAEAEA"/>
            </w:tcBorders>
            <w:shd w:val="clear" w:color="auto" w:fill="EAEAEA"/>
          </w:tcPr>
          <w:p>
            <w:pPr>
              <w:spacing w:after="0"/>
              <w:rPr>
                <w:sz w:val="21"/>
                <w:szCs w:val="21"/>
                <w:color w:val="auto"/>
              </w:rPr>
            </w:pPr>
          </w:p>
        </w:tc>
        <w:tc>
          <w:tcPr>
            <w:tcW w:w="104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6,338</w:t>
            </w:r>
          </w:p>
        </w:tc>
        <w:tc>
          <w:tcPr>
            <w:tcW w:w="0" w:type="dxa"/>
            <w:vAlign w:val="bottom"/>
          </w:tcPr>
          <w:p>
            <w:pPr>
              <w:spacing w:after="0"/>
              <w:rPr>
                <w:sz w:val="1"/>
                <w:szCs w:val="1"/>
                <w:color w:val="auto"/>
              </w:rPr>
            </w:pP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14,813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7,090</w:t>
            </w:r>
          </w:p>
        </w:tc>
        <w:tc>
          <w:tcPr>
            <w:tcW w:w="0" w:type="dxa"/>
            <w:vAlign w:val="bottom"/>
          </w:tcPr>
          <w:p>
            <w:pPr>
              <w:spacing w:after="0"/>
              <w:rPr>
                <w:sz w:val="1"/>
                <w:szCs w:val="1"/>
                <w:color w:val="auto"/>
              </w:rPr>
            </w:pPr>
          </w:p>
        </w:tc>
      </w:tr>
      <w:tr>
        <w:trPr>
          <w:trHeight w:val="54"/>
        </w:trPr>
        <w:tc>
          <w:tcPr>
            <w:tcW w:w="6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6220" w:type="dxa"/>
            <w:vAlign w:val="bottom"/>
            <w:shd w:val="clear" w:color="auto" w:fill="EAEAEA"/>
          </w:tcPr>
          <w:p>
            <w:pPr>
              <w:spacing w:after="0"/>
              <w:rPr>
                <w:sz w:val="23"/>
                <w:szCs w:val="23"/>
                <w:color w:val="auto"/>
              </w:rPr>
            </w:pPr>
          </w:p>
        </w:tc>
        <w:tc>
          <w:tcPr>
            <w:tcW w:w="340" w:type="dxa"/>
            <w:vAlign w:val="bottom"/>
            <w:shd w:val="clear" w:color="auto" w:fill="EAEAEA"/>
          </w:tcPr>
          <w:p>
            <w:pPr>
              <w:spacing w:after="0"/>
              <w:rPr>
                <w:sz w:val="23"/>
                <w:szCs w:val="23"/>
                <w:color w:val="auto"/>
              </w:rPr>
            </w:pPr>
          </w:p>
        </w:tc>
        <w:tc>
          <w:tcPr>
            <w:tcW w:w="1060" w:type="dxa"/>
            <w:vAlign w:val="bottom"/>
            <w:shd w:val="clear" w:color="auto" w:fill="EAEAEA"/>
          </w:tcPr>
          <w:p>
            <w:pPr>
              <w:spacing w:after="0"/>
              <w:rPr>
                <w:sz w:val="23"/>
                <w:szCs w:val="23"/>
                <w:color w:val="auto"/>
              </w:rPr>
            </w:pPr>
          </w:p>
        </w:tc>
        <w:tc>
          <w:tcPr>
            <w:tcW w:w="120" w:type="dxa"/>
            <w:vAlign w:val="bottom"/>
            <w:shd w:val="clear" w:color="auto" w:fill="EAEAEA"/>
          </w:tcPr>
          <w:p>
            <w:pPr>
              <w:spacing w:after="0"/>
              <w:rPr>
                <w:sz w:val="23"/>
                <w:szCs w:val="23"/>
                <w:color w:val="auto"/>
              </w:rPr>
            </w:pPr>
          </w:p>
        </w:tc>
        <w:tc>
          <w:tcPr>
            <w:tcW w:w="360" w:type="dxa"/>
            <w:vAlign w:val="bottom"/>
            <w:shd w:val="clear" w:color="auto" w:fill="EAEAEA"/>
          </w:tcPr>
          <w:p>
            <w:pPr>
              <w:spacing w:after="0"/>
              <w:rPr>
                <w:sz w:val="23"/>
                <w:szCs w:val="23"/>
                <w:color w:val="auto"/>
              </w:rPr>
            </w:pPr>
          </w:p>
        </w:tc>
        <w:tc>
          <w:tcPr>
            <w:tcW w:w="1040" w:type="dxa"/>
            <w:vAlign w:val="bottom"/>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34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7,494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325,122</w:t>
            </w:r>
          </w:p>
        </w:tc>
        <w:tc>
          <w:tcPr>
            <w:tcW w:w="0" w:type="dxa"/>
            <w:vAlign w:val="bottom"/>
          </w:tcPr>
          <w:p>
            <w:pPr>
              <w:spacing w:after="0"/>
              <w:rPr>
                <w:sz w:val="1"/>
                <w:szCs w:val="1"/>
                <w:color w:val="auto"/>
              </w:rPr>
            </w:pPr>
          </w:p>
        </w:tc>
      </w:tr>
      <w:tr>
        <w:trPr>
          <w:trHeight w:val="54"/>
        </w:trPr>
        <w:tc>
          <w:tcPr>
            <w:tcW w:w="6220" w:type="dxa"/>
            <w:vAlign w:val="bottom"/>
            <w:tcBorders>
              <w:bottom w:val="single" w:sz="8" w:color="EAEAEA"/>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EAEAEA"/>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62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EAEAEA"/>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1,886,305</w:t>
            </w:r>
          </w:p>
        </w:tc>
        <w:tc>
          <w:tcPr>
            <w:tcW w:w="120" w:type="dxa"/>
            <w:vAlign w:val="bottom"/>
            <w:tcBorders>
              <w:bottom w:val="single" w:sz="8" w:color="EAEAEA"/>
            </w:tcBorders>
            <w:shd w:val="clear" w:color="auto" w:fill="EAEAEA"/>
          </w:tcPr>
          <w:p>
            <w:pPr>
              <w:spacing w:after="0"/>
              <w:rPr>
                <w:sz w:val="21"/>
                <w:szCs w:val="21"/>
                <w:color w:val="auto"/>
              </w:rPr>
            </w:pPr>
          </w:p>
        </w:tc>
        <w:tc>
          <w:tcPr>
            <w:tcW w:w="360" w:type="dxa"/>
            <w:vAlign w:val="bottom"/>
            <w:tcBorders>
              <w:bottom w:val="single" w:sz="8" w:color="auto"/>
            </w:tcBorders>
            <w:shd w:val="clear" w:color="auto" w:fill="EAEAEA"/>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1,118,266</w:t>
            </w:r>
          </w:p>
        </w:tc>
        <w:tc>
          <w:tcPr>
            <w:tcW w:w="0" w:type="dxa"/>
            <w:vAlign w:val="bottom"/>
          </w:tcPr>
          <w:p>
            <w:pPr>
              <w:spacing w:after="0"/>
              <w:rPr>
                <w:sz w:val="1"/>
                <w:szCs w:val="1"/>
                <w:color w:val="auto"/>
              </w:rPr>
            </w:pPr>
          </w:p>
        </w:tc>
      </w:tr>
      <w:tr>
        <w:trPr>
          <w:trHeight w:val="20"/>
        </w:trPr>
        <w:tc>
          <w:tcPr>
            <w:tcW w:w="6220" w:type="dxa"/>
            <w:vAlign w:val="bottom"/>
            <w:tcBorders>
              <w:top w:val="single" w:sz="8" w:color="EAEAEA"/>
            </w:tcBorders>
          </w:tcPr>
          <w:p>
            <w:pPr>
              <w:spacing w:after="0" w:line="20" w:lineRule="exact"/>
              <w:rPr>
                <w:sz w:val="1"/>
                <w:szCs w:val="1"/>
                <w:color w:val="auto"/>
              </w:rPr>
            </w:pPr>
          </w:p>
        </w:tc>
        <w:tc>
          <w:tcPr>
            <w:tcW w:w="340" w:type="dxa"/>
            <w:vAlign w:val="bottom"/>
            <w:tcBorders>
              <w:top w:val="single" w:sz="8" w:color="EAEAEA"/>
              <w:bottom w:val="single" w:sz="8" w:color="auto"/>
            </w:tcBorders>
          </w:tcPr>
          <w:p>
            <w:pPr>
              <w:spacing w:after="0" w:line="20" w:lineRule="exact"/>
              <w:rPr>
                <w:sz w:val="1"/>
                <w:szCs w:val="1"/>
                <w:color w:val="auto"/>
              </w:rPr>
            </w:pPr>
          </w:p>
        </w:tc>
        <w:tc>
          <w:tcPr>
            <w:tcW w:w="10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60" w:type="dxa"/>
            <w:vAlign w:val="bottom"/>
            <w:tcBorders>
              <w:top w:val="single" w:sz="8" w:color="EAEAEA"/>
              <w:bottom w:val="single" w:sz="8" w:color="auto"/>
            </w:tcBorders>
          </w:tcPr>
          <w:p>
            <w:pPr>
              <w:spacing w:after="0" w:line="20" w:lineRule="exact"/>
              <w:rPr>
                <w:sz w:val="1"/>
                <w:szCs w:val="1"/>
                <w:color w:val="auto"/>
              </w:rPr>
            </w:pPr>
          </w:p>
        </w:tc>
        <w:tc>
          <w:tcPr>
            <w:tcW w:w="104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380" w:top="890"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140"/>
          </w:cols>
          <w:pgMar w:left="1380" w:top="890" w:right="137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9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EAEAEA"/>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2025</w:t>
            </w:r>
          </w:p>
        </w:tc>
        <w:tc>
          <w:tcPr>
            <w:tcW w:w="120" w:type="dxa"/>
            <w:vAlign w:val="bottom"/>
            <w:tcBorders>
              <w:bottom w:val="single" w:sz="8" w:color="EAEAEA"/>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EAEAEA"/>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14,649</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30,993</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70,657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76,106</w:t>
            </w:r>
          </w:p>
        </w:tc>
        <w:tc>
          <w:tcPr>
            <w:tcW w:w="0" w:type="dxa"/>
            <w:vAlign w:val="bottom"/>
          </w:tcPr>
          <w:p>
            <w:pPr>
              <w:spacing w:after="0"/>
              <w:rPr>
                <w:sz w:val="1"/>
                <w:szCs w:val="1"/>
                <w:color w:val="auto"/>
              </w:rPr>
            </w:pPr>
          </w:p>
        </w:tc>
      </w:tr>
      <w:tr>
        <w:trPr>
          <w:trHeight w:val="163"/>
        </w:trPr>
        <w:tc>
          <w:tcPr>
            <w:tcW w:w="4780" w:type="dxa"/>
            <w:vAlign w:val="bottom"/>
            <w:shd w:val="clear" w:color="auto" w:fill="EAEAEA"/>
          </w:tcPr>
          <w:p>
            <w:pPr>
              <w:ind w:left="140"/>
              <w:spacing w:after="0" w:line="163" w:lineRule="exact"/>
              <w:rPr>
                <w:sz w:val="20"/>
                <w:szCs w:val="20"/>
                <w:color w:val="auto"/>
              </w:rPr>
            </w:pPr>
            <w:r>
              <w:rPr>
                <w:rFonts w:ascii="Arial" w:cs="Arial" w:eastAsia="Arial" w:hAnsi="Arial"/>
                <w:sz w:val="16"/>
                <w:szCs w:val="16"/>
                <w:color w:val="auto"/>
              </w:rPr>
              <w:t>Adjustments to reconcile net income to net cash provided by</w:t>
            </w:r>
          </w:p>
        </w:tc>
        <w:tc>
          <w:tcPr>
            <w:tcW w:w="14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320" w:type="dxa"/>
            <w:vAlign w:val="bottom"/>
            <w:shd w:val="clear" w:color="auto" w:fill="EAEAEA"/>
          </w:tcPr>
          <w:p>
            <w:pPr>
              <w:spacing w:after="0"/>
              <w:rPr>
                <w:sz w:val="14"/>
                <w:szCs w:val="14"/>
                <w:color w:val="auto"/>
              </w:rPr>
            </w:pPr>
          </w:p>
        </w:tc>
        <w:tc>
          <w:tcPr>
            <w:tcW w:w="68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200" w:type="dxa"/>
            <w:vAlign w:val="bottom"/>
            <w:shd w:val="clear" w:color="auto" w:fill="EAEAEA"/>
          </w:tcPr>
          <w:p>
            <w:pPr>
              <w:spacing w:after="0"/>
              <w:rPr>
                <w:sz w:val="14"/>
                <w:szCs w:val="14"/>
                <w:color w:val="auto"/>
              </w:rPr>
            </w:pPr>
          </w:p>
        </w:tc>
        <w:tc>
          <w:tcPr>
            <w:tcW w:w="800" w:type="dxa"/>
            <w:vAlign w:val="bottom"/>
            <w:shd w:val="clear" w:color="auto" w:fill="EAEAEA"/>
          </w:tcPr>
          <w:p>
            <w:pPr>
              <w:spacing w:after="0"/>
              <w:rPr>
                <w:sz w:val="14"/>
                <w:szCs w:val="14"/>
                <w:color w:val="auto"/>
              </w:rPr>
            </w:pPr>
          </w:p>
        </w:tc>
        <w:tc>
          <w:tcPr>
            <w:tcW w:w="14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8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AEAEA"/>
          </w:tcPr>
          <w:p>
            <w:pPr>
              <w:ind w:left="140"/>
              <w:spacing w:after="0"/>
              <w:rPr>
                <w:sz w:val="20"/>
                <w:szCs w:val="20"/>
                <w:color w:val="auto"/>
              </w:rPr>
            </w:pPr>
            <w:r>
              <w:rPr>
                <w:rFonts w:ascii="Arial" w:cs="Arial" w:eastAsia="Arial" w:hAnsi="Arial"/>
                <w:sz w:val="16"/>
                <w:szCs w:val="16"/>
                <w:color w:val="auto"/>
              </w:rPr>
              <w:t>operating activities: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2,401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9,072</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2,808</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Amortization of deferred commissions costs</w:t>
            </w: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13,394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9,658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47,741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33,414</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stock-based compensation</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31,964</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28,992</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123,425</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113,262</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Noncash operating lease expense</w:t>
            </w: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change in fair value of equity securities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68</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Noncash change in fair value of contingent consideration</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adjustment on headquarters sale leaseback</w:t>
            </w:r>
          </w:p>
        </w:tc>
        <w:tc>
          <w:tcPr>
            <w:tcW w:w="1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AEAEA"/>
          </w:tcPr>
          <w:p>
            <w:pPr>
              <w:spacing w:after="0"/>
              <w:rPr>
                <w:sz w:val="18"/>
                <w:szCs w:val="18"/>
                <w:color w:val="auto"/>
              </w:rPr>
            </w:pPr>
          </w:p>
        </w:tc>
        <w:tc>
          <w:tcPr>
            <w:tcW w:w="80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495</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Noncash impairment charges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lease impairment</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1,374</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80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1,374</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(23,474)</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560"/>
              <w:spacing w:after="0"/>
              <w:rPr>
                <w:sz w:val="20"/>
                <w:szCs w:val="20"/>
                <w:color w:val="auto"/>
              </w:rPr>
            </w:pPr>
            <w:r>
              <w:rPr>
                <w:rFonts w:ascii="Arial" w:cs="Arial" w:eastAsia="Arial" w:hAnsi="Arial"/>
                <w:sz w:val="16"/>
                <w:szCs w:val="16"/>
                <w:color w:val="auto"/>
              </w:rPr>
              <w:t>Trade accounts receivable, net</w:t>
            </w: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(73,964)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(62,012)</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Operating lease liabilities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(2,078)</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(1,963)</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(8,012)</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(7,136)</w:t>
            </w:r>
          </w:p>
        </w:tc>
        <w:tc>
          <w:tcPr>
            <w:tcW w:w="0" w:type="dxa"/>
            <w:vAlign w:val="bottom"/>
          </w:tcPr>
          <w:p>
            <w:pPr>
              <w:spacing w:after="0"/>
              <w:rPr>
                <w:sz w:val="1"/>
                <w:szCs w:val="1"/>
                <w:color w:val="auto"/>
              </w:rPr>
            </w:pPr>
          </w:p>
        </w:tc>
      </w:tr>
      <w:tr>
        <w:trPr>
          <w:trHeight w:val="215"/>
        </w:trPr>
        <w:tc>
          <w:tcPr>
            <w:tcW w:w="4780" w:type="dxa"/>
            <w:vAlign w:val="bottom"/>
          </w:tcPr>
          <w:p>
            <w:pPr>
              <w:ind w:left="560"/>
              <w:spacing w:after="0"/>
              <w:rPr>
                <w:sz w:val="20"/>
                <w:szCs w:val="20"/>
                <w:color w:val="auto"/>
              </w:rPr>
            </w:pPr>
            <w:r>
              <w:rPr>
                <w:rFonts w:ascii="Arial" w:cs="Arial" w:eastAsia="Arial" w:hAnsi="Arial"/>
                <w:sz w:val="16"/>
                <w:szCs w:val="16"/>
                <w:color w:val="auto"/>
              </w:rPr>
              <w:t>Other current assets and Other assets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(8,615)</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Deferred commissions cost</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(23,124)</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(20,316)</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(73,655)</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(49,848)</w:t>
            </w:r>
          </w:p>
        </w:tc>
        <w:tc>
          <w:tcPr>
            <w:tcW w:w="0" w:type="dxa"/>
            <w:vAlign w:val="bottom"/>
          </w:tcPr>
          <w:p>
            <w:pPr>
              <w:spacing w:after="0"/>
              <w:rPr>
                <w:sz w:val="1"/>
                <w:szCs w:val="1"/>
                <w:color w:val="auto"/>
              </w:rPr>
            </w:pPr>
          </w:p>
        </w:tc>
      </w:tr>
      <w:tr>
        <w:trPr>
          <w:trHeight w:val="215"/>
        </w:trPr>
        <w:tc>
          <w:tcPr>
            <w:tcW w:w="478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Accrued liabilities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13,339</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15,140</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11,562</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25,235</w:t>
            </w:r>
          </w:p>
        </w:tc>
        <w:tc>
          <w:tcPr>
            <w:tcW w:w="0" w:type="dxa"/>
            <w:vAlign w:val="bottom"/>
          </w:tcPr>
          <w:p>
            <w:pPr>
              <w:spacing w:after="0"/>
              <w:rPr>
                <w:sz w:val="1"/>
                <w:szCs w:val="1"/>
                <w:color w:val="auto"/>
              </w:rPr>
            </w:pPr>
          </w:p>
        </w:tc>
      </w:tr>
      <w:tr>
        <w:trPr>
          <w:trHeight w:val="215"/>
        </w:trPr>
        <w:tc>
          <w:tcPr>
            <w:tcW w:w="4780" w:type="dxa"/>
            <w:vAlign w:val="bottom"/>
          </w:tcPr>
          <w:p>
            <w:pPr>
              <w:ind w:left="56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52,939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29,749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136,410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87,659</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shd w:val="clear" w:color="auto" w:fill="EAEAEA"/>
          </w:tcPr>
          <w:p>
            <w:pPr>
              <w:spacing w:after="0"/>
              <w:rPr>
                <w:sz w:val="18"/>
                <w:szCs w:val="18"/>
                <w:color w:val="auto"/>
              </w:rPr>
            </w:pPr>
          </w:p>
        </w:tc>
        <w:tc>
          <w:tcPr>
            <w:tcW w:w="8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68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3,541</w:t>
            </w:r>
          </w:p>
        </w:tc>
        <w:tc>
          <w:tcPr>
            <w:tcW w:w="120" w:type="dxa"/>
            <w:vAlign w:val="bottom"/>
            <w:shd w:val="clear" w:color="auto" w:fill="EAEAEA"/>
          </w:tcPr>
          <w:p>
            <w:pPr>
              <w:spacing w:after="0"/>
              <w:rPr>
                <w:sz w:val="18"/>
                <w:szCs w:val="18"/>
                <w:color w:val="auto"/>
              </w:rPr>
            </w:pPr>
          </w:p>
        </w:tc>
        <w:tc>
          <w:tcPr>
            <w:tcW w:w="200" w:type="dxa"/>
            <w:vAlign w:val="bottom"/>
            <w:tcBorders>
              <w:bottom w:val="single" w:sz="8" w:color="auto"/>
            </w:tcBorders>
            <w:shd w:val="clear" w:color="auto" w:fill="EAEAEA"/>
          </w:tcPr>
          <w:p>
            <w:pPr>
              <w:spacing w:after="0"/>
              <w:rPr>
                <w:sz w:val="18"/>
                <w:szCs w:val="18"/>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723</w:t>
            </w:r>
          </w:p>
        </w:tc>
        <w:tc>
          <w:tcPr>
            <w:tcW w:w="140" w:type="dxa"/>
            <w:vAlign w:val="bottom"/>
            <w:shd w:val="clear" w:color="auto" w:fill="EAEAEA"/>
          </w:tcPr>
          <w:p>
            <w:pPr>
              <w:spacing w:after="0"/>
              <w:rPr>
                <w:sz w:val="18"/>
                <w:szCs w:val="18"/>
                <w:color w:val="auto"/>
              </w:rPr>
            </w:pPr>
          </w:p>
        </w:tc>
        <w:tc>
          <w:tcPr>
            <w:tcW w:w="180" w:type="dxa"/>
            <w:vAlign w:val="bottom"/>
            <w:tcBorders>
              <w:bottom w:val="single" w:sz="8" w:color="auto"/>
            </w:tcBorders>
            <w:shd w:val="clear" w:color="auto" w:fill="EAEAEA"/>
          </w:tcPr>
          <w:p>
            <w:pPr>
              <w:spacing w:after="0"/>
              <w:rPr>
                <w:sz w:val="18"/>
                <w:szCs w:val="18"/>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132,185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76,955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244,680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207,382</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(3,756)</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Purchase of equity securities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(6,951)</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Proceeds from sale of headquarters, net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Business combination, net of cash acquired</w:t>
            </w:r>
          </w:p>
        </w:tc>
        <w:tc>
          <w:tcPr>
            <w:tcW w:w="140" w:type="dxa"/>
            <w:vAlign w:val="bottom"/>
            <w:tcBorders>
              <w:bottom w:val="single" w:sz="8" w:color="auto"/>
            </w:tcBorders>
            <w:shd w:val="clear" w:color="auto" w:fill="EAEAEA"/>
          </w:tcPr>
          <w:p>
            <w:pPr>
              <w:spacing w:after="0"/>
              <w:rPr>
                <w:sz w:val="18"/>
                <w:szCs w:val="18"/>
                <w:color w:val="auto"/>
              </w:rPr>
            </w:pPr>
          </w:p>
        </w:tc>
        <w:tc>
          <w:tcPr>
            <w:tcW w:w="8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68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EAEAEA"/>
          </w:tcPr>
          <w:p>
            <w:pPr>
              <w:spacing w:after="0"/>
              <w:rPr>
                <w:sz w:val="18"/>
                <w:szCs w:val="18"/>
                <w:color w:val="auto"/>
              </w:rPr>
            </w:pPr>
          </w:p>
        </w:tc>
        <w:tc>
          <w:tcPr>
            <w:tcW w:w="200" w:type="dxa"/>
            <w:vAlign w:val="bottom"/>
            <w:tcBorders>
              <w:bottom w:val="single" w:sz="8" w:color="auto"/>
            </w:tcBorders>
            <w:shd w:val="clear" w:color="auto" w:fill="EAEAEA"/>
          </w:tcPr>
          <w:p>
            <w:pPr>
              <w:spacing w:after="0"/>
              <w:rPr>
                <w:sz w:val="18"/>
                <w:szCs w:val="18"/>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(25,815)</w:t>
            </w:r>
          </w:p>
        </w:tc>
        <w:tc>
          <w:tcPr>
            <w:tcW w:w="140" w:type="dxa"/>
            <w:vAlign w:val="bottom"/>
            <w:shd w:val="clear" w:color="auto" w:fill="EAEAEA"/>
          </w:tcPr>
          <w:p>
            <w:pPr>
              <w:spacing w:after="0"/>
              <w:rPr>
                <w:sz w:val="18"/>
                <w:szCs w:val="18"/>
                <w:color w:val="auto"/>
              </w:rPr>
            </w:pPr>
          </w:p>
        </w:tc>
        <w:tc>
          <w:tcPr>
            <w:tcW w:w="180" w:type="dxa"/>
            <w:vAlign w:val="bottom"/>
            <w:tcBorders>
              <w:bottom w:val="single" w:sz="8" w:color="auto"/>
            </w:tcBorders>
            <w:shd w:val="clear" w:color="auto" w:fill="EAEAEA"/>
          </w:tcPr>
          <w:p>
            <w:pPr>
              <w:spacing w:after="0"/>
              <w:rPr>
                <w:sz w:val="18"/>
                <w:szCs w:val="18"/>
                <w:color w:val="auto"/>
              </w:rPr>
            </w:pP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(65,311)</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(70,400)</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(259,293)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(29,821)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(446,106)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(165,015)</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7,529</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6,437</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14,503</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17,537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Proceeds from issuance of convertible notes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Purchase of capped calls</w:t>
            </w:r>
          </w:p>
        </w:tc>
        <w:tc>
          <w:tcPr>
            <w:tcW w:w="1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AEAEA"/>
          </w:tcPr>
          <w:p>
            <w:pPr>
              <w:spacing w:after="0"/>
              <w:rPr>
                <w:sz w:val="18"/>
                <w:szCs w:val="18"/>
                <w:color w:val="auto"/>
              </w:rPr>
            </w:pPr>
          </w:p>
        </w:tc>
        <w:tc>
          <w:tcPr>
            <w:tcW w:w="80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(99,630)</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Payment of contingent liability</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7"/>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Payment of debt issuance costs</w:t>
            </w:r>
          </w:p>
        </w:tc>
        <w:tc>
          <w:tcPr>
            <w:tcW w:w="1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EAEAEA"/>
          </w:tcPr>
          <w:p>
            <w:pPr>
              <w:spacing w:after="0"/>
              <w:rPr>
                <w:sz w:val="18"/>
                <w:szCs w:val="18"/>
                <w:color w:val="auto"/>
              </w:rPr>
            </w:pPr>
          </w:p>
        </w:tc>
        <w:tc>
          <w:tcPr>
            <w:tcW w:w="80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(23,400)</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Borders>
              <w:top w:val="single" w:sz="8" w:color="auto"/>
            </w:tcBorders>
            <w:shd w:val="clear" w:color="auto" w:fill="EAEAEA"/>
          </w:tcPr>
          <w:p>
            <w:pPr>
              <w:spacing w:after="0"/>
              <w:rPr>
                <w:sz w:val="18"/>
                <w:szCs w:val="18"/>
                <w:color w:val="auto"/>
              </w:rPr>
            </w:pPr>
          </w:p>
        </w:tc>
        <w:tc>
          <w:tcPr>
            <w:tcW w:w="8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(251,782)</w:t>
            </w:r>
          </w:p>
        </w:tc>
        <w:tc>
          <w:tcPr>
            <w:tcW w:w="120" w:type="dxa"/>
            <w:vAlign w:val="bottom"/>
            <w:tcBorders>
              <w:top w:val="single" w:sz="8" w:color="EAEAEA"/>
            </w:tcBorders>
            <w:shd w:val="clear" w:color="auto" w:fill="EAEAEA"/>
          </w:tcPr>
          <w:p>
            <w:pPr>
              <w:spacing w:after="0"/>
              <w:rPr>
                <w:sz w:val="18"/>
                <w:szCs w:val="18"/>
                <w:color w:val="auto"/>
              </w:rPr>
            </w:pPr>
          </w:p>
        </w:tc>
        <w:tc>
          <w:tcPr>
            <w:tcW w:w="320" w:type="dxa"/>
            <w:vAlign w:val="bottom"/>
            <w:tcBorders>
              <w:top w:val="single" w:sz="8" w:color="auto"/>
            </w:tcBorders>
            <w:shd w:val="clear" w:color="auto" w:fill="EAEAEA"/>
          </w:tcPr>
          <w:p>
            <w:pPr>
              <w:spacing w:after="0"/>
              <w:rPr>
                <w:sz w:val="18"/>
                <w:szCs w:val="18"/>
                <w:color w:val="auto"/>
              </w:rPr>
            </w:pPr>
          </w:p>
        </w:tc>
        <w:tc>
          <w:tcPr>
            <w:tcW w:w="6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(23,724)</w:t>
            </w:r>
          </w:p>
        </w:tc>
        <w:tc>
          <w:tcPr>
            <w:tcW w:w="120" w:type="dxa"/>
            <w:vAlign w:val="bottom"/>
            <w:tcBorders>
              <w:top w:val="single" w:sz="8" w:color="EAEAEA"/>
            </w:tcBorders>
            <w:shd w:val="clear" w:color="auto" w:fill="EAEAEA"/>
          </w:tcPr>
          <w:p>
            <w:pPr>
              <w:spacing w:after="0"/>
              <w:rPr>
                <w:sz w:val="18"/>
                <w:szCs w:val="18"/>
                <w:color w:val="auto"/>
              </w:rPr>
            </w:pPr>
          </w:p>
        </w:tc>
        <w:tc>
          <w:tcPr>
            <w:tcW w:w="200" w:type="dxa"/>
            <w:vAlign w:val="bottom"/>
            <w:tcBorders>
              <w:top w:val="single" w:sz="8" w:color="auto"/>
            </w:tcBorders>
            <w:shd w:val="clear" w:color="auto" w:fill="EAEAEA"/>
          </w:tcPr>
          <w:p>
            <w:pPr>
              <w:spacing w:after="0"/>
              <w:rPr>
                <w:sz w:val="18"/>
                <w:szCs w:val="18"/>
                <w:color w:val="auto"/>
              </w:rPr>
            </w:pP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345,301</w:t>
            </w:r>
          </w:p>
        </w:tc>
        <w:tc>
          <w:tcPr>
            <w:tcW w:w="140" w:type="dxa"/>
            <w:vAlign w:val="bottom"/>
            <w:tcBorders>
              <w:top w:val="single" w:sz="8" w:color="EAEAEA"/>
            </w:tcBorders>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8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(147,818)</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w:t>
            </w:r>
          </w:p>
        </w:tc>
        <w:tc>
          <w:tcPr>
            <w:tcW w:w="12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6,027</w:t>
            </w:r>
          </w:p>
        </w:tc>
        <w:tc>
          <w:tcPr>
            <w:tcW w:w="120" w:type="dxa"/>
            <w:vAlign w:val="bottom"/>
            <w:tcBorders>
              <w:bottom w:val="single" w:sz="8" w:color="EA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13,349</w:t>
            </w:r>
          </w:p>
        </w:tc>
        <w:tc>
          <w:tcPr>
            <w:tcW w:w="140" w:type="dxa"/>
            <w:vAlign w:val="bottom"/>
            <w:tcBorders>
              <w:bottom w:val="single" w:sz="8" w:color="EA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0"/>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(126,359)</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58,528</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597,884</w:t>
            </w: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(10,651)</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1,026,346</w:t>
            </w:r>
          </w:p>
        </w:tc>
        <w:tc>
          <w:tcPr>
            <w:tcW w:w="12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6"/>
              </w:rPr>
              <w:t>243,575</w:t>
            </w:r>
          </w:p>
        </w:tc>
        <w:tc>
          <w:tcPr>
            <w:tcW w:w="120" w:type="dxa"/>
            <w:vAlign w:val="bottom"/>
            <w:tcBorders>
              <w:bottom w:val="single" w:sz="8" w:color="EA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302,103</w:t>
            </w:r>
          </w:p>
        </w:tc>
        <w:tc>
          <w:tcPr>
            <w:tcW w:w="140" w:type="dxa"/>
            <w:vAlign w:val="bottom"/>
            <w:tcBorders>
              <w:bottom w:val="single" w:sz="8" w:color="EA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312,754</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899,987</w:t>
            </w:r>
          </w:p>
        </w:tc>
        <w:tc>
          <w:tcPr>
            <w:tcW w:w="12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w w:val="96"/>
              </w:rPr>
              <w:t>302,103</w:t>
            </w:r>
          </w:p>
        </w:tc>
        <w:tc>
          <w:tcPr>
            <w:tcW w:w="12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899,987</w:t>
            </w: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302,103</w:t>
            </w:r>
          </w:p>
        </w:tc>
        <w:tc>
          <w:tcPr>
            <w:tcW w:w="0" w:type="dxa"/>
            <w:vAlign w:val="bottom"/>
          </w:tcPr>
          <w:p>
            <w:pPr>
              <w:spacing w:after="0"/>
              <w:rPr>
                <w:sz w:val="1"/>
                <w:szCs w:val="1"/>
                <w:color w:val="auto"/>
              </w:rPr>
            </w:pPr>
          </w:p>
        </w:tc>
      </w:tr>
      <w:tr>
        <w:trPr>
          <w:trHeight w:val="20"/>
        </w:trPr>
        <w:tc>
          <w:tcPr>
            <w:tcW w:w="478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8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6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80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82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14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6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Issuance of common stock for business combination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4,900</w:t>
            </w:r>
          </w:p>
        </w:tc>
        <w:tc>
          <w:tcPr>
            <w:tcW w:w="0" w:type="dxa"/>
            <w:vAlign w:val="bottom"/>
          </w:tcPr>
          <w:p>
            <w:pPr>
              <w:spacing w:after="0"/>
              <w:rPr>
                <w:sz w:val="1"/>
                <w:szCs w:val="1"/>
                <w:color w:val="auto"/>
              </w:rPr>
            </w:pPr>
          </w:p>
        </w:tc>
      </w:tr>
      <w:tr>
        <w:trPr>
          <w:trHeight w:val="163"/>
        </w:trPr>
        <w:tc>
          <w:tcPr>
            <w:tcW w:w="4780" w:type="dxa"/>
            <w:vAlign w:val="bottom"/>
            <w:shd w:val="clear" w:color="auto" w:fill="EAEAEA"/>
          </w:tcPr>
          <w:p>
            <w:pPr>
              <w:ind w:left="20"/>
              <w:spacing w:after="0" w:line="163" w:lineRule="exact"/>
              <w:rPr>
                <w:sz w:val="20"/>
                <w:szCs w:val="20"/>
                <w:color w:val="auto"/>
              </w:rPr>
            </w:pPr>
            <w:r>
              <w:rPr>
                <w:rFonts w:ascii="Arial" w:cs="Arial" w:eastAsia="Arial" w:hAnsi="Arial"/>
                <w:sz w:val="16"/>
                <w:szCs w:val="16"/>
                <w:color w:val="auto"/>
              </w:rPr>
              <w:t>Operating lease liabilities arising from obtaining right-of-use</w:t>
            </w:r>
          </w:p>
        </w:tc>
        <w:tc>
          <w:tcPr>
            <w:tcW w:w="1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EAEAEA"/>
          </w:tcPr>
          <w:p>
            <w:pPr>
              <w:spacing w:after="0"/>
              <w:rPr>
                <w:sz w:val="14"/>
                <w:szCs w:val="14"/>
                <w:color w:val="auto"/>
              </w:rPr>
            </w:pPr>
          </w:p>
        </w:tc>
        <w:tc>
          <w:tcPr>
            <w:tcW w:w="320" w:type="dxa"/>
            <w:vAlign w:val="bottom"/>
            <w:vMerge w:val="restart"/>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1,109</w:t>
            </w:r>
          </w:p>
        </w:tc>
        <w:tc>
          <w:tcPr>
            <w:tcW w:w="120" w:type="dxa"/>
            <w:vAlign w:val="bottom"/>
            <w:shd w:val="clear" w:color="auto" w:fill="EAEAEA"/>
          </w:tcPr>
          <w:p>
            <w:pPr>
              <w:spacing w:after="0"/>
              <w:rPr>
                <w:sz w:val="14"/>
                <w:szCs w:val="14"/>
                <w:color w:val="auto"/>
              </w:rPr>
            </w:pPr>
          </w:p>
        </w:tc>
        <w:tc>
          <w:tcPr>
            <w:tcW w:w="2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35,604</w:t>
            </w:r>
          </w:p>
        </w:tc>
        <w:tc>
          <w:tcPr>
            <w:tcW w:w="140" w:type="dxa"/>
            <w:vAlign w:val="bottom"/>
            <w:shd w:val="clear" w:color="auto" w:fill="EAEAEA"/>
          </w:tcPr>
          <w:p>
            <w:pPr>
              <w:spacing w:after="0"/>
              <w:rPr>
                <w:sz w:val="14"/>
                <w:szCs w:val="14"/>
                <w:color w:val="auto"/>
              </w:rPr>
            </w:pPr>
          </w:p>
        </w:tc>
        <w:tc>
          <w:tcPr>
            <w:tcW w:w="1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5,796</w:t>
            </w:r>
          </w:p>
        </w:tc>
        <w:tc>
          <w:tcPr>
            <w:tcW w:w="0" w:type="dxa"/>
            <w:vAlign w:val="bottom"/>
          </w:tcPr>
          <w:p>
            <w:pPr>
              <w:spacing w:after="0"/>
              <w:rPr>
                <w:sz w:val="1"/>
                <w:szCs w:val="1"/>
                <w:color w:val="auto"/>
              </w:rPr>
            </w:pPr>
          </w:p>
        </w:tc>
      </w:tr>
      <w:tr>
        <w:trPr>
          <w:trHeight w:val="216"/>
        </w:trPr>
        <w:tc>
          <w:tcPr>
            <w:tcW w:w="4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vMerge w:val="continue"/>
            <w:shd w:val="clear" w:color="auto" w:fill="EAEAEA"/>
          </w:tcPr>
          <w:p>
            <w:pPr>
              <w:spacing w:after="0"/>
              <w:rPr>
                <w:sz w:val="18"/>
                <w:szCs w:val="18"/>
                <w:color w:val="auto"/>
              </w:rPr>
            </w:pPr>
          </w:p>
        </w:tc>
        <w:tc>
          <w:tcPr>
            <w:tcW w:w="86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20" w:type="dxa"/>
            <w:vAlign w:val="bottom"/>
            <w:vMerge w:val="continue"/>
            <w:shd w:val="clear" w:color="auto" w:fill="EAEAEA"/>
          </w:tcPr>
          <w:p>
            <w:pPr>
              <w:spacing w:after="0"/>
              <w:rPr>
                <w:sz w:val="18"/>
                <w:szCs w:val="18"/>
                <w:color w:val="auto"/>
              </w:rPr>
            </w:pPr>
          </w:p>
        </w:tc>
        <w:tc>
          <w:tcPr>
            <w:tcW w:w="68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0" w:type="dxa"/>
            <w:vAlign w:val="bottom"/>
            <w:vMerge w:val="continue"/>
            <w:shd w:val="clear" w:color="auto" w:fill="EAEAEA"/>
          </w:tcPr>
          <w:p>
            <w:pPr>
              <w:spacing w:after="0"/>
              <w:rPr>
                <w:sz w:val="18"/>
                <w:szCs w:val="18"/>
                <w:color w:val="auto"/>
              </w:rPr>
            </w:pPr>
          </w:p>
        </w:tc>
        <w:tc>
          <w:tcPr>
            <w:tcW w:w="800" w:type="dxa"/>
            <w:vAlign w:val="bottom"/>
            <w:vMerge w:val="continue"/>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80" w:type="dxa"/>
            <w:vAlign w:val="bottom"/>
            <w:vMerge w:val="continue"/>
            <w:shd w:val="clear" w:color="auto" w:fill="EAEAEA"/>
          </w:tcPr>
          <w:p>
            <w:pPr>
              <w:spacing w:after="0"/>
              <w:rPr>
                <w:sz w:val="18"/>
                <w:szCs w:val="18"/>
                <w:color w:val="auto"/>
              </w:rPr>
            </w:pPr>
          </w:p>
        </w:tc>
        <w:tc>
          <w:tcPr>
            <w:tcW w:w="82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60"/>
          </w:cols>
          <w:pgMar w:left="1360" w:top="890" w:right="13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160"/>
          </w:cols>
          <w:pgMar w:left="1360" w:top="890" w:right="137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52" w:lineRule="exact"/>
        <w:rPr>
          <w:sz w:val="20"/>
          <w:szCs w:val="20"/>
          <w:color w:val="auto"/>
        </w:rPr>
      </w:pPr>
    </w:p>
    <w:p>
      <w:pPr>
        <w:jc w:val="center"/>
        <w:ind w:left="40" w:right="59"/>
        <w:spacing w:after="0" w:line="267" w:lineRule="auto"/>
        <w:rPr>
          <w:sz w:val="20"/>
          <w:szCs w:val="20"/>
          <w:color w:val="auto"/>
        </w:rPr>
      </w:pPr>
      <w:r>
        <w:rPr>
          <w:rFonts w:ascii="Arial" w:cs="Arial" w:eastAsia="Arial" w:hAnsi="Arial"/>
          <w:sz w:val="18"/>
          <w:szCs w:val="18"/>
          <w:b w:val="1"/>
          <w:bCs w:val="1"/>
          <w:color w:val="auto"/>
        </w:rPr>
        <w:t>Reconciliation of GAAP to Non-GAAP Financial Measures (In thousands, except per share data) (Unaudited)</w:t>
      </w:r>
    </w:p>
    <w:tbl>
      <w:tblPr>
        <w:tblLayout w:type="fixed"/>
        <w:tblInd w:w="4860" w:type="dxa"/>
        <w:tblCellMar>
          <w:top w:w="0" w:type="dxa"/>
          <w:left w:w="0" w:type="dxa"/>
          <w:bottom w:w="0" w:type="dxa"/>
          <w:right w:w="0" w:type="dxa"/>
        </w:tblCellMar>
      </w:tblPr>
      <w:tr>
        <w:trPr>
          <w:trHeight w:val="165"/>
        </w:trPr>
        <w:tc>
          <w:tcPr>
            <w:tcW w:w="2120" w:type="dxa"/>
            <w:vAlign w:val="bottom"/>
            <w:gridSpan w:val="3"/>
          </w:tcPr>
          <w:p>
            <w:pPr>
              <w:jc w:val="center"/>
              <w:ind w:right="160"/>
              <w:spacing w:after="0" w:line="165" w:lineRule="exact"/>
              <w:rPr>
                <w:sz w:val="20"/>
                <w:szCs w:val="20"/>
                <w:color w:val="auto"/>
              </w:rPr>
            </w:pPr>
            <w:r>
              <w:rPr>
                <w:rFonts w:ascii="Arial" w:cs="Arial" w:eastAsia="Arial" w:hAnsi="Arial"/>
                <w:sz w:val="16"/>
                <w:szCs w:val="16"/>
                <w:b w:val="1"/>
                <w:bCs w:val="1"/>
                <w:color w:val="auto"/>
              </w:rPr>
              <w:t>Three Months Ended</w:t>
            </w:r>
          </w:p>
        </w:tc>
        <w:tc>
          <w:tcPr>
            <w:tcW w:w="202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Year Ended</w:t>
            </w:r>
          </w:p>
        </w:tc>
      </w:tr>
      <w:tr>
        <w:trPr>
          <w:trHeight w:val="216"/>
        </w:trPr>
        <w:tc>
          <w:tcPr>
            <w:tcW w:w="2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March 31,</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March 31,</w:t>
            </w:r>
          </w:p>
        </w:tc>
      </w:tr>
      <w:tr>
        <w:trPr>
          <w:trHeight w:val="256"/>
        </w:trPr>
        <w:tc>
          <w:tcPr>
            <w:tcW w:w="9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0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2"/>
                <w:szCs w:val="22"/>
                <w:color w:val="auto"/>
              </w:rPr>
            </w:pPr>
          </w:p>
        </w:tc>
        <w:tc>
          <w:tcPr>
            <w:tcW w:w="10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0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57003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Non-GAAP financial measures and reconciliation:</w:t>
      </w:r>
    </w:p>
    <w:p>
      <w:pPr>
        <w:sectPr>
          <w:pgSz w:w="11900" w:h="16838" w:orient="portrait"/>
          <w:cols w:equalWidth="0" w:num="1">
            <w:col w:w="9019"/>
          </w:cols>
          <w:pgMar w:left="1440" w:top="985" w:right="1440" w:bottom="1440" w:gutter="0" w:footer="0" w:header="0"/>
        </w:sectPr>
      </w:pP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GAAP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38100</wp:posOffset>
            </wp:positionV>
            <wp:extent cx="57003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Noncash stock-based compensation</w:t>
      </w:r>
      <w:r>
        <w:rPr>
          <w:rFonts w:ascii="Arial" w:cs="Arial" w:eastAsia="Arial" w:hAnsi="Arial"/>
          <w:sz w:val="21"/>
          <w:szCs w:val="21"/>
          <w:color w:val="auto"/>
          <w:vertAlign w:val="superscript"/>
        </w:rPr>
        <w:t>5</w:t>
      </w:r>
    </w:p>
    <w:p>
      <w:pPr>
        <w:spacing w:after="0" w:line="28" w:lineRule="exact"/>
        <w:rPr>
          <w:sz w:val="20"/>
          <w:szCs w:val="20"/>
          <w:color w:val="auto"/>
        </w:rPr>
      </w:pPr>
    </w:p>
    <w:p>
      <w:pPr>
        <w:ind w:left="520"/>
        <w:spacing w:after="0" w:line="204" w:lineRule="auto"/>
        <w:rPr>
          <w:sz w:val="20"/>
          <w:szCs w:val="20"/>
          <w:color w:val="auto"/>
        </w:rPr>
      </w:pPr>
      <w:r>
        <w:rPr>
          <w:rFonts w:ascii="Arial" w:cs="Arial" w:eastAsia="Arial" w:hAnsi="Arial"/>
          <w:sz w:val="16"/>
          <w:szCs w:val="16"/>
          <w:color w:val="auto"/>
        </w:rPr>
        <w:t>FICA and payroll tax expense related to stock-based compensation</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34" w:hanging="334"/>
        <w:spacing w:after="0"/>
        <w:tabs>
          <w:tab w:leader="none" w:pos="3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16,638   $   26,727   $   73,990   $   73,738</w:t>
      </w:r>
    </w:p>
    <w:p>
      <w:pPr>
        <w:spacing w:after="0" w:line="73" w:lineRule="exact"/>
        <w:rPr>
          <w:sz w:val="20"/>
          <w:szCs w:val="20"/>
          <w:color w:val="auto"/>
        </w:rPr>
      </w:pPr>
    </w:p>
    <w:p>
      <w:pPr>
        <w:ind w:left="334"/>
        <w:spacing w:after="0"/>
        <w:tabs>
          <w:tab w:leader="none" w:pos="1373" w:val="left"/>
          <w:tab w:leader="none" w:pos="2373" w:val="left"/>
          <w:tab w:leader="none" w:pos="3433" w:val="left"/>
        </w:tabs>
        <w:rPr>
          <w:sz w:val="20"/>
          <w:szCs w:val="20"/>
          <w:color w:val="auto"/>
        </w:rPr>
      </w:pPr>
      <w:r>
        <w:rPr>
          <w:rFonts w:ascii="Arial" w:cs="Arial" w:eastAsia="Arial" w:hAnsi="Arial"/>
          <w:sz w:val="16"/>
          <w:szCs w:val="16"/>
          <w:color w:val="auto"/>
        </w:rPr>
        <w:t>29,247</w:t>
      </w:r>
      <w:r>
        <w:rPr>
          <w:sz w:val="20"/>
          <w:szCs w:val="20"/>
          <w:color w:val="auto"/>
        </w:rPr>
        <w:tab/>
      </w:r>
      <w:r>
        <w:rPr>
          <w:rFonts w:ascii="Arial" w:cs="Arial" w:eastAsia="Arial" w:hAnsi="Arial"/>
          <w:sz w:val="16"/>
          <w:szCs w:val="16"/>
          <w:color w:val="auto"/>
        </w:rPr>
        <w:t>28,840</w:t>
      </w:r>
      <w:r>
        <w:rPr>
          <w:sz w:val="20"/>
          <w:szCs w:val="20"/>
          <w:color w:val="auto"/>
        </w:rPr>
        <w:tab/>
      </w:r>
      <w:r>
        <w:rPr>
          <w:rFonts w:ascii="Arial" w:cs="Arial" w:eastAsia="Arial" w:hAnsi="Arial"/>
          <w:sz w:val="16"/>
          <w:szCs w:val="16"/>
          <w:color w:val="auto"/>
        </w:rPr>
        <w:t>118,886</w:t>
      </w:r>
      <w:r>
        <w:rPr>
          <w:sz w:val="20"/>
          <w:szCs w:val="20"/>
          <w:color w:val="auto"/>
        </w:rPr>
        <w:tab/>
      </w:r>
      <w:r>
        <w:rPr>
          <w:rFonts w:ascii="Arial" w:cs="Arial" w:eastAsia="Arial" w:hAnsi="Arial"/>
          <w:sz w:val="16"/>
          <w:szCs w:val="16"/>
          <w:color w:val="auto"/>
        </w:rPr>
        <w:t>108,615</w:t>
      </w:r>
    </w:p>
    <w:p>
      <w:pPr>
        <w:spacing w:after="0" w:line="140" w:lineRule="exact"/>
        <w:rPr>
          <w:sz w:val="20"/>
          <w:szCs w:val="20"/>
          <w:color w:val="auto"/>
        </w:rPr>
      </w:pPr>
    </w:p>
    <w:p>
      <w:pPr>
        <w:jc w:val="both"/>
        <w:ind w:left="554"/>
        <w:spacing w:after="0"/>
        <w:tabs>
          <w:tab w:leader="none" w:pos="1473" w:val="left"/>
          <w:tab w:leader="none" w:pos="2533" w:val="left"/>
          <w:tab w:leader="none" w:pos="3613" w:val="left"/>
        </w:tabs>
        <w:rPr>
          <w:sz w:val="20"/>
          <w:szCs w:val="20"/>
          <w:color w:val="auto"/>
        </w:rPr>
      </w:pPr>
      <w:r>
        <w:rPr>
          <w:rFonts w:ascii="Arial" w:cs="Arial" w:eastAsia="Arial" w:hAnsi="Arial"/>
          <w:sz w:val="16"/>
          <w:szCs w:val="16"/>
          <w:color w:val="auto"/>
        </w:rPr>
        <w:t>691</w:t>
      </w:r>
      <w:r>
        <w:rPr>
          <w:sz w:val="20"/>
          <w:szCs w:val="20"/>
          <w:color w:val="auto"/>
        </w:rPr>
        <w:tab/>
      </w:r>
      <w:r>
        <w:rPr>
          <w:rFonts w:ascii="Arial" w:cs="Arial" w:eastAsia="Arial" w:hAnsi="Arial"/>
          <w:sz w:val="16"/>
          <w:szCs w:val="16"/>
          <w:color w:val="auto"/>
        </w:rPr>
        <w:t>1,767</w:t>
      </w:r>
      <w:r>
        <w:rPr>
          <w:sz w:val="20"/>
          <w:szCs w:val="20"/>
          <w:color w:val="auto"/>
        </w:rPr>
        <w:tab/>
      </w:r>
      <w:r>
        <w:rPr>
          <w:rFonts w:ascii="Arial" w:cs="Arial" w:eastAsia="Arial" w:hAnsi="Arial"/>
          <w:sz w:val="16"/>
          <w:szCs w:val="16"/>
          <w:color w:val="auto"/>
        </w:rPr>
        <w:t>4,140</w:t>
      </w:r>
      <w:r>
        <w:rPr>
          <w:sz w:val="20"/>
          <w:szCs w:val="20"/>
          <w:color w:val="auto"/>
        </w:rPr>
        <w:tab/>
      </w:r>
      <w:r>
        <w:rPr>
          <w:rFonts w:ascii="Arial" w:cs="Arial" w:eastAsia="Arial" w:hAnsi="Arial"/>
          <w:sz w:val="15"/>
          <w:szCs w:val="15"/>
          <w:color w:val="auto"/>
        </w:rPr>
        <w:t>5,459</w:t>
      </w:r>
    </w:p>
    <w:p>
      <w:pPr>
        <w:spacing w:after="0" w:line="128" w:lineRule="exact"/>
        <w:rPr>
          <w:sz w:val="20"/>
          <w:szCs w:val="20"/>
          <w:color w:val="auto"/>
        </w:rPr>
      </w:pPr>
    </w:p>
    <w:p>
      <w:pPr>
        <w:sectPr>
          <w:pgSz w:w="11900" w:h="16838" w:orient="portrait"/>
          <w:cols w:equalWidth="0" w:num="2">
            <w:col w:w="4280" w:space="586"/>
            <w:col w:w="4153"/>
          </w:cols>
          <w:pgMar w:left="1440" w:top="985" w:right="1440" w:bottom="1440" w:gutter="0" w:footer="0" w:header="0"/>
          <w:type w:val="continuous"/>
        </w:sectPr>
      </w:pPr>
    </w:p>
    <w:tbl>
      <w:tblPr>
        <w:tblLayout w:type="fixed"/>
        <w:tblInd w:w="20" w:type="dxa"/>
        <w:tblCellMar>
          <w:top w:w="0" w:type="dxa"/>
          <w:left w:w="0" w:type="dxa"/>
          <w:bottom w:w="0" w:type="dxa"/>
          <w:right w:w="0" w:type="dxa"/>
        </w:tblCellMar>
      </w:tblPr>
      <w:tr>
        <w:trPr>
          <w:trHeight w:val="241"/>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7</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18,603</w:t>
            </w:r>
          </w:p>
        </w:tc>
        <w:tc>
          <w:tcPr>
            <w:tcW w:w="140" w:type="dxa"/>
            <w:vAlign w:val="bottom"/>
            <w:shd w:val="clear" w:color="auto" w:fill="EAEAEA"/>
          </w:tcPr>
          <w:p>
            <w:pPr>
              <w:spacing w:after="0"/>
              <w:rPr>
                <w:sz w:val="21"/>
                <w:szCs w:val="21"/>
                <w:color w:val="auto"/>
              </w:rPr>
            </w:pPr>
          </w:p>
        </w:tc>
        <w:tc>
          <w:tcPr>
            <w:tcW w:w="220" w:type="dxa"/>
            <w:vAlign w:val="bottom"/>
            <w:shd w:val="clear" w:color="auto" w:fill="EAEAEA"/>
          </w:tcPr>
          <w:p>
            <w:pPr>
              <w:spacing w:after="0"/>
              <w:rPr>
                <w:sz w:val="21"/>
                <w:szCs w:val="21"/>
                <w:color w:val="auto"/>
              </w:rPr>
            </w:pPr>
          </w:p>
        </w:tc>
        <w:tc>
          <w:tcPr>
            <w:tcW w:w="72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EAEAEA"/>
          </w:tcPr>
          <w:p>
            <w:pPr>
              <w:spacing w:after="0"/>
              <w:rPr>
                <w:sz w:val="21"/>
                <w:szCs w:val="21"/>
                <w:color w:val="auto"/>
              </w:rPr>
            </w:pP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32,154</w:t>
            </w:r>
          </w:p>
        </w:tc>
        <w:tc>
          <w:tcPr>
            <w:tcW w:w="140" w:type="dxa"/>
            <w:vAlign w:val="bottom"/>
            <w:shd w:val="clear" w:color="auto" w:fill="EAEAEA"/>
          </w:tcPr>
          <w:p>
            <w:pPr>
              <w:spacing w:after="0"/>
              <w:rPr>
                <w:sz w:val="21"/>
                <w:szCs w:val="21"/>
                <w:color w:val="auto"/>
              </w:rPr>
            </w:pP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10,026</w:t>
            </w:r>
          </w:p>
        </w:tc>
      </w:tr>
      <w:tr>
        <w:trPr>
          <w:trHeight w:val="257"/>
        </w:trPr>
        <w:tc>
          <w:tcPr>
            <w:tcW w:w="4840" w:type="dxa"/>
            <w:vAlign w:val="bottom"/>
          </w:tcPr>
          <w:p>
            <w:pPr>
              <w:ind w:left="500"/>
              <w:spacing w:after="0"/>
              <w:rPr>
                <w:sz w:val="20"/>
                <w:szCs w:val="20"/>
                <w:color w:val="auto"/>
              </w:rPr>
            </w:pPr>
            <w:r>
              <w:rPr>
                <w:rFonts w:ascii="Arial" w:cs="Arial" w:eastAsia="Arial" w:hAnsi="Arial"/>
                <w:sz w:val="16"/>
                <w:szCs w:val="16"/>
                <w:color w:val="auto"/>
              </w:rPr>
              <w:t>Amortization of intangible assets</w:t>
            </w:r>
            <w:r>
              <w:rPr>
                <w:rFonts w:ascii="Arial" w:cs="Arial" w:eastAsia="Arial" w:hAnsi="Arial"/>
                <w:sz w:val="21"/>
                <w:szCs w:val="21"/>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6"/>
                <w:szCs w:val="16"/>
                <w:color w:val="auto"/>
              </w:rPr>
              <w:t>1,256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4,722</w:t>
            </w:r>
          </w:p>
        </w:tc>
        <w:tc>
          <w:tcPr>
            <w:tcW w:w="1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3,705</w:t>
            </w:r>
          </w:p>
        </w:tc>
      </w:tr>
      <w:tr>
        <w:trPr>
          <w:trHeight w:val="257"/>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Litigation settlement</w:t>
            </w:r>
            <w:r>
              <w:rPr>
                <w:rFonts w:ascii="Arial" w:cs="Arial" w:eastAsia="Arial" w:hAnsi="Arial"/>
                <w:sz w:val="21"/>
                <w:szCs w:val="21"/>
                <w:color w:val="auto"/>
                <w:vertAlign w:val="superscript"/>
              </w:rPr>
              <w:t>9</w:t>
            </w:r>
          </w:p>
        </w:tc>
        <w:tc>
          <w:tcPr>
            <w:tcW w:w="10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AEAEA"/>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675</w:t>
            </w: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Business combination costs</w:t>
            </w:r>
            <w:r>
              <w:rPr>
                <w:rFonts w:ascii="Arial" w:cs="Arial" w:eastAsia="Arial" w:hAnsi="Arial"/>
                <w:sz w:val="21"/>
                <w:szCs w:val="21"/>
                <w:color w:val="auto"/>
                <w:vertAlign w:val="superscript"/>
              </w:rPr>
              <w:t>10</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1,902</w:t>
            </w:r>
          </w:p>
        </w:tc>
        <w:tc>
          <w:tcPr>
            <w:tcW w:w="1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2,541</w:t>
            </w:r>
          </w:p>
        </w:tc>
      </w:tr>
      <w:tr>
        <w:trPr>
          <w:trHeight w:val="257"/>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Change in contingent consideration</w:t>
            </w:r>
            <w:r>
              <w:rPr>
                <w:rFonts w:ascii="Arial" w:cs="Arial" w:eastAsia="Arial" w:hAnsi="Arial"/>
                <w:sz w:val="21"/>
                <w:szCs w:val="21"/>
                <w:color w:val="auto"/>
                <w:vertAlign w:val="superscript"/>
              </w:rPr>
              <w:t>11</w:t>
            </w:r>
          </w:p>
        </w:tc>
        <w:tc>
          <w:tcPr>
            <w:tcW w:w="10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AEAEA"/>
          </w:tcPr>
          <w:p>
            <w:pPr>
              <w:spacing w:after="0"/>
              <w:rPr>
                <w:sz w:val="22"/>
                <w:szCs w:val="22"/>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EAEAEA"/>
          </w:tcPr>
          <w:p>
            <w:pPr>
              <w:spacing w:after="0"/>
              <w:rPr>
                <w:sz w:val="22"/>
                <w:szCs w:val="22"/>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(545)</w:t>
            </w:r>
          </w:p>
        </w:tc>
        <w:tc>
          <w:tcPr>
            <w:tcW w:w="140" w:type="dxa"/>
            <w:vAlign w:val="bottom"/>
            <w:shd w:val="clear" w:color="auto" w:fill="EAEAEA"/>
          </w:tcPr>
          <w:p>
            <w:pPr>
              <w:spacing w:after="0"/>
              <w:rPr>
                <w:sz w:val="22"/>
                <w:szCs w:val="22"/>
                <w:color w:val="auto"/>
              </w:rPr>
            </w:pP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2,060</w:t>
            </w:r>
          </w:p>
        </w:tc>
      </w:tr>
      <w:tr>
        <w:trPr>
          <w:trHeight w:val="257"/>
        </w:trPr>
        <w:tc>
          <w:tcPr>
            <w:tcW w:w="4840" w:type="dxa"/>
            <w:vAlign w:val="bottom"/>
          </w:tcPr>
          <w:p>
            <w:pPr>
              <w:ind w:left="500"/>
              <w:spacing w:after="0"/>
              <w:rPr>
                <w:sz w:val="20"/>
                <w:szCs w:val="20"/>
                <w:color w:val="auto"/>
              </w:rPr>
            </w:pPr>
            <w:r>
              <w:rPr>
                <w:rFonts w:ascii="Arial" w:cs="Arial" w:eastAsia="Arial" w:hAnsi="Arial"/>
                <w:sz w:val="16"/>
                <w:szCs w:val="16"/>
                <w:color w:val="auto"/>
              </w:rPr>
              <w:t>Adjustment on headquarters sale leaseback</w:t>
            </w:r>
            <w:r>
              <w:rPr>
                <w:rFonts w:ascii="Arial" w:cs="Arial" w:eastAsia="Arial" w:hAnsi="Arial"/>
                <w:sz w:val="21"/>
                <w:szCs w:val="21"/>
                <w:color w:val="auto"/>
                <w:vertAlign w:val="superscript"/>
              </w:rPr>
              <w:t>12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1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Noncash impairment charges</w:t>
            </w:r>
            <w:r>
              <w:rPr>
                <w:rFonts w:ascii="Arial" w:cs="Arial" w:eastAsia="Arial" w:hAnsi="Arial"/>
                <w:sz w:val="21"/>
                <w:szCs w:val="21"/>
                <w:color w:val="auto"/>
                <w:vertAlign w:val="superscript"/>
              </w:rPr>
              <w:t>13</w:t>
            </w:r>
          </w:p>
        </w:tc>
        <w:tc>
          <w:tcPr>
            <w:tcW w:w="1060" w:type="dxa"/>
            <w:vAlign w:val="bottom"/>
            <w:gridSpan w:val="2"/>
            <w:shd w:val="clear" w:color="auto" w:fill="EAEAEA"/>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AEAEA"/>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2,910</w:t>
            </w: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Other nonrecurring charges</w:t>
            </w:r>
            <w:r>
              <w:rPr>
                <w:rFonts w:ascii="Arial" w:cs="Arial" w:eastAsia="Arial" w:hAnsi="Arial"/>
                <w:sz w:val="21"/>
                <w:szCs w:val="21"/>
                <w:color w:val="auto"/>
                <w:vertAlign w:val="superscript"/>
              </w:rPr>
              <w:t>14</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1,805</w:t>
            </w:r>
          </w:p>
        </w:tc>
        <w:tc>
          <w:tcPr>
            <w:tcW w:w="1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5"/>
        </w:trPr>
        <w:tc>
          <w:tcPr>
            <w:tcW w:w="4840" w:type="dxa"/>
            <w:vAlign w:val="bottom"/>
            <w:tcBorders>
              <w:top w:val="single" w:sz="8" w:color="EAEAEA"/>
              <w:bottom w:val="single" w:sz="8" w:color="EAEAEA"/>
            </w:tcBorders>
            <w:shd w:val="clear" w:color="auto" w:fill="EAEAEA"/>
          </w:tcPr>
          <w:p>
            <w:pPr>
              <w:ind w:left="180"/>
              <w:spacing w:after="0"/>
              <w:rPr>
                <w:sz w:val="20"/>
                <w:szCs w:val="20"/>
                <w:color w:val="auto"/>
              </w:rPr>
            </w:pPr>
            <w:r>
              <w:rPr>
                <w:rFonts w:ascii="Arial" w:cs="Arial" w:eastAsia="Arial" w:hAnsi="Arial"/>
                <w:sz w:val="16"/>
                <w:szCs w:val="16"/>
                <w:b w:val="1"/>
                <w:bCs w:val="1"/>
                <w:color w:val="auto"/>
              </w:rPr>
              <w:t>Non-GAAP income from operations</w:t>
            </w:r>
          </w:p>
        </w:tc>
        <w:tc>
          <w:tcPr>
            <w:tcW w:w="9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   66,435</w:t>
            </w: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220" w:type="dxa"/>
            <w:vAlign w:val="bottom"/>
            <w:tcBorders>
              <w:top w:val="single" w:sz="8" w:color="auto"/>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59,097</w:t>
            </w: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940" w:type="dxa"/>
            <w:vAlign w:val="bottom"/>
            <w:tcBorders>
              <w:top w:val="single" w:sz="8" w:color="auto"/>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  237,549</w:t>
            </w:r>
          </w:p>
        </w:tc>
        <w:tc>
          <w:tcPr>
            <w:tcW w:w="140" w:type="dxa"/>
            <w:vAlign w:val="bottom"/>
            <w:tcBorders>
              <w:top w:val="single" w:sz="8" w:color="EAEAEA"/>
              <w:bottom w:val="single" w:sz="8" w:color="EAEAEA"/>
            </w:tcBorders>
            <w:shd w:val="clear" w:color="auto" w:fill="EAEAEA"/>
          </w:tcPr>
          <w:p>
            <w:pPr>
              <w:spacing w:after="0"/>
              <w:rPr>
                <w:sz w:val="19"/>
                <w:szCs w:val="19"/>
                <w:color w:val="auto"/>
              </w:rPr>
            </w:pPr>
          </w:p>
        </w:tc>
        <w:tc>
          <w:tcPr>
            <w:tcW w:w="940" w:type="dxa"/>
            <w:vAlign w:val="bottom"/>
            <w:tcBorders>
              <w:top w:val="single" w:sz="8" w:color="auto"/>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  209,729</w:t>
            </w:r>
          </w:p>
        </w:tc>
      </w:tr>
      <w:tr>
        <w:trPr>
          <w:trHeight w:val="20"/>
        </w:trPr>
        <w:tc>
          <w:tcPr>
            <w:tcW w:w="4840" w:type="dxa"/>
            <w:vAlign w:val="bottom"/>
            <w:tcBorders>
              <w:top w:val="single" w:sz="8" w:color="EAEAEA"/>
            </w:tcBorders>
          </w:tcPr>
          <w:p>
            <w:pPr>
              <w:spacing w:after="0" w:line="20" w:lineRule="exact"/>
              <w:rPr>
                <w:sz w:val="1"/>
                <w:szCs w:val="1"/>
                <w:color w:val="auto"/>
              </w:rPr>
            </w:pPr>
          </w:p>
        </w:tc>
        <w:tc>
          <w:tcPr>
            <w:tcW w:w="92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72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94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940" w:type="dxa"/>
            <w:vAlign w:val="bottom"/>
            <w:tcBorders>
              <w:top w:val="single" w:sz="8" w:color="EAEAEA"/>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145415</wp:posOffset>
            </wp:positionV>
            <wp:extent cx="57003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type w:val="continuous"/>
        </w:sect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GAAP net income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Noncash stock-based compensation</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570039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8" w:lineRule="exact"/>
        <w:rPr>
          <w:sz w:val="20"/>
          <w:szCs w:val="20"/>
          <w:color w:val="auto"/>
        </w:rPr>
      </w:pPr>
    </w:p>
    <w:p>
      <w:pPr>
        <w:ind w:left="520"/>
        <w:spacing w:after="0" w:line="211" w:lineRule="auto"/>
        <w:rPr>
          <w:sz w:val="20"/>
          <w:szCs w:val="20"/>
          <w:color w:val="auto"/>
        </w:rPr>
      </w:pPr>
      <w:r>
        <w:rPr>
          <w:rFonts w:ascii="Arial" w:cs="Arial" w:eastAsia="Arial" w:hAnsi="Arial"/>
          <w:sz w:val="16"/>
          <w:szCs w:val="16"/>
          <w:color w:val="auto"/>
        </w:rPr>
        <w:t>FICA and payroll tax expense related to stock-based compensation</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334" w:hanging="334"/>
        <w:spacing w:after="0"/>
        <w:tabs>
          <w:tab w:leader="none" w:pos="3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14,649   $   30,993   $   70,657   $   76,106</w:t>
      </w:r>
    </w:p>
    <w:p>
      <w:pPr>
        <w:spacing w:after="0" w:line="73" w:lineRule="exact"/>
        <w:rPr>
          <w:sz w:val="20"/>
          <w:szCs w:val="20"/>
          <w:color w:val="auto"/>
        </w:rPr>
      </w:pPr>
    </w:p>
    <w:p>
      <w:pPr>
        <w:ind w:left="334"/>
        <w:spacing w:after="0"/>
        <w:tabs>
          <w:tab w:leader="none" w:pos="1373" w:val="left"/>
          <w:tab w:leader="none" w:pos="2373" w:val="left"/>
          <w:tab w:leader="none" w:pos="3433" w:val="left"/>
        </w:tabs>
        <w:rPr>
          <w:sz w:val="20"/>
          <w:szCs w:val="20"/>
          <w:color w:val="auto"/>
        </w:rPr>
      </w:pPr>
      <w:r>
        <w:rPr>
          <w:rFonts w:ascii="Arial" w:cs="Arial" w:eastAsia="Arial" w:hAnsi="Arial"/>
          <w:sz w:val="16"/>
          <w:szCs w:val="16"/>
          <w:color w:val="auto"/>
        </w:rPr>
        <w:t>29,247</w:t>
      </w:r>
      <w:r>
        <w:rPr>
          <w:sz w:val="20"/>
          <w:szCs w:val="20"/>
          <w:color w:val="auto"/>
        </w:rPr>
        <w:tab/>
      </w:r>
      <w:r>
        <w:rPr>
          <w:rFonts w:ascii="Arial" w:cs="Arial" w:eastAsia="Arial" w:hAnsi="Arial"/>
          <w:sz w:val="16"/>
          <w:szCs w:val="16"/>
          <w:color w:val="auto"/>
        </w:rPr>
        <w:t>28,840</w:t>
      </w:r>
      <w:r>
        <w:rPr>
          <w:sz w:val="20"/>
          <w:szCs w:val="20"/>
          <w:color w:val="auto"/>
        </w:rPr>
        <w:tab/>
      </w:r>
      <w:r>
        <w:rPr>
          <w:rFonts w:ascii="Arial" w:cs="Arial" w:eastAsia="Arial" w:hAnsi="Arial"/>
          <w:sz w:val="16"/>
          <w:szCs w:val="16"/>
          <w:color w:val="auto"/>
        </w:rPr>
        <w:t>118,886</w:t>
      </w:r>
      <w:r>
        <w:rPr>
          <w:sz w:val="20"/>
          <w:szCs w:val="20"/>
          <w:color w:val="auto"/>
        </w:rPr>
        <w:tab/>
      </w:r>
      <w:r>
        <w:rPr>
          <w:rFonts w:ascii="Arial" w:cs="Arial" w:eastAsia="Arial" w:hAnsi="Arial"/>
          <w:sz w:val="16"/>
          <w:szCs w:val="16"/>
          <w:color w:val="auto"/>
        </w:rPr>
        <w:t>108,615</w:t>
      </w:r>
    </w:p>
    <w:p>
      <w:pPr>
        <w:spacing w:after="0" w:line="140" w:lineRule="exact"/>
        <w:rPr>
          <w:sz w:val="20"/>
          <w:szCs w:val="20"/>
          <w:color w:val="auto"/>
        </w:rPr>
      </w:pPr>
    </w:p>
    <w:p>
      <w:pPr>
        <w:jc w:val="both"/>
        <w:ind w:left="554"/>
        <w:spacing w:after="0"/>
        <w:tabs>
          <w:tab w:leader="none" w:pos="1473" w:val="left"/>
          <w:tab w:leader="none" w:pos="2533" w:val="left"/>
          <w:tab w:leader="none" w:pos="3613" w:val="left"/>
        </w:tabs>
        <w:rPr>
          <w:sz w:val="20"/>
          <w:szCs w:val="20"/>
          <w:color w:val="auto"/>
        </w:rPr>
      </w:pPr>
      <w:r>
        <w:rPr>
          <w:rFonts w:ascii="Arial" w:cs="Arial" w:eastAsia="Arial" w:hAnsi="Arial"/>
          <w:sz w:val="16"/>
          <w:szCs w:val="16"/>
          <w:color w:val="auto"/>
        </w:rPr>
        <w:t>691</w:t>
      </w:r>
      <w:r>
        <w:rPr>
          <w:sz w:val="20"/>
          <w:szCs w:val="20"/>
          <w:color w:val="auto"/>
        </w:rPr>
        <w:tab/>
      </w:r>
      <w:r>
        <w:rPr>
          <w:rFonts w:ascii="Arial" w:cs="Arial" w:eastAsia="Arial" w:hAnsi="Arial"/>
          <w:sz w:val="16"/>
          <w:szCs w:val="16"/>
          <w:color w:val="auto"/>
        </w:rPr>
        <w:t>1,767</w:t>
      </w:r>
      <w:r>
        <w:rPr>
          <w:sz w:val="20"/>
          <w:szCs w:val="20"/>
          <w:color w:val="auto"/>
        </w:rPr>
        <w:tab/>
      </w:r>
      <w:r>
        <w:rPr>
          <w:rFonts w:ascii="Arial" w:cs="Arial" w:eastAsia="Arial" w:hAnsi="Arial"/>
          <w:sz w:val="16"/>
          <w:szCs w:val="16"/>
          <w:color w:val="auto"/>
        </w:rPr>
        <w:t>4,140</w:t>
      </w:r>
      <w:r>
        <w:rPr>
          <w:sz w:val="20"/>
          <w:szCs w:val="20"/>
          <w:color w:val="auto"/>
        </w:rPr>
        <w:tab/>
      </w:r>
      <w:r>
        <w:rPr>
          <w:rFonts w:ascii="Arial" w:cs="Arial" w:eastAsia="Arial" w:hAnsi="Arial"/>
          <w:sz w:val="15"/>
          <w:szCs w:val="15"/>
          <w:color w:val="auto"/>
        </w:rPr>
        <w:t>5,459</w:t>
      </w:r>
    </w:p>
    <w:p>
      <w:pPr>
        <w:spacing w:after="0" w:line="126" w:lineRule="exact"/>
        <w:rPr>
          <w:sz w:val="20"/>
          <w:szCs w:val="20"/>
          <w:color w:val="auto"/>
        </w:rPr>
      </w:pPr>
    </w:p>
    <w:p>
      <w:pPr>
        <w:sectPr>
          <w:pgSz w:w="11900" w:h="16838" w:orient="portrait"/>
          <w:cols w:equalWidth="0" w:num="2">
            <w:col w:w="4280" w:space="586"/>
            <w:col w:w="4153"/>
          </w:cols>
          <w:pgMar w:left="1440" w:top="985" w:right="1440" w:bottom="1440" w:gutter="0" w:footer="0" w:header="0"/>
          <w:type w:val="continuous"/>
        </w:sectPr>
      </w:pPr>
    </w:p>
    <w:tbl>
      <w:tblPr>
        <w:tblLayout w:type="fixed"/>
        <w:tblInd w:w="20" w:type="dxa"/>
        <w:tblCellMar>
          <w:top w:w="0" w:type="dxa"/>
          <w:left w:w="0" w:type="dxa"/>
          <w:bottom w:w="0" w:type="dxa"/>
          <w:right w:w="0" w:type="dxa"/>
        </w:tblCellMar>
      </w:tblPr>
      <w:tr>
        <w:trPr>
          <w:trHeight w:val="244"/>
        </w:trPr>
        <w:tc>
          <w:tcPr>
            <w:tcW w:w="4840" w:type="dxa"/>
            <w:vAlign w:val="bottom"/>
          </w:tcPr>
          <w:p>
            <w:pPr>
              <w:ind w:left="500"/>
              <w:spacing w:after="0"/>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7</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18,603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32,154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10,026</w:t>
            </w:r>
          </w:p>
        </w:tc>
        <w:tc>
          <w:tcPr>
            <w:tcW w:w="0" w:type="dxa"/>
            <w:vAlign w:val="bottom"/>
          </w:tcPr>
          <w:p>
            <w:pPr>
              <w:spacing w:after="0"/>
              <w:rPr>
                <w:sz w:val="1"/>
                <w:szCs w:val="1"/>
                <w:color w:val="auto"/>
              </w:rPr>
            </w:pPr>
          </w:p>
        </w:tc>
      </w:tr>
      <w:tr>
        <w:trPr>
          <w:trHeight w:val="256"/>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Amortization of intangible assets</w:t>
            </w:r>
            <w:r>
              <w:rPr>
                <w:rFonts w:ascii="Arial" w:cs="Arial" w:eastAsia="Arial" w:hAnsi="Arial"/>
                <w:sz w:val="21"/>
                <w:szCs w:val="21"/>
                <w:color w:val="auto"/>
                <w:vertAlign w:val="superscript"/>
              </w:rPr>
              <w:t>8</w:t>
            </w:r>
          </w:p>
        </w:tc>
        <w:tc>
          <w:tcPr>
            <w:tcW w:w="2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1,256</w:t>
            </w:r>
          </w:p>
        </w:tc>
        <w:tc>
          <w:tcPr>
            <w:tcW w:w="140" w:type="dxa"/>
            <w:vAlign w:val="bottom"/>
            <w:shd w:val="clear" w:color="auto" w:fill="EAEAEA"/>
          </w:tcPr>
          <w:p>
            <w:pPr>
              <w:spacing w:after="0"/>
              <w:rPr>
                <w:sz w:val="22"/>
                <w:szCs w:val="22"/>
                <w:color w:val="auto"/>
              </w:rPr>
            </w:pPr>
          </w:p>
        </w:tc>
        <w:tc>
          <w:tcPr>
            <w:tcW w:w="200" w:type="dxa"/>
            <w:vAlign w:val="bottom"/>
            <w:shd w:val="clear" w:color="auto" w:fill="EAEAEA"/>
          </w:tcPr>
          <w:p>
            <w:pPr>
              <w:spacing w:after="0"/>
              <w:rPr>
                <w:sz w:val="22"/>
                <w:szCs w:val="22"/>
                <w:color w:val="auto"/>
              </w:rPr>
            </w:pPr>
          </w:p>
        </w:tc>
        <w:tc>
          <w:tcPr>
            <w:tcW w:w="7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4,722</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57"/>
        </w:trPr>
        <w:tc>
          <w:tcPr>
            <w:tcW w:w="4840" w:type="dxa"/>
            <w:vAlign w:val="bottom"/>
          </w:tcPr>
          <w:p>
            <w:pPr>
              <w:ind w:left="500"/>
              <w:spacing w:after="0"/>
              <w:rPr>
                <w:sz w:val="20"/>
                <w:szCs w:val="20"/>
                <w:color w:val="auto"/>
              </w:rPr>
            </w:pPr>
            <w:r>
              <w:rPr>
                <w:rFonts w:ascii="Arial" w:cs="Arial" w:eastAsia="Arial" w:hAnsi="Arial"/>
                <w:sz w:val="16"/>
                <w:szCs w:val="16"/>
                <w:color w:val="auto"/>
              </w:rPr>
              <w:t>Litigation settlement</w:t>
            </w:r>
            <w:r>
              <w:rPr>
                <w:rFonts w:ascii="Arial" w:cs="Arial" w:eastAsia="Arial" w:hAnsi="Arial"/>
                <w:sz w:val="21"/>
                <w:szCs w:val="21"/>
                <w:color w:val="auto"/>
                <w:vertAlign w:val="superscript"/>
              </w:rPr>
              <w:t>9</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57"/>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Business combination costs</w:t>
            </w:r>
            <w:r>
              <w:rPr>
                <w:rFonts w:ascii="Arial" w:cs="Arial" w:eastAsia="Arial" w:hAnsi="Arial"/>
                <w:sz w:val="21"/>
                <w:szCs w:val="21"/>
                <w:color w:val="auto"/>
                <w:vertAlign w:val="superscript"/>
              </w:rPr>
              <w:t>10</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22"/>
                <w:szCs w:val="22"/>
                <w:color w:val="auto"/>
              </w:rPr>
            </w:pPr>
          </w:p>
        </w:tc>
        <w:tc>
          <w:tcPr>
            <w:tcW w:w="7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1,902</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Change in contingent consideration</w:t>
            </w:r>
            <w:r>
              <w:rPr>
                <w:rFonts w:ascii="Arial" w:cs="Arial" w:eastAsia="Arial" w:hAnsi="Arial"/>
                <w:sz w:val="21"/>
                <w:szCs w:val="21"/>
                <w:color w:val="auto"/>
                <w:vertAlign w:val="superscript"/>
              </w:rPr>
              <w:t>11</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257"/>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Adjustment on headquarters sale leaseback</w:t>
            </w:r>
            <w:r>
              <w:rPr>
                <w:rFonts w:ascii="Arial" w:cs="Arial" w:eastAsia="Arial" w:hAnsi="Arial"/>
                <w:sz w:val="21"/>
                <w:szCs w:val="21"/>
                <w:color w:val="auto"/>
                <w:vertAlign w:val="superscript"/>
              </w:rPr>
              <w:t>12</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22"/>
                <w:szCs w:val="22"/>
                <w:color w:val="auto"/>
              </w:rPr>
            </w:pPr>
          </w:p>
        </w:tc>
        <w:tc>
          <w:tcPr>
            <w:tcW w:w="8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495</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Noncash impairment charges</w:t>
            </w:r>
            <w:r>
              <w:rPr>
                <w:rFonts w:ascii="Arial" w:cs="Arial" w:eastAsia="Arial" w:hAnsi="Arial"/>
                <w:sz w:val="21"/>
                <w:szCs w:val="21"/>
                <w:color w:val="auto"/>
                <w:vertAlign w:val="superscript"/>
              </w:rPr>
              <w:t>13</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57"/>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Other nonrecurring charges</w:t>
            </w:r>
            <w:r>
              <w:rPr>
                <w:rFonts w:ascii="Arial" w:cs="Arial" w:eastAsia="Arial" w:hAnsi="Arial"/>
                <w:sz w:val="21"/>
                <w:szCs w:val="21"/>
                <w:color w:val="auto"/>
                <w:vertAlign w:val="superscript"/>
              </w:rPr>
              <w:t>14</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22"/>
                <w:szCs w:val="22"/>
                <w:color w:val="auto"/>
              </w:rPr>
            </w:pPr>
          </w:p>
        </w:tc>
        <w:tc>
          <w:tcPr>
            <w:tcW w:w="8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1,805</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840" w:type="dxa"/>
            <w:vAlign w:val="bottom"/>
            <w:tcBorders>
              <w:bottom w:val="single" w:sz="8" w:color="EAEAEA"/>
            </w:tcBorders>
          </w:tcPr>
          <w:p>
            <w:pPr>
              <w:ind w:left="500"/>
              <w:spacing w:after="0"/>
              <w:rPr>
                <w:sz w:val="20"/>
                <w:szCs w:val="20"/>
                <w:color w:val="auto"/>
              </w:rPr>
            </w:pPr>
            <w:r>
              <w:rPr>
                <w:rFonts w:ascii="Arial" w:cs="Arial" w:eastAsia="Arial" w:hAnsi="Arial"/>
                <w:sz w:val="16"/>
                <w:szCs w:val="16"/>
                <w:color w:val="auto"/>
              </w:rPr>
              <w:t>Non-GAAP provision for income taxes adjustment</w:t>
            </w:r>
            <w:r>
              <w:rPr>
                <w:rFonts w:ascii="Arial" w:cs="Arial" w:eastAsia="Arial" w:hAnsi="Arial"/>
                <w:sz w:val="21"/>
                <w:szCs w:val="21"/>
                <w:color w:val="auto"/>
                <w:vertAlign w:val="superscript"/>
              </w:rPr>
              <w:t>15</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(9,031)</w:t>
            </w:r>
          </w:p>
        </w:tc>
        <w:tc>
          <w:tcPr>
            <w:tcW w:w="140" w:type="dxa"/>
            <w:vAlign w:val="bottom"/>
            <w:tcBorders>
              <w:bottom w:val="single" w:sz="8" w:color="EAEAEA"/>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(39,897)</w:t>
            </w:r>
          </w:p>
        </w:tc>
        <w:tc>
          <w:tcPr>
            <w:tcW w:w="14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(47,143)</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EAEAEA"/>
            </w:tcBorders>
            <w:shd w:val="clear" w:color="auto" w:fill="EAEAEA"/>
          </w:tcPr>
          <w:p>
            <w:pPr>
              <w:ind w:left="180"/>
              <w:spacing w:after="0"/>
              <w:rPr>
                <w:sz w:val="20"/>
                <w:szCs w:val="20"/>
                <w:color w:val="auto"/>
              </w:rPr>
            </w:pPr>
            <w:r>
              <w:rPr>
                <w:rFonts w:ascii="Arial" w:cs="Arial" w:eastAsia="Arial" w:hAnsi="Arial"/>
                <w:sz w:val="16"/>
                <w:szCs w:val="16"/>
                <w:b w:val="1"/>
                <w:bCs w:val="1"/>
                <w:color w:val="auto"/>
              </w:rPr>
              <w:t>Non-GAAP net income</w:t>
            </w:r>
          </w:p>
        </w:tc>
        <w:tc>
          <w:tcPr>
            <w:tcW w:w="22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55,415</w:t>
            </w:r>
          </w:p>
        </w:tc>
        <w:tc>
          <w:tcPr>
            <w:tcW w:w="14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46,363</w:t>
            </w:r>
          </w:p>
        </w:tc>
        <w:tc>
          <w:tcPr>
            <w:tcW w:w="1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194,319</w:t>
            </w:r>
          </w:p>
        </w:tc>
        <w:tc>
          <w:tcPr>
            <w:tcW w:w="14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164,954</w:t>
            </w:r>
          </w:p>
        </w:tc>
        <w:tc>
          <w:tcPr>
            <w:tcW w:w="0" w:type="dxa"/>
            <w:vAlign w:val="bottom"/>
          </w:tcPr>
          <w:p>
            <w:pPr>
              <w:spacing w:after="0"/>
              <w:rPr>
                <w:sz w:val="1"/>
                <w:szCs w:val="1"/>
                <w:color w:val="auto"/>
              </w:rPr>
            </w:pPr>
          </w:p>
        </w:tc>
      </w:tr>
      <w:tr>
        <w:trPr>
          <w:trHeight w:val="20"/>
        </w:trPr>
        <w:tc>
          <w:tcPr>
            <w:tcW w:w="484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7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76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76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40" w:type="dxa"/>
            <w:vAlign w:val="bottom"/>
            <w:tcBorders>
              <w:bottom w:val="single" w:sz="8" w:color="EAEAEA"/>
            </w:tcBorders>
            <w:shd w:val="clear" w:color="auto" w:fill="EAEAEA"/>
          </w:tcPr>
          <w:p>
            <w:pPr>
              <w:ind w:left="180"/>
              <w:spacing w:after="0"/>
              <w:rPr>
                <w:sz w:val="20"/>
                <w:szCs w:val="20"/>
                <w:color w:val="auto"/>
              </w:rPr>
            </w:pPr>
            <w:r>
              <w:rPr>
                <w:rFonts w:ascii="Arial" w:cs="Arial" w:eastAsia="Arial" w:hAnsi="Arial"/>
                <w:sz w:val="16"/>
                <w:szCs w:val="16"/>
                <w:color w:val="auto"/>
              </w:rPr>
              <w:t>GAAP diluted earnings per share</w:t>
            </w:r>
          </w:p>
        </w:tc>
        <w:tc>
          <w:tcPr>
            <w:tcW w:w="220" w:type="dxa"/>
            <w:vAlign w:val="bottom"/>
            <w:tcBorders>
              <w:bottom w:val="single" w:sz="8" w:color="EAEAEA"/>
            </w:tcBorders>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Noncash stock-based compensation</w:t>
            </w:r>
            <w:r>
              <w:rPr>
                <w:rFonts w:ascii="Arial" w:cs="Arial" w:eastAsia="Arial" w:hAnsi="Arial"/>
                <w:sz w:val="21"/>
                <w:szCs w:val="21"/>
                <w:color w:val="auto"/>
                <w:vertAlign w:val="superscript"/>
              </w:rPr>
              <w:t>5</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62"/>
        </w:trPr>
        <w:tc>
          <w:tcPr>
            <w:tcW w:w="4840" w:type="dxa"/>
            <w:vAlign w:val="bottom"/>
            <w:shd w:val="clear" w:color="auto" w:fill="EAEAEA"/>
          </w:tcPr>
          <w:p>
            <w:pPr>
              <w:ind w:left="500"/>
              <w:spacing w:after="0" w:line="162" w:lineRule="exact"/>
              <w:rPr>
                <w:sz w:val="20"/>
                <w:szCs w:val="20"/>
                <w:color w:val="auto"/>
              </w:rPr>
            </w:pPr>
            <w:r>
              <w:rPr>
                <w:rFonts w:ascii="Arial" w:cs="Arial" w:eastAsia="Arial" w:hAnsi="Arial"/>
                <w:sz w:val="16"/>
                <w:szCs w:val="16"/>
                <w:color w:val="auto"/>
              </w:rPr>
              <w:t>FICA and payroll tax expense related to stock-based</w:t>
            </w:r>
          </w:p>
        </w:tc>
        <w:tc>
          <w:tcPr>
            <w:tcW w:w="220" w:type="dxa"/>
            <w:vAlign w:val="bottom"/>
            <w:shd w:val="clear" w:color="auto" w:fill="EAEAEA"/>
          </w:tcPr>
          <w:p>
            <w:pPr>
              <w:spacing w:after="0"/>
              <w:rPr>
                <w:sz w:val="14"/>
                <w:szCs w:val="14"/>
                <w:color w:val="auto"/>
              </w:rPr>
            </w:pPr>
          </w:p>
        </w:tc>
        <w:tc>
          <w:tcPr>
            <w:tcW w:w="7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EAEAEA"/>
          </w:tcPr>
          <w:p>
            <w:pPr>
              <w:spacing w:after="0"/>
              <w:rPr>
                <w:sz w:val="14"/>
                <w:szCs w:val="14"/>
                <w:color w:val="auto"/>
              </w:rPr>
            </w:pPr>
          </w:p>
        </w:tc>
        <w:tc>
          <w:tcPr>
            <w:tcW w:w="200" w:type="dxa"/>
            <w:vAlign w:val="bottom"/>
            <w:shd w:val="clear" w:color="auto" w:fill="EAEAEA"/>
          </w:tcPr>
          <w:p>
            <w:pPr>
              <w:spacing w:after="0"/>
              <w:rPr>
                <w:sz w:val="14"/>
                <w:szCs w:val="14"/>
                <w:color w:val="auto"/>
              </w:rPr>
            </w:pPr>
          </w:p>
        </w:tc>
        <w:tc>
          <w:tcPr>
            <w:tcW w:w="74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7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760" w:type="dxa"/>
            <w:vAlign w:val="bottom"/>
            <w:vMerge w:val="restart"/>
            <w:shd w:val="clear" w:color="auto" w:fill="EAEAEA"/>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6"/>
        </w:trPr>
        <w:tc>
          <w:tcPr>
            <w:tcW w:w="4840" w:type="dxa"/>
            <w:vAlign w:val="bottom"/>
            <w:shd w:val="clear" w:color="auto" w:fill="EAEAEA"/>
          </w:tcPr>
          <w:p>
            <w:pPr>
              <w:ind w:left="500"/>
              <w:spacing w:after="0" w:line="216" w:lineRule="exact"/>
              <w:rPr>
                <w:sz w:val="20"/>
                <w:szCs w:val="20"/>
                <w:color w:val="auto"/>
              </w:rPr>
            </w:pPr>
            <w:r>
              <w:rPr>
                <w:rFonts w:ascii="Arial" w:cs="Arial" w:eastAsia="Arial" w:hAnsi="Arial"/>
                <w:sz w:val="16"/>
                <w:szCs w:val="16"/>
                <w:color w:val="auto"/>
              </w:rPr>
              <w:t>compensation</w:t>
            </w:r>
            <w:r>
              <w:rPr>
                <w:rFonts w:ascii="Arial" w:cs="Arial" w:eastAsia="Arial" w:hAnsi="Arial"/>
                <w:sz w:val="21"/>
                <w:szCs w:val="21"/>
                <w:color w:val="auto"/>
                <w:vertAlign w:val="superscript"/>
              </w:rPr>
              <w:t>6</w:t>
            </w:r>
          </w:p>
        </w:tc>
        <w:tc>
          <w:tcPr>
            <w:tcW w:w="220" w:type="dxa"/>
            <w:vAlign w:val="bottom"/>
            <w:shd w:val="clear" w:color="auto" w:fill="EAEAEA"/>
          </w:tcPr>
          <w:p>
            <w:pPr>
              <w:spacing w:after="0"/>
              <w:rPr>
                <w:sz w:val="18"/>
                <w:szCs w:val="18"/>
                <w:color w:val="auto"/>
              </w:rPr>
            </w:pPr>
          </w:p>
        </w:tc>
        <w:tc>
          <w:tcPr>
            <w:tcW w:w="700" w:type="dxa"/>
            <w:vAlign w:val="bottom"/>
            <w:vMerge w:val="continue"/>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74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760" w:type="dxa"/>
            <w:vAlign w:val="bottom"/>
            <w:vMerge w:val="continue"/>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76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Restructuring</w:t>
            </w:r>
            <w:r>
              <w:rPr>
                <w:rFonts w:ascii="Arial" w:cs="Arial" w:eastAsia="Arial" w:hAnsi="Arial"/>
                <w:sz w:val="21"/>
                <w:szCs w:val="21"/>
                <w:color w:val="auto"/>
                <w:vertAlign w:val="superscript"/>
              </w:rPr>
              <w:t>7</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0.72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57"/>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Amortization of intangible assets</w:t>
            </w:r>
            <w:r>
              <w:rPr>
                <w:rFonts w:ascii="Arial" w:cs="Arial" w:eastAsia="Arial" w:hAnsi="Arial"/>
                <w:sz w:val="21"/>
                <w:szCs w:val="21"/>
                <w:color w:val="auto"/>
                <w:vertAlign w:val="superscript"/>
              </w:rPr>
              <w:t>8</w:t>
            </w:r>
          </w:p>
        </w:tc>
        <w:tc>
          <w:tcPr>
            <w:tcW w:w="220" w:type="dxa"/>
            <w:vAlign w:val="bottom"/>
            <w:shd w:val="clear" w:color="auto" w:fill="EAEAEA"/>
          </w:tcPr>
          <w:p>
            <w:pPr>
              <w:spacing w:after="0"/>
              <w:rPr>
                <w:sz w:val="22"/>
                <w:szCs w:val="22"/>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EAEAEA"/>
          </w:tcPr>
          <w:p>
            <w:pPr>
              <w:spacing w:after="0"/>
              <w:rPr>
                <w:sz w:val="22"/>
                <w:szCs w:val="22"/>
                <w:color w:val="auto"/>
              </w:rPr>
            </w:pPr>
          </w:p>
        </w:tc>
        <w:tc>
          <w:tcPr>
            <w:tcW w:w="200" w:type="dxa"/>
            <w:vAlign w:val="bottom"/>
            <w:shd w:val="clear" w:color="auto" w:fill="EAEAEA"/>
          </w:tcPr>
          <w:p>
            <w:pPr>
              <w:spacing w:after="0"/>
              <w:rPr>
                <w:sz w:val="22"/>
                <w:szCs w:val="22"/>
                <w:color w:val="auto"/>
              </w:rPr>
            </w:pPr>
          </w:p>
        </w:tc>
        <w:tc>
          <w:tcPr>
            <w:tcW w:w="74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0.11</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Litigation settlement</w:t>
            </w:r>
            <w:r>
              <w:rPr>
                <w:rFonts w:ascii="Arial" w:cs="Arial" w:eastAsia="Arial" w:hAnsi="Arial"/>
                <w:sz w:val="21"/>
                <w:szCs w:val="21"/>
                <w:color w:val="auto"/>
                <w:vertAlign w:val="superscript"/>
              </w:rPr>
              <w:t>9</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56"/>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Business combination costs</w:t>
            </w:r>
            <w:r>
              <w:rPr>
                <w:rFonts w:ascii="Arial" w:cs="Arial" w:eastAsia="Arial" w:hAnsi="Arial"/>
                <w:sz w:val="21"/>
                <w:szCs w:val="21"/>
                <w:color w:val="auto"/>
                <w:vertAlign w:val="superscript"/>
              </w:rPr>
              <w:t>10</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22"/>
                <w:szCs w:val="22"/>
                <w:color w:val="auto"/>
              </w:rPr>
            </w:pPr>
          </w:p>
        </w:tc>
        <w:tc>
          <w:tcPr>
            <w:tcW w:w="8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Change in contingent consideration</w:t>
            </w:r>
            <w:r>
              <w:rPr>
                <w:rFonts w:ascii="Arial" w:cs="Arial" w:eastAsia="Arial" w:hAnsi="Arial"/>
                <w:sz w:val="21"/>
                <w:szCs w:val="21"/>
                <w:color w:val="auto"/>
                <w:vertAlign w:val="superscript"/>
              </w:rPr>
              <w:t>11</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56"/>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Adjustment on headquarters sale leaseback</w:t>
            </w:r>
            <w:r>
              <w:rPr>
                <w:rFonts w:ascii="Arial" w:cs="Arial" w:eastAsia="Arial" w:hAnsi="Arial"/>
                <w:sz w:val="21"/>
                <w:szCs w:val="21"/>
                <w:color w:val="auto"/>
                <w:vertAlign w:val="superscript"/>
              </w:rPr>
              <w:t>12</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22"/>
                <w:szCs w:val="22"/>
                <w:color w:val="auto"/>
              </w:rPr>
            </w:pPr>
          </w:p>
        </w:tc>
        <w:tc>
          <w:tcPr>
            <w:tcW w:w="8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840" w:type="dxa"/>
            <w:vAlign w:val="bottom"/>
          </w:tcPr>
          <w:p>
            <w:pPr>
              <w:ind w:left="500"/>
              <w:spacing w:after="0"/>
              <w:rPr>
                <w:sz w:val="20"/>
                <w:szCs w:val="20"/>
                <w:color w:val="auto"/>
              </w:rPr>
            </w:pPr>
            <w:r>
              <w:rPr>
                <w:rFonts w:ascii="Arial" w:cs="Arial" w:eastAsia="Arial" w:hAnsi="Arial"/>
                <w:sz w:val="16"/>
                <w:szCs w:val="16"/>
                <w:color w:val="auto"/>
              </w:rPr>
              <w:t>Noncash impairment charges</w:t>
            </w:r>
            <w:r>
              <w:rPr>
                <w:rFonts w:ascii="Arial" w:cs="Arial" w:eastAsia="Arial" w:hAnsi="Arial"/>
                <w:sz w:val="21"/>
                <w:szCs w:val="21"/>
                <w:color w:val="auto"/>
                <w:vertAlign w:val="superscript"/>
              </w:rPr>
              <w:t>13</w:t>
            </w:r>
          </w:p>
        </w:tc>
        <w:tc>
          <w:tcPr>
            <w:tcW w:w="2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56"/>
        </w:trPr>
        <w:tc>
          <w:tcPr>
            <w:tcW w:w="4840" w:type="dxa"/>
            <w:vAlign w:val="bottom"/>
            <w:shd w:val="clear" w:color="auto" w:fill="EAEAEA"/>
          </w:tcPr>
          <w:p>
            <w:pPr>
              <w:ind w:left="500"/>
              <w:spacing w:after="0"/>
              <w:rPr>
                <w:sz w:val="20"/>
                <w:szCs w:val="20"/>
                <w:color w:val="auto"/>
              </w:rPr>
            </w:pPr>
            <w:r>
              <w:rPr>
                <w:rFonts w:ascii="Arial" w:cs="Arial" w:eastAsia="Arial" w:hAnsi="Arial"/>
                <w:sz w:val="16"/>
                <w:szCs w:val="16"/>
                <w:color w:val="auto"/>
              </w:rPr>
              <w:t>Other nonrecurring charges</w:t>
            </w:r>
            <w:r>
              <w:rPr>
                <w:rFonts w:ascii="Arial" w:cs="Arial" w:eastAsia="Arial" w:hAnsi="Arial"/>
                <w:sz w:val="21"/>
                <w:szCs w:val="21"/>
                <w:color w:val="auto"/>
                <w:vertAlign w:val="superscript"/>
              </w:rPr>
              <w:t>14</w:t>
            </w:r>
          </w:p>
        </w:tc>
        <w:tc>
          <w:tcPr>
            <w:tcW w:w="220" w:type="dxa"/>
            <w:vAlign w:val="bottom"/>
            <w:shd w:val="clear" w:color="auto" w:fill="EAEAEA"/>
          </w:tcPr>
          <w:p>
            <w:pPr>
              <w:spacing w:after="0"/>
              <w:rPr>
                <w:sz w:val="22"/>
                <w:szCs w:val="22"/>
                <w:color w:val="auto"/>
              </w:rPr>
            </w:pPr>
          </w:p>
        </w:tc>
        <w:tc>
          <w:tcPr>
            <w:tcW w:w="84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22"/>
                <w:szCs w:val="22"/>
                <w:color w:val="auto"/>
              </w:rPr>
            </w:pPr>
          </w:p>
        </w:tc>
        <w:tc>
          <w:tcPr>
            <w:tcW w:w="860" w:type="dxa"/>
            <w:vAlign w:val="bottom"/>
            <w:gridSpan w:val="2"/>
            <w:shd w:val="clear" w:color="auto" w:fill="EAEAEA"/>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76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840" w:type="dxa"/>
            <w:vAlign w:val="bottom"/>
            <w:tcBorders>
              <w:bottom w:val="single" w:sz="8" w:color="EAEAEA"/>
            </w:tcBorders>
          </w:tcPr>
          <w:p>
            <w:pPr>
              <w:ind w:left="500"/>
              <w:spacing w:after="0"/>
              <w:rPr>
                <w:sz w:val="20"/>
                <w:szCs w:val="20"/>
                <w:color w:val="auto"/>
              </w:rPr>
            </w:pPr>
            <w:r>
              <w:rPr>
                <w:rFonts w:ascii="Arial" w:cs="Arial" w:eastAsia="Arial" w:hAnsi="Arial"/>
                <w:sz w:val="16"/>
                <w:szCs w:val="16"/>
                <w:color w:val="auto"/>
              </w:rPr>
              <w:t>Non-GAAP provision for income taxes adjustment</w:t>
            </w:r>
            <w:r>
              <w:rPr>
                <w:rFonts w:ascii="Arial" w:cs="Arial" w:eastAsia="Arial" w:hAnsi="Arial"/>
                <w:sz w:val="21"/>
                <w:szCs w:val="21"/>
                <w:color w:val="auto"/>
                <w:vertAlign w:val="superscript"/>
              </w:rPr>
              <w:t>15</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40" w:type="dxa"/>
            <w:vAlign w:val="bottom"/>
            <w:tcBorders>
              <w:bottom w:val="single" w:sz="8" w:color="EAEAEA"/>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40" w:type="dxa"/>
            <w:vAlign w:val="bottom"/>
            <w:tcBorders>
              <w:bottom w:val="single" w:sz="8" w:color="EAEAEA"/>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EAEAEA"/>
            </w:tcBorders>
            <w:shd w:val="clear" w:color="auto" w:fill="EAEAEA"/>
          </w:tcPr>
          <w:p>
            <w:pPr>
              <w:ind w:left="180"/>
              <w:spacing w:after="0"/>
              <w:rPr>
                <w:sz w:val="20"/>
                <w:szCs w:val="20"/>
                <w:color w:val="auto"/>
              </w:rPr>
            </w:pPr>
            <w:r>
              <w:rPr>
                <w:rFonts w:ascii="Arial" w:cs="Arial" w:eastAsia="Arial" w:hAnsi="Arial"/>
                <w:sz w:val="16"/>
                <w:szCs w:val="16"/>
                <w:b w:val="1"/>
                <w:bCs w:val="1"/>
                <w:color w:val="auto"/>
              </w:rPr>
              <w:t>Non-GAAP diluted earnings per share</w:t>
            </w:r>
          </w:p>
        </w:tc>
        <w:tc>
          <w:tcPr>
            <w:tcW w:w="22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1.28</w:t>
            </w:r>
          </w:p>
        </w:tc>
        <w:tc>
          <w:tcPr>
            <w:tcW w:w="14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1.03</w:t>
            </w:r>
          </w:p>
        </w:tc>
        <w:tc>
          <w:tcPr>
            <w:tcW w:w="12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4.35</w:t>
            </w:r>
          </w:p>
        </w:tc>
        <w:tc>
          <w:tcPr>
            <w:tcW w:w="14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3.65</w:t>
            </w:r>
          </w:p>
        </w:tc>
        <w:tc>
          <w:tcPr>
            <w:tcW w:w="0" w:type="dxa"/>
            <w:vAlign w:val="bottom"/>
          </w:tcPr>
          <w:p>
            <w:pPr>
              <w:spacing w:after="0"/>
              <w:rPr>
                <w:sz w:val="1"/>
                <w:szCs w:val="1"/>
                <w:color w:val="auto"/>
              </w:rPr>
            </w:pPr>
          </w:p>
        </w:tc>
      </w:tr>
      <w:tr>
        <w:trPr>
          <w:trHeight w:val="20"/>
        </w:trPr>
        <w:tc>
          <w:tcPr>
            <w:tcW w:w="4840" w:type="dxa"/>
            <w:vAlign w:val="bottom"/>
            <w:tcBorders>
              <w:top w:val="single" w:sz="8" w:color="EAEAEA"/>
              <w:bottom w:val="single" w:sz="8" w:color="EAEAEA"/>
            </w:tcBorders>
            <w:vMerge w:val="restart"/>
          </w:tcPr>
          <w:p>
            <w:pPr>
              <w:ind w:left="180"/>
              <w:spacing w:after="0"/>
              <w:rPr>
                <w:sz w:val="20"/>
                <w:szCs w:val="20"/>
                <w:color w:val="auto"/>
              </w:rPr>
            </w:pPr>
            <w:r>
              <w:rPr>
                <w:rFonts w:ascii="Arial" w:cs="Arial" w:eastAsia="Arial" w:hAnsi="Arial"/>
                <w:sz w:val="16"/>
                <w:szCs w:val="16"/>
                <w:b w:val="1"/>
                <w:bCs w:val="1"/>
                <w:color w:val="auto"/>
              </w:rPr>
              <w:t>GAAP diluted weighted average shares outstanding</w:t>
            </w: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7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76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76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43,263</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45,158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44,654</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45,187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98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019"/>
          </w:cols>
          <w:pgMar w:left="1440" w:top="985" w:right="1440"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gross margin reconciliation: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GAAP gross margin</w:t>
      </w:r>
    </w:p>
    <w:p>
      <w:pPr>
        <w:spacing w:after="0" w:line="59" w:lineRule="exact"/>
        <w:rPr>
          <w:sz w:val="20"/>
          <w:szCs w:val="20"/>
          <w:color w:val="auto"/>
        </w:rPr>
      </w:pPr>
    </w:p>
    <w:p>
      <w:pPr>
        <w:ind w:left="480" w:right="260"/>
        <w:spacing w:after="0" w:line="251" w:lineRule="auto"/>
        <w:rPr>
          <w:sz w:val="20"/>
          <w:szCs w:val="20"/>
          <w:color w:val="auto"/>
        </w:rPr>
      </w:pPr>
      <w:r>
        <w:rPr>
          <w:rFonts w:ascii="Arial" w:cs="Arial" w:eastAsia="Arial" w:hAnsi="Arial"/>
          <w:sz w:val="16"/>
          <w:szCs w:val="16"/>
          <w:color w:val="auto"/>
        </w:rPr>
        <w:t>Cost of revenues related to noncash stock-based compensation</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Non-GAAP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free cash flow reconciliation: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GAAP cash provided by operating activities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Purchase of property and equipment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Non-GAAP free cash flow</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10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Year Ended</w:t>
            </w:r>
          </w:p>
        </w:tc>
      </w:tr>
      <w:tr>
        <w:trPr>
          <w:trHeight w:val="216"/>
        </w:trPr>
        <w:tc>
          <w:tcPr>
            <w:tcW w:w="40" w:type="dxa"/>
            <w:vAlign w:val="bottom"/>
          </w:tcPr>
          <w:p>
            <w:pPr>
              <w:spacing w:after="0"/>
              <w:rPr>
                <w:sz w:val="18"/>
                <w:szCs w:val="18"/>
                <w:color w:val="auto"/>
              </w:rPr>
            </w:pPr>
          </w:p>
        </w:tc>
        <w:tc>
          <w:tcPr>
            <w:tcW w:w="210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rPr>
              <w:t>March 31,</w:t>
            </w:r>
          </w:p>
        </w:tc>
        <w:tc>
          <w:tcPr>
            <w:tcW w:w="200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March 31,</w:t>
            </w:r>
          </w:p>
        </w:tc>
      </w:tr>
      <w:tr>
        <w:trPr>
          <w:trHeight w:val="250"/>
        </w:trPr>
        <w:tc>
          <w:tcPr>
            <w:tcW w:w="4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r>
      <w:tr>
        <w:trPr>
          <w:trHeight w:val="491"/>
        </w:trPr>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324"/>
        </w:trPr>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83"/>
        </w:trPr>
        <w:tc>
          <w:tcPr>
            <w:tcW w:w="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220"/>
        </w:trPr>
        <w:tc>
          <w:tcPr>
            <w:tcW w:w="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81.8%</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82.6%</w:t>
            </w:r>
          </w:p>
        </w:tc>
      </w:tr>
      <w:tr>
        <w:trPr>
          <w:trHeight w:val="24"/>
        </w:trPr>
        <w:tc>
          <w:tcPr>
            <w:tcW w:w="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95"/>
        </w:trPr>
        <w:tc>
          <w:tcPr>
            <w:tcW w:w="40" w:type="dxa"/>
            <w:vAlign w:val="bottom"/>
          </w:tcPr>
          <w:p>
            <w:pPr>
              <w:spacing w:after="0"/>
              <w:rPr>
                <w:sz w:val="24"/>
                <w:szCs w:val="24"/>
                <w:color w:val="auto"/>
              </w:rPr>
            </w:pPr>
          </w:p>
        </w:tc>
        <w:tc>
          <w:tcPr>
            <w:tcW w:w="210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Year Ended</w:t>
            </w:r>
          </w:p>
        </w:tc>
      </w:tr>
      <w:tr>
        <w:trPr>
          <w:trHeight w:val="216"/>
        </w:trPr>
        <w:tc>
          <w:tcPr>
            <w:tcW w:w="40" w:type="dxa"/>
            <w:vAlign w:val="bottom"/>
          </w:tcPr>
          <w:p>
            <w:pPr>
              <w:spacing w:after="0"/>
              <w:rPr>
                <w:sz w:val="18"/>
                <w:szCs w:val="18"/>
                <w:color w:val="auto"/>
              </w:rPr>
            </w:pPr>
          </w:p>
        </w:tc>
        <w:tc>
          <w:tcPr>
            <w:tcW w:w="210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rPr>
              <w:t>March 31,</w:t>
            </w:r>
          </w:p>
        </w:tc>
        <w:tc>
          <w:tcPr>
            <w:tcW w:w="200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March 31,</w:t>
            </w:r>
          </w:p>
        </w:tc>
      </w:tr>
      <w:tr>
        <w:trPr>
          <w:trHeight w:val="250"/>
        </w:trPr>
        <w:tc>
          <w:tcPr>
            <w:tcW w:w="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-1534160</wp:posOffset>
            </wp:positionV>
            <wp:extent cx="58032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03265" cy="17145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-1191260</wp:posOffset>
            </wp:positionV>
            <wp:extent cx="580326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03265" cy="24003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-7620</wp:posOffset>
            </wp:positionV>
            <wp:extent cx="58032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03265" cy="171450"/>
                    </a:xfrm>
                    <a:prstGeom prst="rect">
                      <a:avLst/>
                    </a:prstGeom>
                    <a:noFill/>
                  </pic:spPr>
                </pic:pic>
              </a:graphicData>
            </a:graphic>
          </wp:anchor>
        </w:drawing>
      </w:r>
    </w:p>
    <w:p>
      <w:pPr>
        <w:spacing w:after="0" w:line="263" w:lineRule="exact"/>
        <w:rPr>
          <w:sz w:val="20"/>
          <w:szCs w:val="20"/>
          <w:color w:val="auto"/>
        </w:rPr>
      </w:pPr>
    </w:p>
    <w:p>
      <w:pPr>
        <w:ind w:left="280" w:hanging="259"/>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132,185   $   76,955   $  244,680   $  207,382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38100</wp:posOffset>
            </wp:positionV>
            <wp:extent cx="580326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03265" cy="171450"/>
                    </a:xfrm>
                    <a:prstGeom prst="rect">
                      <a:avLst/>
                    </a:prstGeom>
                    <a:noFill/>
                  </pic:spPr>
                </pic:pic>
              </a:graphicData>
            </a:graphic>
          </wp:anchor>
        </w:drawing>
      </w:r>
    </w:p>
    <w:p>
      <w:pPr>
        <w:spacing w:after="0" w:line="66" w:lineRule="exact"/>
        <w:rPr>
          <w:sz w:val="20"/>
          <w:szCs w:val="20"/>
          <w:color w:val="auto"/>
        </w:rPr>
      </w:pPr>
    </w:p>
    <w:p>
      <w:pPr>
        <w:ind w:left="520"/>
        <w:spacing w:after="0"/>
        <w:tabs>
          <w:tab w:leader="none" w:pos="1560" w:val="left"/>
          <w:tab w:leader="none" w:pos="2500" w:val="left"/>
          <w:tab w:leader="none" w:pos="3560" w:val="left"/>
        </w:tabs>
        <w:rPr>
          <w:sz w:val="20"/>
          <w:szCs w:val="20"/>
          <w:color w:val="auto"/>
        </w:rPr>
      </w:pPr>
      <w:r>
        <w:rPr>
          <w:rFonts w:ascii="Arial" w:cs="Arial" w:eastAsia="Arial" w:hAnsi="Arial"/>
          <w:sz w:val="16"/>
          <w:szCs w:val="16"/>
          <w:color w:val="auto"/>
        </w:rPr>
        <w:t>(344)</w:t>
      </w:r>
      <w:r>
        <w:rPr>
          <w:sz w:val="20"/>
          <w:szCs w:val="20"/>
          <w:color w:val="auto"/>
        </w:rPr>
        <w:tab/>
      </w:r>
      <w:r>
        <w:rPr>
          <w:rFonts w:ascii="Arial" w:cs="Arial" w:eastAsia="Arial" w:hAnsi="Arial"/>
          <w:sz w:val="16"/>
          <w:szCs w:val="16"/>
          <w:color w:val="auto"/>
        </w:rPr>
        <w:t>(783)</w:t>
      </w:r>
      <w:r>
        <w:rPr>
          <w:sz w:val="20"/>
          <w:szCs w:val="20"/>
          <w:color w:val="auto"/>
        </w:rPr>
        <w:tab/>
      </w:r>
      <w:r>
        <w:rPr>
          <w:rFonts w:ascii="Arial" w:cs="Arial" w:eastAsia="Arial" w:hAnsi="Arial"/>
          <w:sz w:val="16"/>
          <w:szCs w:val="16"/>
          <w:color w:val="auto"/>
        </w:rPr>
        <w:t>(7,529)</w:t>
      </w:r>
      <w:r>
        <w:rPr>
          <w:sz w:val="20"/>
          <w:szCs w:val="20"/>
          <w:color w:val="auto"/>
        </w:rPr>
        <w:tab/>
      </w:r>
      <w:r>
        <w:rPr>
          <w:rFonts w:ascii="Arial" w:cs="Arial" w:eastAsia="Arial" w:hAnsi="Arial"/>
          <w:sz w:val="16"/>
          <w:szCs w:val="16"/>
          <w:color w:val="auto"/>
        </w:rPr>
        <w:t>(3,756)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26231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260" w:val="left"/>
          <w:tab w:leader="none" w:pos="1060" w:val="left"/>
          <w:tab w:leader="none" w:pos="1400" w:val="left"/>
          <w:tab w:leader="none" w:pos="2120" w:val="left"/>
          <w:tab w:leader="none" w:pos="2380" w:val="left"/>
          <w:tab w:leader="none" w:pos="3180" w:val="left"/>
          <w:tab w:leader="none" w:pos="3440" w:val="left"/>
        </w:tabs>
        <w:rPr>
          <w:sz w:val="20"/>
          <w:szCs w:val="20"/>
          <w:color w:val="auto"/>
        </w:rPr>
      </w:pPr>
      <w:r>
        <w:rPr>
          <w:rFonts w:ascii="Arial" w:cs="Arial" w:eastAsia="Arial" w:hAnsi="Arial"/>
          <w:sz w:val="16"/>
          <w:szCs w:val="16"/>
          <w:b w:val="1"/>
          <w:bCs w:val="1"/>
          <w:color w:val="auto"/>
        </w:rPr>
        <w:t>$</w:t>
        <w:tab/>
        <w:t>131,841</w:t>
        <w:tab/>
        <w:t>$</w:t>
        <w:tab/>
        <w:t>76,172</w:t>
        <w:tab/>
        <w:t>$</w:t>
        <w:tab/>
        <w:t>237,151</w:t>
        <w:tab/>
        <w:t>$</w:t>
        <w:tab/>
        <w:t>203,626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262318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23185" cy="342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260" w:space="720"/>
            <w:col w:w="4140"/>
          </w:cols>
          <w:pgMar w:left="1400" w:top="144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120"/>
          </w:cols>
          <w:pgMar w:left="1400" w:top="1440" w:right="1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12" w:lineRule="exact"/>
        <w:rPr>
          <w:sz w:val="20"/>
          <w:szCs w:val="20"/>
          <w:color w:val="auto"/>
        </w:rPr>
      </w:pPr>
    </w:p>
    <w:p>
      <w:pPr>
        <w:jc w:val="both"/>
        <w:spacing w:after="0" w:line="367" w:lineRule="auto"/>
        <w:rPr>
          <w:sz w:val="20"/>
          <w:szCs w:val="20"/>
          <w:color w:val="auto"/>
        </w:rPr>
      </w:pPr>
      <w:r>
        <w:rPr>
          <w:rFonts w:ascii="Arial" w:cs="Arial" w:eastAsia="Arial" w:hAnsi="Arial"/>
          <w:sz w:val="18"/>
          <w:szCs w:val="18"/>
          <w:color w:val="auto"/>
        </w:rPr>
        <w:t>Commvault has provided in this press release the following non-GAAP financial measures: non-GAAP income from operations (EBIT), non-GAAP income from operations margin, non-GAAP gross margin, non-GAAP net income, non-GAAP diluted earnings per share, non-GAAP free cash flow, annualized recurring revenue (ARR), subscription ARR, SaaS ARR and SaaS net dollar retention rate (NRR). This financial information has not been prepared in accordance with GAAP. Commvault uses these non-GAAP financial measures internally to understand, manage and evaluate its business and make operating decisions. Commvault believes that the use of these non-GAAP financial measures, when used as a supplement to GAAP financial measures, provides an additional tool for investors to use in evaluating ongoing operating results and trends, and in comparing its financial results with other companies in Commvault’s industry, many of which present similar non-GAAP financial measures to the investment community. Commvault has also provided its revenues, ARR, subscription ARR and SaaS ARR on a constant currency basis. Commvault analyzes revenue growth, ARR, subscription ARR and SaaS ARR on a constant currency basis in order to provide a comparable framework for assessing how the business performed excluding the effect of foreign currency fluctuations.</w:t>
      </w:r>
    </w:p>
    <w:p>
      <w:pPr>
        <w:spacing w:after="0" w:line="210"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All of these non-GAAP financial measures should be considered as a supplement to, and not as a substitute for, financial information prepared in accordance with GAAP. Investors are encouraged to review the reconciliation of these non-GAAP measures to their most directly comparable GAAP financial measures, where applicable, which are included in this press release. Certain non-GAAP measures discussed in this press release do not have a directly comparable GAAP financial measure and therefore are not reconciled.</w:t>
      </w:r>
    </w:p>
    <w:p>
      <w:pPr>
        <w:spacing w:after="0" w:line="198" w:lineRule="exact"/>
        <w:rPr>
          <w:sz w:val="20"/>
          <w:szCs w:val="20"/>
          <w:color w:val="auto"/>
        </w:rPr>
      </w:pPr>
    </w:p>
    <w:p>
      <w:pPr>
        <w:jc w:val="both"/>
        <w:spacing w:after="0" w:line="366" w:lineRule="auto"/>
        <w:rPr>
          <w:sz w:val="20"/>
          <w:szCs w:val="20"/>
          <w:color w:val="auto"/>
        </w:rPr>
      </w:pPr>
      <w:r>
        <w:rPr>
          <w:rFonts w:ascii="Arial" w:cs="Arial" w:eastAsia="Arial" w:hAnsi="Arial"/>
          <w:sz w:val="18"/>
          <w:szCs w:val="18"/>
          <w:b w:val="1"/>
          <w:bCs w:val="1"/>
          <w:color w:val="auto"/>
        </w:rPr>
        <w:t xml:space="preserve">Non-GAAP income from operations and non-GAAP income from operations margin. </w:t>
      </w:r>
      <w:r>
        <w:rPr>
          <w:rFonts w:ascii="Arial" w:cs="Arial" w:eastAsia="Arial" w:hAnsi="Arial"/>
          <w:sz w:val="18"/>
          <w:szCs w:val="18"/>
          <w:color w:val="auto"/>
        </w:rPr>
        <w:t>These non-GAAP financial measures exclude</w:t>
      </w:r>
      <w:r>
        <w:rPr>
          <w:rFonts w:ascii="Arial" w:cs="Arial" w:eastAsia="Arial" w:hAnsi="Arial"/>
          <w:sz w:val="18"/>
          <w:szCs w:val="18"/>
          <w:b w:val="1"/>
          <w:bCs w:val="1"/>
          <w:color w:val="auto"/>
        </w:rPr>
        <w:t xml:space="preserve"> </w:t>
      </w:r>
      <w:r>
        <w:rPr>
          <w:rFonts w:ascii="Arial" w:cs="Arial" w:eastAsia="Arial" w:hAnsi="Arial"/>
          <w:sz w:val="18"/>
          <w:szCs w:val="18"/>
          <w:color w:val="auto"/>
        </w:rPr>
        <w:t>noncash stock-based compensation charges and additional Federal Insurance Contribution Act (FICA) and related payroll tax expense incurred by Commvault when employees vest in restricted stock awards. Commvault has also excluded restructuring costs, noncash amortization of intangible assets, business combination costs, the change in the estimated fair value of contingent consideration, adjustments from the sale and leaseback of headquarters and other nonrecurring charges from its non-GAAP results. These adjustments are further discussed in the reconciliation of GAAP to non-GAAP financial measures. Commvault believes that these non-GAAP financial measures are useful metrics for management and investors because they compare Commvault’s core operating results over multiple periods. When evaluating the performance of Commvault’s operating results and developing short- and long-term plans, Commvault does not consider such expenses.</w:t>
      </w:r>
    </w:p>
    <w:p>
      <w:pPr>
        <w:spacing w:after="0" w:line="291"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In addition, Commvault expects to incur a non-routine business expense in the first half of fiscal 2027 related to contingent performance-based fees associated with strategic pricing and packaging initiatives. These fees are expected to be incurred upon the achievement of defined outcomes and are estimated to range between $5 million and $10 million. Commvault intends to exclude these costs from its non-GAAP results as they are episodic in nature, directly tied to a discrete strategic initiative, and not reflective of ongoing operating performance.</w:t>
      </w:r>
    </w:p>
    <w:p>
      <w:pPr>
        <w:spacing w:after="0" w:line="202"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Although noncash stock-based compensation and the additional FICA and related payroll tax expenses are necessary to attract and retain employees, Commvault places its primary emphasis on stockholder dilution as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44" w:right="339" w:bottom="1440" w:gutter="0" w:footer="0" w:header="0"/>
        </w:sectPr>
      </w:pPr>
    </w:p>
    <w:bookmarkStart w:id="15" w:name="page16"/>
    <w:bookmarkEnd w:id="15"/>
    <w:p>
      <w:pPr>
        <w:jc w:val="both"/>
        <w:spacing w:after="0" w:line="377" w:lineRule="auto"/>
        <w:rPr>
          <w:sz w:val="20"/>
          <w:szCs w:val="20"/>
          <w:color w:val="auto"/>
        </w:rPr>
      </w:pPr>
      <w:r>
        <w:rPr>
          <w:rFonts w:ascii="Arial" w:cs="Arial" w:eastAsia="Arial" w:hAnsi="Arial"/>
          <w:sz w:val="18"/>
          <w:szCs w:val="18"/>
          <w:color w:val="auto"/>
        </w:rPr>
        <w:t>compared to the accounting charges related to such equity compensation plans. Commvault believes that providing non-GAAP financial measures that exclude noncash stock-based compensation expense and the additional FICA and related payroll tax expenses incurred on vesting of restricted stock awards allow investors to make meaningful comparisons between Commvault’s operating results and those of other companies.</w:t>
      </w:r>
    </w:p>
    <w:p>
      <w:pPr>
        <w:spacing w:after="0" w:line="198"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There are a number of limitations related to the use of non-GAAP income from operations and non-GAAP income from operations margin. The most significant limitation is that these non-GAAP financial measures exclude certain operating costs, primarily related to noncash stock-based compensation, which is of a recurring nature. Noncash stock-based compensation has been, and will continue to be for the foreseeable future, a significant recurring expense in Commvault’s operating results. In addition, noncash stock-based compensation is an important part of Commvault’s employees’ compensation and can have a significant impact on their performance. The following table presents the stock-based compensation expense included in cost of revenues, sales and marketing, research and development and general and administrative ($ in thousands):</w:t>
      </w:r>
    </w:p>
    <w:p>
      <w:pPr>
        <w:spacing w:after="0" w:line="240" w:lineRule="exact"/>
        <w:rPr>
          <w:sz w:val="20"/>
          <w:szCs w:val="20"/>
          <w:color w:val="auto"/>
        </w:rPr>
      </w:pPr>
    </w:p>
    <w:tbl>
      <w:tblPr>
        <w:tblLayout w:type="fixed"/>
        <w:tblInd w:w="126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4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Year Ended March 31,</w:t>
            </w:r>
          </w:p>
        </w:tc>
      </w:tr>
      <w:tr>
        <w:trPr>
          <w:trHeight w:val="250"/>
        </w:trPr>
        <w:tc>
          <w:tcPr>
            <w:tcW w:w="3020" w:type="dxa"/>
            <w:vAlign w:val="bottom"/>
            <w:tcBorders>
              <w:bottom w:val="single" w:sz="8" w:color="EAEAEA"/>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EAEAEA"/>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EAEAEA"/>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r>
      <w:tr>
        <w:trPr>
          <w:trHeight w:val="237"/>
        </w:trPr>
        <w:tc>
          <w:tcPr>
            <w:tcW w:w="3020" w:type="dxa"/>
            <w:vAlign w:val="bottom"/>
            <w:shd w:val="clear" w:color="auto" w:fill="EAEAEA"/>
          </w:tcPr>
          <w:p>
            <w:pPr>
              <w:ind w:left="60"/>
              <w:spacing w:after="0"/>
              <w:rPr>
                <w:sz w:val="20"/>
                <w:szCs w:val="20"/>
                <w:color w:val="auto"/>
              </w:rPr>
            </w:pPr>
            <w:r>
              <w:rPr>
                <w:rFonts w:ascii="Arial" w:cs="Arial" w:eastAsia="Arial" w:hAnsi="Arial"/>
                <w:sz w:val="16"/>
                <w:szCs w:val="16"/>
                <w:color w:val="auto"/>
              </w:rPr>
              <w:t>Cost of revenues</w:t>
            </w:r>
          </w:p>
        </w:tc>
        <w:tc>
          <w:tcPr>
            <w:tcW w:w="1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1,344</w:t>
            </w:r>
          </w:p>
        </w:tc>
        <w:tc>
          <w:tcPr>
            <w:tcW w:w="120" w:type="dxa"/>
            <w:vAlign w:val="bottom"/>
            <w:shd w:val="clear" w:color="auto" w:fill="EAEAEA"/>
          </w:tcPr>
          <w:p>
            <w:pPr>
              <w:spacing w:after="0"/>
              <w:rPr>
                <w:sz w:val="20"/>
                <w:szCs w:val="20"/>
                <w:color w:val="auto"/>
              </w:rPr>
            </w:pPr>
          </w:p>
        </w:tc>
        <w:tc>
          <w:tcPr>
            <w:tcW w:w="300" w:type="dxa"/>
            <w:vAlign w:val="bottom"/>
            <w:shd w:val="clear" w:color="auto" w:fill="EAEAEA"/>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1,324</w:t>
            </w:r>
          </w:p>
        </w:tc>
        <w:tc>
          <w:tcPr>
            <w:tcW w:w="200" w:type="dxa"/>
            <w:vAlign w:val="bottom"/>
            <w:shd w:val="clear" w:color="auto" w:fill="EAEAEA"/>
          </w:tcPr>
          <w:p>
            <w:pPr>
              <w:spacing w:after="0"/>
              <w:rPr>
                <w:sz w:val="20"/>
                <w:szCs w:val="20"/>
                <w:color w:val="auto"/>
              </w:rPr>
            </w:pPr>
          </w:p>
        </w:tc>
        <w:tc>
          <w:tcPr>
            <w:tcW w:w="280" w:type="dxa"/>
            <w:vAlign w:val="bottom"/>
            <w:shd w:val="clear" w:color="auto" w:fill="EAEAEA"/>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5,239</w:t>
            </w:r>
          </w:p>
        </w:tc>
        <w:tc>
          <w:tcPr>
            <w:tcW w:w="140" w:type="dxa"/>
            <w:vAlign w:val="bottom"/>
            <w:shd w:val="clear" w:color="auto" w:fill="EAEAEA"/>
          </w:tcPr>
          <w:p>
            <w:pPr>
              <w:spacing w:after="0"/>
              <w:rPr>
                <w:sz w:val="20"/>
                <w:szCs w:val="20"/>
                <w:color w:val="auto"/>
              </w:rPr>
            </w:pPr>
          </w:p>
        </w:tc>
        <w:tc>
          <w:tcPr>
            <w:tcW w:w="280" w:type="dxa"/>
            <w:vAlign w:val="bottom"/>
            <w:shd w:val="clear" w:color="auto" w:fill="EAEAEA"/>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5,744</w:t>
            </w:r>
          </w:p>
        </w:tc>
      </w:tr>
      <w:tr>
        <w:trPr>
          <w:trHeight w:val="255"/>
        </w:trPr>
        <w:tc>
          <w:tcPr>
            <w:tcW w:w="3020" w:type="dxa"/>
            <w:vAlign w:val="bottom"/>
          </w:tcPr>
          <w:p>
            <w:pPr>
              <w:ind w:left="6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12,469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12,599</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51,173</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47,627</w:t>
            </w:r>
          </w:p>
        </w:tc>
      </w:tr>
      <w:tr>
        <w:trPr>
          <w:trHeight w:val="258"/>
        </w:trPr>
        <w:tc>
          <w:tcPr>
            <w:tcW w:w="3020" w:type="dxa"/>
            <w:vAlign w:val="bottom"/>
            <w:shd w:val="clear" w:color="auto" w:fill="EAEAEA"/>
          </w:tcPr>
          <w:p>
            <w:pPr>
              <w:ind w:left="6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EAEAEA"/>
          </w:tcPr>
          <w:p>
            <w:pPr>
              <w:spacing w:after="0"/>
              <w:rPr>
                <w:sz w:val="22"/>
                <w:szCs w:val="22"/>
                <w:color w:val="auto"/>
              </w:rPr>
            </w:pPr>
          </w:p>
        </w:tc>
        <w:tc>
          <w:tcPr>
            <w:tcW w:w="1180" w:type="dxa"/>
            <w:vAlign w:val="bottom"/>
            <w:shd w:val="clear" w:color="auto" w:fill="EAEAEA"/>
          </w:tcPr>
          <w:p>
            <w:pPr>
              <w:jc w:val="right"/>
              <w:ind w:right="19"/>
              <w:spacing w:after="0"/>
              <w:rPr>
                <w:sz w:val="20"/>
                <w:szCs w:val="20"/>
                <w:color w:val="auto"/>
              </w:rPr>
            </w:pPr>
            <w:r>
              <w:rPr>
                <w:rFonts w:ascii="Arial" w:cs="Arial" w:eastAsia="Arial" w:hAnsi="Arial"/>
                <w:sz w:val="16"/>
                <w:szCs w:val="16"/>
                <w:color w:val="auto"/>
              </w:rPr>
              <w:t>6,977</w:t>
            </w:r>
          </w:p>
        </w:tc>
        <w:tc>
          <w:tcPr>
            <w:tcW w:w="120" w:type="dxa"/>
            <w:vAlign w:val="bottom"/>
            <w:shd w:val="clear" w:color="auto" w:fill="EAEAEA"/>
          </w:tcPr>
          <w:p>
            <w:pPr>
              <w:spacing w:after="0"/>
              <w:rPr>
                <w:sz w:val="22"/>
                <w:szCs w:val="22"/>
                <w:color w:val="auto"/>
              </w:rPr>
            </w:pPr>
          </w:p>
        </w:tc>
        <w:tc>
          <w:tcPr>
            <w:tcW w:w="300" w:type="dxa"/>
            <w:vAlign w:val="bottom"/>
            <w:shd w:val="clear" w:color="auto" w:fill="EAEAEA"/>
          </w:tcPr>
          <w:p>
            <w:pPr>
              <w:spacing w:after="0"/>
              <w:rPr>
                <w:sz w:val="22"/>
                <w:szCs w:val="22"/>
                <w:color w:val="auto"/>
              </w:rPr>
            </w:pP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6,225</w:t>
            </w:r>
          </w:p>
        </w:tc>
        <w:tc>
          <w:tcPr>
            <w:tcW w:w="200" w:type="dxa"/>
            <w:vAlign w:val="bottom"/>
            <w:shd w:val="clear" w:color="auto" w:fill="EAEAEA"/>
          </w:tcPr>
          <w:p>
            <w:pPr>
              <w:spacing w:after="0"/>
              <w:rPr>
                <w:sz w:val="22"/>
                <w:szCs w:val="22"/>
                <w:color w:val="auto"/>
              </w:rPr>
            </w:pPr>
          </w:p>
        </w:tc>
        <w:tc>
          <w:tcPr>
            <w:tcW w:w="280" w:type="dxa"/>
            <w:vAlign w:val="bottom"/>
            <w:shd w:val="clear" w:color="auto" w:fill="EAEAEA"/>
          </w:tcPr>
          <w:p>
            <w:pPr>
              <w:spacing w:after="0"/>
              <w:rPr>
                <w:sz w:val="22"/>
                <w:szCs w:val="2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28,538</w:t>
            </w:r>
          </w:p>
        </w:tc>
        <w:tc>
          <w:tcPr>
            <w:tcW w:w="140" w:type="dxa"/>
            <w:vAlign w:val="bottom"/>
            <w:shd w:val="clear" w:color="auto" w:fill="EAEAEA"/>
          </w:tcPr>
          <w:p>
            <w:pPr>
              <w:spacing w:after="0"/>
              <w:rPr>
                <w:sz w:val="22"/>
                <w:szCs w:val="22"/>
                <w:color w:val="auto"/>
              </w:rPr>
            </w:pPr>
          </w:p>
        </w:tc>
        <w:tc>
          <w:tcPr>
            <w:tcW w:w="280" w:type="dxa"/>
            <w:vAlign w:val="bottom"/>
            <w:shd w:val="clear" w:color="auto" w:fill="EAEAEA"/>
          </w:tcPr>
          <w:p>
            <w:pPr>
              <w:spacing w:after="0"/>
              <w:rPr>
                <w:sz w:val="22"/>
                <w:szCs w:val="22"/>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24,028</w:t>
            </w:r>
          </w:p>
        </w:tc>
      </w:tr>
      <w:tr>
        <w:trPr>
          <w:trHeight w:val="256"/>
        </w:trPr>
        <w:tc>
          <w:tcPr>
            <w:tcW w:w="3020" w:type="dxa"/>
            <w:vAlign w:val="bottom"/>
            <w:tcBorders>
              <w:bottom w:val="single" w:sz="8" w:color="EAEAEA"/>
            </w:tcBorders>
          </w:tcPr>
          <w:p>
            <w:pPr>
              <w:ind w:left="6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8,457</w:t>
            </w:r>
          </w:p>
        </w:tc>
        <w:tc>
          <w:tcPr>
            <w:tcW w:w="120" w:type="dxa"/>
            <w:vAlign w:val="bottom"/>
            <w:tcBorders>
              <w:bottom w:val="single" w:sz="8" w:color="EAEAEA"/>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8,692</w:t>
            </w:r>
          </w:p>
        </w:tc>
        <w:tc>
          <w:tcPr>
            <w:tcW w:w="200" w:type="dxa"/>
            <w:vAlign w:val="bottom"/>
            <w:tcBorders>
              <w:bottom w:val="single" w:sz="8" w:color="EAEAEA"/>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33,936</w:t>
            </w:r>
          </w:p>
        </w:tc>
        <w:tc>
          <w:tcPr>
            <w:tcW w:w="140" w:type="dxa"/>
            <w:vAlign w:val="bottom"/>
            <w:tcBorders>
              <w:bottom w:val="single" w:sz="8" w:color="EAEAEA"/>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31,216</w:t>
            </w:r>
          </w:p>
        </w:tc>
      </w:tr>
      <w:tr>
        <w:trPr>
          <w:trHeight w:val="235"/>
        </w:trPr>
        <w:tc>
          <w:tcPr>
            <w:tcW w:w="302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color w:val="auto"/>
              </w:rPr>
              <w:t>29,247</w:t>
            </w:r>
          </w:p>
        </w:tc>
        <w:tc>
          <w:tcPr>
            <w:tcW w:w="12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28,840</w:t>
            </w:r>
          </w:p>
        </w:tc>
        <w:tc>
          <w:tcPr>
            <w:tcW w:w="200" w:type="dxa"/>
            <w:vAlign w:val="bottom"/>
            <w:tcBorders>
              <w:bottom w:val="single" w:sz="8" w:color="EAEAEA"/>
            </w:tcBorders>
            <w:shd w:val="clear" w:color="auto" w:fill="EAEAEA"/>
          </w:tcPr>
          <w:p>
            <w:pPr>
              <w:spacing w:after="0"/>
              <w:rPr>
                <w:sz w:val="20"/>
                <w:szCs w:val="20"/>
                <w:color w:val="auto"/>
              </w:rPr>
            </w:pPr>
          </w:p>
        </w:tc>
        <w:tc>
          <w:tcPr>
            <w:tcW w:w="280" w:type="dxa"/>
            <w:vAlign w:val="bottom"/>
            <w:tcBorders>
              <w:bottom w:val="single" w:sz="8" w:color="auto"/>
            </w:tcBorders>
            <w:shd w:val="clear" w:color="auto" w:fill="EAEAEA"/>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118,886</w:t>
            </w:r>
          </w:p>
        </w:tc>
        <w:tc>
          <w:tcPr>
            <w:tcW w:w="140" w:type="dxa"/>
            <w:vAlign w:val="bottom"/>
            <w:tcBorders>
              <w:bottom w:val="single" w:sz="8" w:color="EAEAEA"/>
            </w:tcBorders>
            <w:shd w:val="clear" w:color="auto" w:fill="EAEAEA"/>
          </w:tcPr>
          <w:p>
            <w:pPr>
              <w:spacing w:after="0"/>
              <w:rPr>
                <w:sz w:val="20"/>
                <w:szCs w:val="20"/>
                <w:color w:val="auto"/>
              </w:rPr>
            </w:pPr>
          </w:p>
        </w:tc>
        <w:tc>
          <w:tcPr>
            <w:tcW w:w="280" w:type="dxa"/>
            <w:vAlign w:val="bottom"/>
            <w:tcBorders>
              <w:bottom w:val="single" w:sz="8" w:color="auto"/>
            </w:tcBorders>
            <w:shd w:val="clear" w:color="auto" w:fill="EAEAEA"/>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108,615</w:t>
            </w:r>
          </w:p>
        </w:tc>
      </w:tr>
      <w:tr>
        <w:trPr>
          <w:trHeight w:val="20"/>
        </w:trPr>
        <w:tc>
          <w:tcPr>
            <w:tcW w:w="302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1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040" w:type="dxa"/>
            <w:vAlign w:val="bottom"/>
            <w:tcBorders>
              <w:top w:val="single" w:sz="8" w:color="EAEAEA"/>
              <w:bottom w:val="single" w:sz="8" w:color="auto"/>
            </w:tcBorders>
          </w:tcPr>
          <w:p>
            <w:pPr>
              <w:spacing w:after="0" w:line="20" w:lineRule="exact"/>
              <w:rPr>
                <w:sz w:val="1"/>
                <w:szCs w:val="1"/>
                <w:color w:val="auto"/>
              </w:rPr>
            </w:pPr>
          </w:p>
        </w:tc>
        <w:tc>
          <w:tcPr>
            <w:tcW w:w="200" w:type="dxa"/>
            <w:vAlign w:val="bottom"/>
            <w:tcBorders>
              <w:top w:val="single" w:sz="8" w:color="EAEAEA"/>
            </w:tcBorders>
          </w:tcPr>
          <w:p>
            <w:pPr>
              <w:spacing w:after="0" w:line="20" w:lineRule="exact"/>
              <w:rPr>
                <w:sz w:val="1"/>
                <w:szCs w:val="1"/>
                <w:color w:val="auto"/>
              </w:rPr>
            </w:pPr>
          </w:p>
        </w:tc>
        <w:tc>
          <w:tcPr>
            <w:tcW w:w="280" w:type="dxa"/>
            <w:vAlign w:val="bottom"/>
            <w:tcBorders>
              <w:top w:val="single" w:sz="8" w:color="EAEAEA"/>
              <w:bottom w:val="single" w:sz="8" w:color="auto"/>
            </w:tcBorders>
          </w:tcPr>
          <w:p>
            <w:pPr>
              <w:spacing w:after="0" w:line="20" w:lineRule="exact"/>
              <w:rPr>
                <w:sz w:val="1"/>
                <w:szCs w:val="1"/>
                <w:color w:val="auto"/>
              </w:rPr>
            </w:pPr>
          </w:p>
        </w:tc>
        <w:tc>
          <w:tcPr>
            <w:tcW w:w="100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280" w:type="dxa"/>
            <w:vAlign w:val="bottom"/>
            <w:tcBorders>
              <w:top w:val="single" w:sz="8" w:color="EAEAEA"/>
              <w:bottom w:val="single" w:sz="8" w:color="auto"/>
            </w:tcBorders>
          </w:tcPr>
          <w:p>
            <w:pPr>
              <w:spacing w:after="0" w:line="20" w:lineRule="exact"/>
              <w:rPr>
                <w:sz w:val="1"/>
                <w:szCs w:val="1"/>
                <w:color w:val="auto"/>
              </w:rPr>
            </w:pPr>
          </w:p>
        </w:tc>
        <w:tc>
          <w:tcPr>
            <w:tcW w:w="1000" w:type="dxa"/>
            <w:vAlign w:val="bottom"/>
            <w:tcBorders>
              <w:top w:val="single" w:sz="8" w:color="EAEAEA"/>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 stock-based compensation expense related to the Company's restructuring activities described below in Note 7.</w:t>
      </w:r>
    </w:p>
    <w:p>
      <w:pPr>
        <w:spacing w:after="0" w:line="34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The components that Commvault excludes in its non-GAAP financial measures may differ from the components that its peer companies exclude when they report their non-GAAP financial measures. Due to the limitations related to the use of non-GAAP measures, Commvault’s management assists investors by providing a reconciliation of each non-GAAP financial measure to the most directly comparable GAAP financial measure. Commvault's management uses non-GAAP financial measures only in addition to, and in conjunction with, results presented in accordance with GAAP.</w:t>
      </w:r>
    </w:p>
    <w:p>
      <w:pPr>
        <w:spacing w:after="0" w:line="201" w:lineRule="exact"/>
        <w:rPr>
          <w:sz w:val="20"/>
          <w:szCs w:val="20"/>
          <w:color w:val="auto"/>
        </w:rPr>
      </w:pPr>
    </w:p>
    <w:p>
      <w:pPr>
        <w:jc w:val="both"/>
        <w:spacing w:after="0" w:line="396" w:lineRule="auto"/>
        <w:rPr>
          <w:sz w:val="20"/>
          <w:szCs w:val="20"/>
          <w:color w:val="auto"/>
        </w:rPr>
      </w:pPr>
      <w:r>
        <w:rPr>
          <w:rFonts w:ascii="Arial" w:cs="Arial" w:eastAsia="Arial" w:hAnsi="Arial"/>
          <w:sz w:val="18"/>
          <w:szCs w:val="18"/>
          <w:b w:val="1"/>
          <w:bCs w:val="1"/>
          <w:color w:val="auto"/>
        </w:rPr>
        <w:t xml:space="preserve">Non-GAAP net income and non-GAAP diluted earnings per share (EPS). </w:t>
      </w:r>
      <w:r>
        <w:rPr>
          <w:rFonts w:ascii="Arial" w:cs="Arial" w:eastAsia="Arial" w:hAnsi="Arial"/>
          <w:sz w:val="18"/>
          <w:szCs w:val="18"/>
          <w:color w:val="auto"/>
        </w:rPr>
        <w:t>In addition to the adjustments discussed in non-GAAP income</w:t>
      </w:r>
      <w:r>
        <w:rPr>
          <w:rFonts w:ascii="Arial" w:cs="Arial" w:eastAsia="Arial" w:hAnsi="Arial"/>
          <w:sz w:val="18"/>
          <w:szCs w:val="18"/>
          <w:b w:val="1"/>
          <w:bCs w:val="1"/>
          <w:color w:val="auto"/>
        </w:rPr>
        <w:t xml:space="preserve"> </w:t>
      </w:r>
      <w:r>
        <w:rPr>
          <w:rFonts w:ascii="Arial" w:cs="Arial" w:eastAsia="Arial" w:hAnsi="Arial"/>
          <w:sz w:val="18"/>
          <w:szCs w:val="18"/>
          <w:color w:val="auto"/>
        </w:rPr>
        <w:t>from operations, non-GAAP net income and non-GAAP diluted EPS incorporates a non-GAAP effective tax rate of 24%.</w:t>
      </w:r>
    </w:p>
    <w:p>
      <w:pPr>
        <w:spacing w:after="0" w:line="18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Commvault anticipates that in any given period its non-GAAP tax rate may be either higher or lower than the GAAP tax rate as evidenced by historical fluctuations. The GAAP tax rates in recent fiscal years were not meaningful percentages due to the dollar amount of GAAP pre-tax income. For the same reason as the GAAP tax rates, the estimated cash tax rates in recent fiscal years are not meaningful percentages. Commvault defines its cash tax rate as the total amount of cash income taxes payable for the fiscal year divided by consolidated GAAP pre-tax income. Over time, Commvault believes its GAAP and cash tax rates will align.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4" w:right="339" w:bottom="1440" w:gutter="0" w:footer="0" w:header="0"/>
        </w:sectPr>
      </w:pPr>
    </w:p>
    <w:bookmarkStart w:id="16" w:name="page17"/>
    <w:bookmarkEnd w:id="16"/>
    <w:p>
      <w:pPr>
        <w:jc w:val="both"/>
        <w:spacing w:after="0" w:line="377" w:lineRule="auto"/>
        <w:rPr>
          <w:sz w:val="20"/>
          <w:szCs w:val="20"/>
          <w:color w:val="auto"/>
        </w:rPr>
      </w:pPr>
      <w:r>
        <w:rPr>
          <w:rFonts w:ascii="Arial" w:cs="Arial" w:eastAsia="Arial" w:hAnsi="Arial"/>
          <w:sz w:val="18"/>
          <w:szCs w:val="18"/>
          <w:color w:val="auto"/>
        </w:rPr>
        <w:t>Commvault considers non-GAAP net income and non-GAAP diluted EPS useful metrics for Commvault management and its investors for the same basic reasons that Commvault uses non-GAAP income from operations and non-GAAP income from operations margin. In addition, the same limitations as well as management actions to compensate for such limitations described above also apply to Commvault’s use of non-GAAP net income and non-GAAP diluted EPS.</w:t>
      </w:r>
    </w:p>
    <w:p>
      <w:pPr>
        <w:spacing w:after="0" w:line="198"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b w:val="1"/>
          <w:bCs w:val="1"/>
          <w:color w:val="auto"/>
        </w:rPr>
        <w:t xml:space="preserve">Non-GAAP gross margin. </w:t>
      </w:r>
      <w:r>
        <w:rPr>
          <w:rFonts w:ascii="Arial" w:cs="Arial" w:eastAsia="Arial" w:hAnsi="Arial"/>
          <w:sz w:val="18"/>
          <w:szCs w:val="18"/>
          <w:color w:val="auto"/>
        </w:rPr>
        <w:t>Commvault defines this non-GAAP financial measure as GAAP gross margin adjusted to exclude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related to noncash stock-based compensation.</w:t>
      </w:r>
    </w:p>
    <w:p>
      <w:pPr>
        <w:spacing w:after="0" w:line="181" w:lineRule="exact"/>
        <w:rPr>
          <w:sz w:val="20"/>
          <w:szCs w:val="20"/>
          <w:color w:val="auto"/>
        </w:rPr>
      </w:pPr>
    </w:p>
    <w:p>
      <w:pPr>
        <w:jc w:val="both"/>
        <w:spacing w:after="0" w:line="377" w:lineRule="auto"/>
        <w:rPr>
          <w:sz w:val="20"/>
          <w:szCs w:val="20"/>
          <w:color w:val="auto"/>
        </w:rPr>
      </w:pPr>
      <w:r>
        <w:rPr>
          <w:rFonts w:ascii="Arial" w:cs="Arial" w:eastAsia="Arial" w:hAnsi="Arial"/>
          <w:sz w:val="18"/>
          <w:szCs w:val="18"/>
          <w:b w:val="1"/>
          <w:bCs w:val="1"/>
          <w:color w:val="auto"/>
        </w:rPr>
        <w:t xml:space="preserve">Non-GAAP free cash flow. </w:t>
      </w:r>
      <w:r>
        <w:rPr>
          <w:rFonts w:ascii="Arial" w:cs="Arial" w:eastAsia="Arial" w:hAnsi="Arial"/>
          <w:sz w:val="18"/>
          <w:szCs w:val="18"/>
          <w:color w:val="auto"/>
        </w:rPr>
        <w:t>Commvault defines this non-GAAP financial measure as net cash provided by operating activities less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purchases of property and equipment. Commvault considers non-GAAP free cash flow a useful metric for Commvault management and its investors in evaluating Commvault's ability to generate cash from its business operations. In addition, the same limitations as well as management actions to compensate for such limitations described above also apply to Commvault’s use of non-GAAP free cash flow.</w:t>
      </w:r>
    </w:p>
    <w:p>
      <w:pPr>
        <w:spacing w:after="0" w:line="19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b w:val="1"/>
          <w:bCs w:val="1"/>
          <w:color w:val="auto"/>
        </w:rPr>
        <w:t xml:space="preserve">Forward-looking non-GAAP measures. </w:t>
      </w:r>
      <w:r>
        <w:rPr>
          <w:rFonts w:ascii="Arial" w:cs="Arial" w:eastAsia="Arial" w:hAnsi="Arial"/>
          <w:sz w:val="18"/>
          <w:szCs w:val="18"/>
          <w:color w:val="auto"/>
        </w:rPr>
        <w:t>In this press release, Commvault presents non-GAAP EBIT margin and free cash flow on a</w:t>
      </w:r>
      <w:r>
        <w:rPr>
          <w:rFonts w:ascii="Arial" w:cs="Arial" w:eastAsia="Arial" w:hAnsi="Arial"/>
          <w:sz w:val="18"/>
          <w:szCs w:val="18"/>
          <w:b w:val="1"/>
          <w:bCs w:val="1"/>
          <w:color w:val="auto"/>
        </w:rPr>
        <w:t xml:space="preserve"> </w:t>
      </w:r>
      <w:r>
        <w:rPr>
          <w:rFonts w:ascii="Arial" w:cs="Arial" w:eastAsia="Arial" w:hAnsi="Arial"/>
          <w:sz w:val="18"/>
          <w:szCs w:val="18"/>
          <w:color w:val="auto"/>
        </w:rPr>
        <w:t>forward-looking basis. The most directly comparable GAAP measures are not accessible on a forward-looking basis without unreasonable efforts, because certain items that impact these GAAP measures, cannot be reasonably predicted or quantified. The probable significance of these items may be material, and as a result, the corresponding GAAP measures and a quantitative reconciliation to those GAAP measures are not available on a forward-looking basis.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4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w:t>
      </w:r>
    </w:p>
    <w:p>
      <w:pPr>
        <w:spacing w:after="0" w:line="212" w:lineRule="exact"/>
        <w:rPr>
          <w:sz w:val="20"/>
          <w:szCs w:val="20"/>
          <w:color w:val="auto"/>
        </w:rPr>
      </w:pPr>
    </w:p>
    <w:p>
      <w:pPr>
        <w:jc w:val="both"/>
        <w:ind w:left="660" w:hanging="652"/>
        <w:spacing w:after="0" w:line="364"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recurring revenue (ARR) represents the annualized value of all active contracts as of the end of a reporting period. ARR includes recurring subscription offerings, customer support associated with perpetual and term licenses, enhanced customer support contracts, and managed service offerings. ARR excludes non-recurring elements, such as perpetual licenses and professional services, which are typically delivered at a point in time. For all term-based arrangements, ARR is calculated by dividing the total active contract value by the number of days in the contract term and multiplying the result by 365. For consumption-based arrangements on a pay as you go model without a fixed commitment, ARR is calculated by annualizing the revenue contractually expected to be received in a given month based on actual monthly usage from a prior month. Because ARR includes only contracts</w:t>
      </w:r>
    </w:p>
    <w:p>
      <w:pPr>
        <w:spacing w:after="0" w:line="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that are active at the end of the reporting period, it does not reflect assumptions or estimates regarding future contract renewals or</w:t>
      </w:r>
    </w:p>
    <w:p>
      <w:pPr>
        <w:spacing w:after="0" w:line="63" w:lineRule="exact"/>
        <w:rPr>
          <w:rFonts w:ascii="Arial" w:cs="Arial" w:eastAsia="Arial" w:hAnsi="Arial"/>
          <w:sz w:val="18"/>
          <w:szCs w:val="18"/>
          <w:color w:val="auto"/>
        </w:rPr>
      </w:pPr>
    </w:p>
    <w:p>
      <w:pPr>
        <w:jc w:val="both"/>
        <w:ind w:left="660"/>
        <w:spacing w:after="0" w:line="302" w:lineRule="exact"/>
        <w:rPr>
          <w:rFonts w:ascii="Arial" w:cs="Arial" w:eastAsia="Arial" w:hAnsi="Arial"/>
          <w:sz w:val="18"/>
          <w:szCs w:val="18"/>
          <w:color w:val="auto"/>
        </w:rPr>
      </w:pPr>
      <w:r>
        <w:rPr>
          <w:rFonts w:ascii="Arial" w:cs="Arial" w:eastAsia="Arial" w:hAnsi="Arial"/>
          <w:sz w:val="18"/>
          <w:szCs w:val="18"/>
          <w:color w:val="auto"/>
        </w:rPr>
        <w:t>non-renewals. Subscription ARR represents the portion of annual recurring revenue attributable to term</w:t>
      </w:r>
      <w:r>
        <w:rPr>
          <w:rFonts w:ascii="MS PGothic" w:cs="MS PGothic" w:eastAsia="MS PGothic" w:hAnsi="MS PGothic"/>
          <w:sz w:val="18"/>
          <w:szCs w:val="18"/>
          <w:color w:val="auto"/>
        </w:rPr>
        <w:t>‑</w:t>
      </w:r>
      <w:r>
        <w:rPr>
          <w:rFonts w:ascii="Arial" w:cs="Arial" w:eastAsia="Arial" w:hAnsi="Arial"/>
          <w:sz w:val="18"/>
          <w:szCs w:val="18"/>
          <w:color w:val="auto"/>
        </w:rPr>
        <w:t>based licenses, maintenance and support services associated with term license arrangements, SaaS subscriptions, and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calculated using the same ARR methodology. SaaS ARR represents the cloud</w:t>
      </w:r>
      <w:r>
        <w:rPr>
          <w:rFonts w:ascii="MS PGothic" w:cs="MS PGothic" w:eastAsia="MS PGothic" w:hAnsi="MS PGothic"/>
          <w:sz w:val="18"/>
          <w:szCs w:val="18"/>
          <w:color w:val="auto"/>
        </w:rPr>
        <w:t>‑</w:t>
      </w:r>
      <w:r>
        <w:rPr>
          <w:rFonts w:ascii="Arial" w:cs="Arial" w:eastAsia="Arial" w:hAnsi="Arial"/>
          <w:sz w:val="18"/>
          <w:szCs w:val="18"/>
          <w:color w:val="auto"/>
        </w:rPr>
        <w:t>hosted portion of Subscription ARR and excludes revenue attributable to term license arrangements and related maintenance and support services.</w:t>
      </w:r>
    </w:p>
    <w:p>
      <w:pPr>
        <w:spacing w:after="0" w:line="317" w:lineRule="exact"/>
        <w:rPr>
          <w:rFonts w:ascii="Arial" w:cs="Arial" w:eastAsia="Arial" w:hAnsi="Arial"/>
          <w:sz w:val="18"/>
          <w:szCs w:val="18"/>
          <w:color w:val="auto"/>
        </w:rPr>
      </w:pPr>
    </w:p>
    <w:p>
      <w:pPr>
        <w:jc w:val="both"/>
        <w:ind w:left="660"/>
        <w:spacing w:after="0" w:line="373" w:lineRule="auto"/>
        <w:rPr>
          <w:rFonts w:ascii="Arial" w:cs="Arial" w:eastAsia="Arial" w:hAnsi="Arial"/>
          <w:sz w:val="18"/>
          <w:szCs w:val="18"/>
          <w:color w:val="auto"/>
        </w:rPr>
      </w:pPr>
      <w:r>
        <w:rPr>
          <w:rFonts w:ascii="Arial" w:cs="Arial" w:eastAsia="Arial" w:hAnsi="Arial"/>
          <w:sz w:val="18"/>
          <w:szCs w:val="18"/>
          <w:color w:val="auto"/>
        </w:rPr>
        <w:t>These metrics should be viewed independently of GAAP revenue, deferred revenue and unbilled revenue and are not intended to be combined with or to replace those items. These metrics are not a forecast of future revenues. Management believes that reviewing these metrics, in addition to GAAP results, helps investors and financial analysts understand the value of Commvault's recurring revenue streams presented on an annualized basis. There is no direct GAAP comparative to ARR. See “Use of Non-GAAP Financial Measures" for additional explanation.</w:t>
      </w:r>
    </w:p>
    <w:p>
      <w:pPr>
        <w:spacing w:after="0" w:line="200" w:lineRule="exact"/>
        <w:rPr>
          <w:rFonts w:ascii="Arial" w:cs="Arial" w:eastAsia="Arial" w:hAnsi="Arial"/>
          <w:sz w:val="18"/>
          <w:szCs w:val="18"/>
          <w:color w:val="auto"/>
        </w:rPr>
      </w:pPr>
    </w:p>
    <w:p>
      <w:pPr>
        <w:jc w:val="both"/>
        <w:ind w:left="660" w:right="20" w:hanging="652"/>
        <w:spacing w:after="0" w:line="38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reconciliation of GAAP to non-GAAP results has been provided in the reconciliation of GAAP to non-GAAP financial measures included in this press release. An explanation of these measures is also included under the heading “Use of Non-GAAP Financial Measures.”</w:t>
      </w:r>
    </w:p>
    <w:p>
      <w:pPr>
        <w:spacing w:after="0" w:line="189" w:lineRule="exact"/>
        <w:rPr>
          <w:rFonts w:ascii="Arial" w:cs="Arial" w:eastAsia="Arial" w:hAnsi="Arial"/>
          <w:sz w:val="18"/>
          <w:szCs w:val="18"/>
          <w:color w:val="auto"/>
        </w:rPr>
      </w:pPr>
    </w:p>
    <w:p>
      <w:pPr>
        <w:jc w:val="both"/>
        <w:ind w:left="660" w:hanging="652"/>
        <w:spacing w:after="0" w:line="37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Commvault does not provide forward-looking guidance on a GAAP basis as certain financial information, the probable significance of which cannot be determined, is not available and cannot be reasonably estimated. See “Forward-looking non-GAAP measures” for additional explanation.</w:t>
      </w:r>
    </w:p>
    <w:p>
      <w:pPr>
        <w:spacing w:after="0" w:line="210" w:lineRule="exact"/>
        <w:rPr>
          <w:rFonts w:ascii="Arial" w:cs="Arial" w:eastAsia="Arial" w:hAnsi="Arial"/>
          <w:sz w:val="18"/>
          <w:szCs w:val="18"/>
          <w:color w:val="auto"/>
        </w:rPr>
      </w:pPr>
    </w:p>
    <w:p>
      <w:pPr>
        <w:jc w:val="both"/>
        <w:ind w:left="660" w:hanging="652"/>
        <w:spacing w:after="0" w:line="36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SaaS net dollar retention rate (NRR) is the percentage of SaaS ARR retained from existing customers at the start of an annual period after accounting for expansion revenue, churn, and downsell. It is presented on a constant currency basis using exchange rates as of March 31, 2025. Acquired SaaS ARR is excluded until the acquisition is fully integrated, which we generally expect to occur twelve months from the close date. We believe our SaaS NRR offers valuable insight into the year-over-year expansion of our existing customer base, reflecting both increased utilization of current products and services as well as the adoption of additional offerings. There is no direct GAAP comparative to NRR. See “Use of Non-GAAP Financial Measures" for additional explanation.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98" w:right="339" w:bottom="1440" w:gutter="0" w:footer="0" w:header="0"/>
        </w:sectPr>
      </w:pPr>
    </w:p>
    <w:bookmarkStart w:id="18" w:name="page19"/>
    <w:bookmarkEnd w:id="18"/>
    <w:p>
      <w:pPr>
        <w:jc w:val="both"/>
        <w:ind w:left="660" w:hanging="652"/>
        <w:spacing w:after="0" w:line="37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noncash stock-based compensation charges associated with restricted stock units granted and our Employee Stock Purchase Plan, exclusive of stock-based compensation expense related to Commvault's restructuring activities described below in Note 7.</w:t>
      </w:r>
    </w:p>
    <w:p>
      <w:pPr>
        <w:spacing w:after="0" w:line="210" w:lineRule="exact"/>
        <w:rPr>
          <w:rFonts w:ascii="Arial" w:cs="Arial" w:eastAsia="Arial" w:hAnsi="Arial"/>
          <w:sz w:val="18"/>
          <w:szCs w:val="18"/>
          <w:color w:val="auto"/>
        </w:rPr>
      </w:pPr>
    </w:p>
    <w:p>
      <w:pPr>
        <w:ind w:left="660" w:hanging="652"/>
        <w:spacing w:after="0" w:line="39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additional FICA and related payroll tax expenses incurred by Commvault when employees vest in restricted stock awards.</w:t>
      </w:r>
    </w:p>
    <w:p>
      <w:pPr>
        <w:spacing w:after="0" w:line="180" w:lineRule="exact"/>
        <w:rPr>
          <w:rFonts w:ascii="Arial" w:cs="Arial" w:eastAsia="Arial" w:hAnsi="Arial"/>
          <w:sz w:val="18"/>
          <w:szCs w:val="18"/>
          <w:color w:val="auto"/>
        </w:rPr>
      </w:pPr>
    </w:p>
    <w:p>
      <w:pPr>
        <w:jc w:val="both"/>
        <w:ind w:left="660" w:hanging="652"/>
        <w:spacing w:after="0" w:line="360"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fiscal 2026, we initiated two restructuring plans designed to optimize our cost structure, enhance organizational agility, align resources with strategic priorities, and reorganize our business technology function. These initiatives include workforce reductions,</w:t>
      </w:r>
    </w:p>
    <w:p>
      <w:pPr>
        <w:jc w:val="both"/>
        <w:ind w:left="660" w:right="20"/>
        <w:spacing w:after="0" w:line="291" w:lineRule="exact"/>
        <w:rPr>
          <w:rFonts w:ascii="Arial" w:cs="Arial" w:eastAsia="Arial" w:hAnsi="Arial"/>
          <w:sz w:val="18"/>
          <w:szCs w:val="18"/>
          <w:color w:val="auto"/>
        </w:rPr>
      </w:pPr>
      <w:r>
        <w:rPr>
          <w:rFonts w:ascii="Arial" w:cs="Arial" w:eastAsia="Arial" w:hAnsi="Arial"/>
          <w:sz w:val="18"/>
          <w:szCs w:val="18"/>
          <w:color w:val="auto"/>
        </w:rPr>
        <w:t>technology transitions, office lease closures, and the exit of operations in certain jurisdictions. The related charges primarily consist of severance and associated employee termination costs,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resulting from modification events, and office closure and exit charges. We expect both restructuring plans to be substantially completed during fiscal 2027.</w:t>
      </w:r>
    </w:p>
    <w:p>
      <w:pPr>
        <w:spacing w:after="0" w:line="383" w:lineRule="exact"/>
        <w:rPr>
          <w:rFonts w:ascii="Arial" w:cs="Arial" w:eastAsia="Arial" w:hAnsi="Arial"/>
          <w:sz w:val="18"/>
          <w:szCs w:val="18"/>
          <w:color w:val="auto"/>
        </w:rPr>
      </w:pPr>
    </w:p>
    <w:p>
      <w:pPr>
        <w:jc w:val="both"/>
        <w:ind w:left="660"/>
        <w:spacing w:after="0" w:line="287" w:lineRule="exact"/>
        <w:rPr>
          <w:rFonts w:ascii="Arial" w:cs="Arial" w:eastAsia="Arial" w:hAnsi="Arial"/>
          <w:sz w:val="18"/>
          <w:szCs w:val="18"/>
          <w:color w:val="auto"/>
        </w:rPr>
      </w:pPr>
      <w:r>
        <w:rPr>
          <w:rFonts w:ascii="Arial" w:cs="Arial" w:eastAsia="Arial" w:hAnsi="Arial"/>
          <w:sz w:val="18"/>
          <w:szCs w:val="18"/>
          <w:color w:val="auto"/>
        </w:rPr>
        <w:t>Restructuring charges incurred in the prior year relate to a plan initiated in the fourth quarter of fiscal 2024 and completed in fiscal 2025. These charges consisted of severance and associated employee termination costs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resulting from modification events.</w:t>
      </w:r>
    </w:p>
    <w:p>
      <w:pPr>
        <w:spacing w:after="0" w:line="329" w:lineRule="exact"/>
        <w:rPr>
          <w:rFonts w:ascii="Arial" w:cs="Arial" w:eastAsia="Arial" w:hAnsi="Arial"/>
          <w:sz w:val="18"/>
          <w:szCs w:val="18"/>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noncash amortization of intangible assets.</w:t>
      </w:r>
    </w:p>
    <w:p>
      <w:pPr>
        <w:spacing w:after="0" w:line="346" w:lineRule="exact"/>
        <w:rPr>
          <w:rFonts w:ascii="Arial" w:cs="Arial" w:eastAsia="Arial" w:hAnsi="Arial"/>
          <w:sz w:val="18"/>
          <w:szCs w:val="18"/>
          <w:color w:val="auto"/>
        </w:rPr>
      </w:pPr>
    </w:p>
    <w:p>
      <w:pPr>
        <w:jc w:val="both"/>
        <w:ind w:left="660" w:hanging="652"/>
        <w:spacing w:after="0" w:line="372"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first quarter of fiscal 2025, we entered into a settlement agreement resulting in a payment of approximately $1.5 million which resolved certain legal matters. For the three months ended June 30, 2024, approximately $0.7 million was recorded in general and administrative expenses and the remaining $0.8 million was incurred in a prior period that is not presented in the Consolidated Statements of Operations.</w:t>
      </w:r>
    </w:p>
    <w:p>
      <w:pPr>
        <w:spacing w:after="0" w:line="215" w:lineRule="exact"/>
        <w:rPr>
          <w:rFonts w:ascii="Arial" w:cs="Arial" w:eastAsia="Arial" w:hAnsi="Arial"/>
          <w:sz w:val="18"/>
          <w:szCs w:val="18"/>
          <w:color w:val="auto"/>
        </w:rPr>
      </w:pPr>
    </w:p>
    <w:p>
      <w:pPr>
        <w:jc w:val="both"/>
        <w:ind w:left="660" w:hanging="652"/>
        <w:spacing w:after="0" w:line="378" w:lineRule="auto"/>
        <w:tabs>
          <w:tab w:leader="none" w:pos="6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charges relate to acquisition and business development activities, including legal, accounting and advisory services. Management believes, when used as a supplement to GAAP results, that the exclusion of these costs will help investors and financial analysts understand Commvault's operating results and underlying operational trends as compared to other periods.</w:t>
      </w:r>
    </w:p>
    <w:p>
      <w:pPr>
        <w:spacing w:after="0" w:line="196" w:lineRule="exact"/>
        <w:rPr>
          <w:rFonts w:ascii="Arial" w:cs="Arial" w:eastAsia="Arial" w:hAnsi="Arial"/>
          <w:sz w:val="18"/>
          <w:szCs w:val="18"/>
          <w:color w:val="auto"/>
        </w:rPr>
      </w:pPr>
    </w:p>
    <w:p>
      <w:pPr>
        <w:ind w:left="660" w:hanging="652"/>
        <w:spacing w:after="0" w:line="396"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change in the estimated fair value of the contingent consideration arrangement related to the acquisition of Appranix, Inc.</w:t>
      </w:r>
    </w:p>
    <w:p>
      <w:pPr>
        <w:spacing w:after="0" w:line="194" w:lineRule="exact"/>
        <w:rPr>
          <w:rFonts w:ascii="Arial" w:cs="Arial" w:eastAsia="Arial" w:hAnsi="Arial"/>
          <w:sz w:val="18"/>
          <w:szCs w:val="18"/>
          <w:color w:val="auto"/>
        </w:rPr>
      </w:pPr>
    </w:p>
    <w:p>
      <w:pPr>
        <w:jc w:val="both"/>
        <w:ind w:left="660" w:hanging="652"/>
        <w:spacing w:after="0" w:line="372" w:lineRule="auto"/>
        <w:tabs>
          <w:tab w:leader="none" w:pos="6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first quarter of fiscal 2026, we finalized the sale of our corporate headquarters and entered into a lease for a portion of the premises. These noncash charges represent accounting adjustments for a $1.3 million loss associated with the related lease terms and a $0.8 million adjustment to reflect the final sale price of the assets resulting in a net charge of $0.5 million recorded in general and administrative expense on the Consolidated Statements of Operations.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7" w:right="339" w:bottom="1440" w:gutter="0" w:footer="0" w:header="0"/>
        </w:sectPr>
      </w:pPr>
    </w:p>
    <w:bookmarkStart w:id="19" w:name="page20"/>
    <w:bookmarkEnd w:id="19"/>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noncash impairment charges related to our corporate headquarters.</w:t>
      </w:r>
    </w:p>
    <w:p>
      <w:pPr>
        <w:spacing w:after="0" w:line="346" w:lineRule="exact"/>
        <w:rPr>
          <w:rFonts w:ascii="Arial" w:cs="Arial" w:eastAsia="Arial" w:hAnsi="Arial"/>
          <w:sz w:val="18"/>
          <w:szCs w:val="18"/>
          <w:color w:val="auto"/>
        </w:rPr>
      </w:pPr>
    </w:p>
    <w:p>
      <w:pPr>
        <w:jc w:val="both"/>
        <w:ind w:left="660" w:hanging="652"/>
        <w:spacing w:after="0" w:line="386" w:lineRule="auto"/>
        <w:tabs>
          <w:tab w:leader="none" w:pos="6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primarily legal and consulting expenses are related to our response in the second quarter of fiscal 2026 to a one-time security matter from the first quarter. Given the non-recurring nature of the matter, these costs have been excluded from non-GAAP results to provide a clearer view of ongoing operating performance.</w:t>
      </w:r>
    </w:p>
    <w:p>
      <w:pPr>
        <w:spacing w:after="0" w:line="189" w:lineRule="exact"/>
        <w:rPr>
          <w:rFonts w:ascii="Arial" w:cs="Arial" w:eastAsia="Arial" w:hAnsi="Arial"/>
          <w:sz w:val="18"/>
          <w:szCs w:val="18"/>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for income taxes is adjusted to reflect Commvault’s estimated non-GAAP effective tax rate of 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7" w:right="339" w:bottom="1440" w:gutter="0" w:footer="0" w:header="0"/>
        </w:sectPr>
      </w:pPr>
    </w:p>
    <w:bookmarkStart w:id="20" w:name="page21"/>
    <w:bookmarkEnd w:id="20"/>
    <w:p>
      <w:pPr>
        <w:ind w:left="4380"/>
        <w:spacing w:after="0"/>
        <w:rPr>
          <w:sz w:val="20"/>
          <w:szCs w:val="20"/>
          <w:color w:val="auto"/>
        </w:rPr>
      </w:pPr>
      <w:r>
        <w:rPr>
          <w:rFonts w:ascii="Arial" w:cs="Arial" w:eastAsia="Arial" w:hAnsi="Arial"/>
          <w:sz w:val="18"/>
          <w:szCs w:val="18"/>
          <w:b w:val="1"/>
          <w:bCs w:val="1"/>
          <w:color w:val="auto"/>
        </w:rPr>
        <w:t>Commvault Systems, Inc.</w:t>
      </w:r>
    </w:p>
    <w:p>
      <w:pPr>
        <w:spacing w:after="0" w:line="5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Recast Historical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jc w:val="both"/>
        <w:spacing w:after="0" w:line="305" w:lineRule="exact"/>
        <w:rPr>
          <w:sz w:val="20"/>
          <w:szCs w:val="20"/>
          <w:color w:val="auto"/>
        </w:rPr>
      </w:pPr>
      <w:r>
        <w:rPr>
          <w:rFonts w:ascii="Arial" w:cs="Arial" w:eastAsia="Arial" w:hAnsi="Arial"/>
          <w:sz w:val="18"/>
          <w:szCs w:val="18"/>
          <w:color w:val="auto"/>
        </w:rPr>
        <w:t>Beginning in fiscal 2027, Commvault will disaggregate customer support revenue on the Consolidated Statements of Operations between support associated with term-based and perpetual software license arrangements. Customer support includes support contracts associated with our software products, including software updates on a when-and-if-available basis, telephone support, integrated web-based support, and other premium support offerings. There is no change to total revenues, customer support cost of revenue or total cost of revenues for any quarter in fiscal 2025 or fiscal 2026. The recast results for fiscal years 2025 and 2026 have been prepared on the same basis as the fiscal first</w:t>
      </w:r>
      <w:r>
        <w:rPr>
          <w:rFonts w:ascii="MS PGothic" w:cs="MS PGothic" w:eastAsia="MS PGothic" w:hAnsi="MS PGothic"/>
          <w:sz w:val="18"/>
          <w:szCs w:val="18"/>
          <w:color w:val="auto"/>
        </w:rPr>
        <w:t>‑</w:t>
      </w:r>
      <w:r>
        <w:rPr>
          <w:rFonts w:ascii="Arial" w:cs="Arial" w:eastAsia="Arial" w:hAnsi="Arial"/>
          <w:sz w:val="18"/>
          <w:szCs w:val="18"/>
          <w:color w:val="auto"/>
        </w:rPr>
        <w:t>quarter and full</w:t>
      </w:r>
      <w:r>
        <w:rPr>
          <w:rFonts w:ascii="MS PGothic" w:cs="MS PGothic" w:eastAsia="MS PGothic" w:hAnsi="MS PGothic"/>
          <w:sz w:val="18"/>
          <w:szCs w:val="18"/>
          <w:color w:val="auto"/>
        </w:rPr>
        <w:t>‑</w:t>
      </w:r>
      <w:r>
        <w:rPr>
          <w:rFonts w:ascii="Arial" w:cs="Arial" w:eastAsia="Arial" w:hAnsi="Arial"/>
          <w:sz w:val="18"/>
          <w:szCs w:val="18"/>
          <w:color w:val="auto"/>
        </w:rPr>
        <w:t>year fiscal 2027 guidance presented earlier in this earnings press release.</w:t>
      </w:r>
    </w:p>
    <w:p>
      <w:pPr>
        <w:spacing w:after="0" w:line="266"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Customer support revenue related to term-based software license arrangements ("Term-based support") will be included in total subscription revenue and recognized ratably over contractual terms that typically range from one to three years. Customer support revenue related to perpetual software license arrangements ("Perpetual support") will be recognized ratably over contractual terms, typically one year. There is no change to the underlying revenue recognition treatment for these line items.</w:t>
      </w:r>
    </w:p>
    <w:p>
      <w:pPr>
        <w:spacing w:after="0" w:line="171"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The table below recasts the results for fiscal 2025 and 2026 using the Consolidated Statements of Operations lines that will be effective beginning fiscal 2027.</w:t>
      </w:r>
    </w:p>
    <w:tbl>
      <w:tblPr>
        <w:tblLayout w:type="fixed"/>
        <w:tblInd w:w="116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Fiscal 2026</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29"/>
        </w:trPr>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Q1'26</w:t>
            </w:r>
          </w:p>
        </w:tc>
        <w:tc>
          <w:tcPr>
            <w:tcW w:w="20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Q2'26</w:t>
            </w:r>
          </w:p>
        </w:tc>
        <w:tc>
          <w:tcPr>
            <w:tcW w:w="1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Q3'26</w:t>
            </w:r>
          </w:p>
        </w:tc>
        <w:tc>
          <w:tcPr>
            <w:tcW w:w="1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Q4'26</w:t>
            </w:r>
          </w:p>
        </w:tc>
        <w:tc>
          <w:tcPr>
            <w:tcW w:w="160" w:type="dxa"/>
            <w:vAlign w:val="bottom"/>
          </w:tcPr>
          <w:p>
            <w:pPr>
              <w:spacing w:after="0"/>
              <w:rPr>
                <w:sz w:val="19"/>
                <w:szCs w:val="19"/>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FY'26</w:t>
            </w:r>
          </w:p>
        </w:tc>
      </w:tr>
      <w:tr>
        <w:trPr>
          <w:trHeight w:val="21"/>
        </w:trPr>
        <w:tc>
          <w:tcPr>
            <w:tcW w:w="35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76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EAEAEA"/>
            </w:tcBorders>
            <w:shd w:val="clear" w:color="auto" w:fill="EAEAEA"/>
          </w:tcPr>
          <w:p>
            <w:pPr>
              <w:spacing w:after="0"/>
              <w:rPr>
                <w:sz w:val="20"/>
                <w:szCs w:val="20"/>
                <w:color w:val="auto"/>
              </w:rPr>
            </w:pPr>
          </w:p>
        </w:tc>
        <w:tc>
          <w:tcPr>
            <w:tcW w:w="840" w:type="dxa"/>
            <w:vAlign w:val="bottom"/>
            <w:tcBorders>
              <w:bottom w:val="single" w:sz="8" w:color="EAEAEA"/>
            </w:tcBorders>
            <w:shd w:val="clear" w:color="auto" w:fill="EAEAEA"/>
          </w:tcPr>
          <w:p>
            <w:pPr>
              <w:spacing w:after="0"/>
              <w:rPr>
                <w:sz w:val="20"/>
                <w:szCs w:val="20"/>
                <w:color w:val="auto"/>
              </w:rPr>
            </w:pP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9"/>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360"/>
              <w:spacing w:after="0"/>
              <w:rPr>
                <w:sz w:val="20"/>
                <w:szCs w:val="20"/>
                <w:color w:val="auto"/>
              </w:rPr>
            </w:pPr>
            <w:r>
              <w:rPr>
                <w:rFonts w:ascii="Arial" w:cs="Arial" w:eastAsia="Arial" w:hAnsi="Arial"/>
                <w:sz w:val="16"/>
                <w:szCs w:val="16"/>
                <w:color w:val="auto"/>
              </w:rPr>
              <w:t>Term-based license</w:t>
            </w: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109,282</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92,647</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118,950</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114,445</w:t>
            </w:r>
          </w:p>
        </w:tc>
        <w:tc>
          <w:tcPr>
            <w:tcW w:w="14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435,324</w:t>
            </w:r>
          </w:p>
        </w:tc>
      </w:tr>
      <w:tr>
        <w:trPr>
          <w:trHeight w:val="241"/>
        </w:trPr>
        <w:tc>
          <w:tcPr>
            <w:tcW w:w="3540" w:type="dxa"/>
            <w:vAlign w:val="bottom"/>
          </w:tcPr>
          <w:p>
            <w:pPr>
              <w:ind w:left="360"/>
              <w:spacing w:after="0"/>
              <w:rPr>
                <w:sz w:val="20"/>
                <w:szCs w:val="20"/>
                <w:color w:val="auto"/>
              </w:rPr>
            </w:pPr>
            <w:r>
              <w:rPr>
                <w:rFonts w:ascii="Arial" w:cs="Arial" w:eastAsia="Arial" w:hAnsi="Arial"/>
                <w:sz w:val="16"/>
                <w:szCs w:val="16"/>
                <w:color w:val="auto"/>
              </w:rPr>
              <w:t>Term-based support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49,686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50,962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202,163</w:t>
            </w:r>
          </w:p>
        </w:tc>
      </w:tr>
      <w:tr>
        <w:trPr>
          <w:trHeight w:val="29"/>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40" w:type="dxa"/>
            <w:vAlign w:val="bottom"/>
            <w:tcBorders>
              <w:bottom w:val="single" w:sz="8" w:color="EAEAEA"/>
            </w:tcBorders>
            <w:shd w:val="clear" w:color="auto" w:fill="EAEAEA"/>
          </w:tcPr>
          <w:p>
            <w:pPr>
              <w:ind w:left="360"/>
              <w:spacing w:after="0"/>
              <w:rPr>
                <w:sz w:val="20"/>
                <w:szCs w:val="20"/>
                <w:color w:val="auto"/>
              </w:rPr>
            </w:pPr>
            <w:r>
              <w:rPr>
                <w:rFonts w:ascii="Arial" w:cs="Arial" w:eastAsia="Arial" w:hAnsi="Arial"/>
                <w:sz w:val="16"/>
                <w:szCs w:val="16"/>
                <w:color w:val="auto"/>
              </w:rPr>
              <w:t>Software-as-a-service</w:t>
            </w: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72,445</w:t>
            </w:r>
          </w:p>
        </w:tc>
        <w:tc>
          <w:tcPr>
            <w:tcW w:w="120" w:type="dxa"/>
            <w:vAlign w:val="bottom"/>
            <w:tcBorders>
              <w:bottom w:val="single" w:sz="8" w:color="EAEAEA"/>
            </w:tcBorders>
            <w:shd w:val="clear" w:color="auto" w:fill="EAEAEA"/>
          </w:tcPr>
          <w:p>
            <w:pPr>
              <w:spacing w:after="0"/>
              <w:rPr>
                <w:sz w:val="23"/>
                <w:szCs w:val="23"/>
                <w:color w:val="auto"/>
              </w:rPr>
            </w:pPr>
          </w:p>
        </w:tc>
        <w:tc>
          <w:tcPr>
            <w:tcW w:w="20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80,018</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87,379</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93,139</w:t>
            </w:r>
          </w:p>
        </w:tc>
        <w:tc>
          <w:tcPr>
            <w:tcW w:w="140" w:type="dxa"/>
            <w:vAlign w:val="bottom"/>
            <w:tcBorders>
              <w:bottom w:val="single" w:sz="8" w:color="EAEAEA"/>
            </w:tcBorders>
            <w:shd w:val="clear" w:color="auto" w:fill="EAEAEA"/>
          </w:tcPr>
          <w:p>
            <w:pPr>
              <w:spacing w:after="0"/>
              <w:rPr>
                <w:sz w:val="23"/>
                <w:szCs w:val="23"/>
                <w:color w:val="auto"/>
              </w:rPr>
            </w:pPr>
          </w:p>
        </w:tc>
        <w:tc>
          <w:tcPr>
            <w:tcW w:w="160" w:type="dxa"/>
            <w:vAlign w:val="bottom"/>
            <w:tcBorders>
              <w:bottom w:val="single" w:sz="8" w:color="EAEAEA"/>
            </w:tcBorders>
            <w:shd w:val="clear" w:color="auto" w:fill="EAEAEA"/>
          </w:tcPr>
          <w:p>
            <w:pPr>
              <w:spacing w:after="0"/>
              <w:rPr>
                <w:sz w:val="23"/>
                <w:szCs w:val="23"/>
                <w:color w:val="auto"/>
              </w:rPr>
            </w:pP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332,981</w:t>
            </w:r>
          </w:p>
        </w:tc>
      </w:tr>
      <w:tr>
        <w:trPr>
          <w:trHeight w:val="221"/>
        </w:trPr>
        <w:tc>
          <w:tcPr>
            <w:tcW w:w="3540" w:type="dxa"/>
            <w:vAlign w:val="bottom"/>
          </w:tcPr>
          <w:p>
            <w:pPr>
              <w:ind w:left="140"/>
              <w:spacing w:after="0"/>
              <w:rPr>
                <w:sz w:val="20"/>
                <w:szCs w:val="20"/>
                <w:color w:val="auto"/>
              </w:rPr>
            </w:pPr>
            <w:r>
              <w:rPr>
                <w:rFonts w:ascii="Arial" w:cs="Arial" w:eastAsia="Arial" w:hAnsi="Arial"/>
                <w:sz w:val="16"/>
                <w:szCs w:val="16"/>
                <w:color w:val="auto"/>
              </w:rPr>
              <w:t>Total subscription</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229,309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222,351</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257,291</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261,517</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970,468</w:t>
            </w:r>
          </w:p>
        </w:tc>
      </w:tr>
      <w:tr>
        <w:trPr>
          <w:trHeight w:val="29"/>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Perpetual license</w:t>
            </w: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7,335</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12,073</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13,675</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10,129</w:t>
            </w:r>
          </w:p>
        </w:tc>
        <w:tc>
          <w:tcPr>
            <w:tcW w:w="14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shd w:val="clear" w:color="auto" w:fill="EAEAEA"/>
          </w:tcPr>
          <w:p>
            <w:pPr>
              <w:spacing w:after="0"/>
              <w:rPr>
                <w:sz w:val="21"/>
                <w:szCs w:val="21"/>
                <w:color w:val="auto"/>
              </w:rPr>
            </w:pP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43,212</w:t>
            </w: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Perpetual support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31,439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30,543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26,972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118,263</w:t>
            </w:r>
          </w:p>
        </w:tc>
      </w:tr>
      <w:tr>
        <w:trPr>
          <w:trHeight w:val="29"/>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Other services</w:t>
            </w: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13,895</w:t>
            </w:r>
          </w:p>
        </w:tc>
        <w:tc>
          <w:tcPr>
            <w:tcW w:w="120" w:type="dxa"/>
            <w:vAlign w:val="bottom"/>
            <w:tcBorders>
              <w:bottom w:val="single" w:sz="8" w:color="EAEAEA"/>
            </w:tcBorders>
            <w:shd w:val="clear" w:color="auto" w:fill="EAEAEA"/>
          </w:tcPr>
          <w:p>
            <w:pPr>
              <w:spacing w:after="0"/>
              <w:rPr>
                <w:sz w:val="23"/>
                <w:szCs w:val="23"/>
                <w:color w:val="auto"/>
              </w:rPr>
            </w:pPr>
          </w:p>
        </w:tc>
        <w:tc>
          <w:tcPr>
            <w:tcW w:w="20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11,221</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13,557</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13,074</w:t>
            </w:r>
          </w:p>
        </w:tc>
        <w:tc>
          <w:tcPr>
            <w:tcW w:w="140" w:type="dxa"/>
            <w:vAlign w:val="bottom"/>
            <w:tcBorders>
              <w:bottom w:val="single" w:sz="8" w:color="EAEAEA"/>
            </w:tcBorders>
            <w:shd w:val="clear" w:color="auto" w:fill="EAEAEA"/>
          </w:tcPr>
          <w:p>
            <w:pPr>
              <w:spacing w:after="0"/>
              <w:rPr>
                <w:sz w:val="23"/>
                <w:szCs w:val="23"/>
                <w:color w:val="auto"/>
              </w:rPr>
            </w:pPr>
          </w:p>
        </w:tc>
        <w:tc>
          <w:tcPr>
            <w:tcW w:w="160" w:type="dxa"/>
            <w:vAlign w:val="bottom"/>
            <w:tcBorders>
              <w:bottom w:val="single" w:sz="8" w:color="EAEAEA"/>
            </w:tcBorders>
            <w:shd w:val="clear" w:color="auto" w:fill="EAEAEA"/>
          </w:tcPr>
          <w:p>
            <w:pPr>
              <w:spacing w:after="0"/>
              <w:rPr>
                <w:sz w:val="23"/>
                <w:szCs w:val="23"/>
                <w:color w:val="auto"/>
              </w:rPr>
            </w:pP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51,747</w:t>
            </w:r>
          </w:p>
        </w:tc>
      </w:t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281,978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276,188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313,832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311,692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1,183,690</w:t>
            </w:r>
          </w:p>
        </w:tc>
      </w:tr>
      <w:tr>
        <w:trPr>
          <w:trHeight w:val="20"/>
        </w:trPr>
        <w:tc>
          <w:tcPr>
            <w:tcW w:w="35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78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7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7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7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840" w:type="dxa"/>
            <w:vAlign w:val="bottom"/>
            <w:shd w:val="clear" w:color="auto" w:fill="EAEAEA"/>
          </w:tcPr>
          <w:p>
            <w:pPr>
              <w:spacing w:after="0"/>
              <w:rPr>
                <w:sz w:val="20"/>
                <w:szCs w:val="20"/>
                <w:color w:val="auto"/>
              </w:rPr>
            </w:pPr>
          </w:p>
        </w:tc>
      </w:tr>
      <w:tr>
        <w:trPr>
          <w:trHeight w:val="241"/>
        </w:trPr>
        <w:tc>
          <w:tcPr>
            <w:tcW w:w="354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9"/>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Term-based license</w:t>
            </w: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2,414</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2,999</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3,007</w:t>
            </w:r>
          </w:p>
        </w:tc>
        <w:tc>
          <w:tcPr>
            <w:tcW w:w="14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10,662</w:t>
            </w: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Software-as-a-service</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25,972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29,187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31,587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31,555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118,301</w:t>
            </w:r>
          </w:p>
        </w:tc>
      </w:tr>
      <w:tr>
        <w:trPr>
          <w:trHeight w:val="29"/>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Perpetual license</w:t>
            </w: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60</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EAEAEA"/>
            </w:tcBorders>
            <w:shd w:val="clear" w:color="auto" w:fill="EAEAEA"/>
          </w:tcPr>
          <w:p>
            <w:pPr>
              <w:spacing w:after="0"/>
              <w:rPr>
                <w:sz w:val="21"/>
                <w:szCs w:val="21"/>
                <w:color w:val="auto"/>
              </w:rPr>
            </w:pPr>
          </w:p>
        </w:tc>
        <w:tc>
          <w:tcPr>
            <w:tcW w:w="160" w:type="dxa"/>
            <w:vAlign w:val="bottom"/>
            <w:tcBorders>
              <w:bottom w:val="single" w:sz="8" w:color="EAEAEA"/>
            </w:tcBorders>
            <w:shd w:val="clear" w:color="auto" w:fill="EAEAEA"/>
          </w:tcPr>
          <w:p>
            <w:pPr>
              <w:spacing w:after="0"/>
              <w:rPr>
                <w:sz w:val="21"/>
                <w:szCs w:val="21"/>
                <w:color w:val="auto"/>
              </w:rPr>
            </w:pP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531</w:t>
            </w: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Customer support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14,847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14,397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58,879</w:t>
            </w:r>
          </w:p>
        </w:tc>
      </w:tr>
      <w:tr>
        <w:trPr>
          <w:trHeight w:val="29"/>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Other services</w:t>
            </w: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8,111</w:t>
            </w:r>
          </w:p>
        </w:tc>
        <w:tc>
          <w:tcPr>
            <w:tcW w:w="120" w:type="dxa"/>
            <w:vAlign w:val="bottom"/>
            <w:tcBorders>
              <w:bottom w:val="single" w:sz="8" w:color="EAEAEA"/>
            </w:tcBorders>
            <w:shd w:val="clear" w:color="auto" w:fill="EAEAEA"/>
          </w:tcPr>
          <w:p>
            <w:pPr>
              <w:spacing w:after="0"/>
              <w:rPr>
                <w:sz w:val="23"/>
                <w:szCs w:val="23"/>
                <w:color w:val="auto"/>
              </w:rPr>
            </w:pPr>
          </w:p>
        </w:tc>
        <w:tc>
          <w:tcPr>
            <w:tcW w:w="20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8,402</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9,221</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9,013</w:t>
            </w:r>
          </w:p>
        </w:tc>
        <w:tc>
          <w:tcPr>
            <w:tcW w:w="140" w:type="dxa"/>
            <w:vAlign w:val="bottom"/>
            <w:tcBorders>
              <w:bottom w:val="single" w:sz="8" w:color="EAEAEA"/>
            </w:tcBorders>
            <w:shd w:val="clear" w:color="auto" w:fill="EAEAEA"/>
          </w:tcPr>
          <w:p>
            <w:pPr>
              <w:spacing w:after="0"/>
              <w:rPr>
                <w:sz w:val="23"/>
                <w:szCs w:val="23"/>
                <w:color w:val="auto"/>
              </w:rPr>
            </w:pPr>
          </w:p>
        </w:tc>
        <w:tc>
          <w:tcPr>
            <w:tcW w:w="160" w:type="dxa"/>
            <w:vAlign w:val="bottom"/>
            <w:tcBorders>
              <w:bottom w:val="single" w:sz="8" w:color="EAEAEA"/>
            </w:tcBorders>
            <w:shd w:val="clear" w:color="auto" w:fill="EAEAEA"/>
          </w:tcPr>
          <w:p>
            <w:pPr>
              <w:spacing w:after="0"/>
              <w:rPr>
                <w:sz w:val="23"/>
                <w:szCs w:val="23"/>
                <w:color w:val="auto"/>
              </w:rPr>
            </w:pPr>
          </w:p>
        </w:tc>
        <w:tc>
          <w:tcPr>
            <w:tcW w:w="8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34,747</w:t>
            </w:r>
          </w:p>
        </w:tc>
      </w:t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50,777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55,044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59,295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58,004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223,120</w:t>
            </w: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44" w:right="339" w:bottom="1440" w:gutter="0" w:footer="0" w:header="0"/>
        </w:sectPr>
      </w:pPr>
    </w:p>
    <w:bookmarkStart w:id="21" w:name="page22"/>
    <w:bookmarkEnd w:id="21"/>
    <w:tbl>
      <w:tblPr>
        <w:tblLayout w:type="fixed"/>
        <w:tblInd w:w="116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Fiscal 2025</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29"/>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Q1'25</w:t>
            </w:r>
          </w:p>
        </w:tc>
        <w:tc>
          <w:tcPr>
            <w:tcW w:w="1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Q2'25</w:t>
            </w:r>
          </w:p>
        </w:tc>
        <w:tc>
          <w:tcPr>
            <w:tcW w:w="18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Q3'25</w:t>
            </w:r>
          </w:p>
        </w:tc>
        <w:tc>
          <w:tcPr>
            <w:tcW w:w="1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Q4'25</w:t>
            </w:r>
          </w:p>
        </w:tc>
        <w:tc>
          <w:tcPr>
            <w:tcW w:w="200" w:type="dxa"/>
            <w:vAlign w:val="bottom"/>
          </w:tcPr>
          <w:p>
            <w:pPr>
              <w:spacing w:after="0"/>
              <w:rPr>
                <w:sz w:val="19"/>
                <w:szCs w:val="19"/>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FY'25</w:t>
            </w:r>
          </w:p>
        </w:tc>
      </w:tr>
      <w:tr>
        <w:trPr>
          <w:trHeight w:val="21"/>
        </w:trPr>
        <w:tc>
          <w:tcPr>
            <w:tcW w:w="354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EAEAEA"/>
            </w:tcBorders>
            <w:shd w:val="clear" w:color="auto" w:fill="EAEAEA"/>
          </w:tcPr>
          <w:p>
            <w:pPr>
              <w:spacing w:after="0"/>
              <w:rPr>
                <w:sz w:val="20"/>
                <w:szCs w:val="20"/>
                <w:color w:val="auto"/>
              </w:rPr>
            </w:pPr>
          </w:p>
        </w:tc>
        <w:tc>
          <w:tcPr>
            <w:tcW w:w="76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EAEAEA"/>
            </w:tcBorders>
            <w:shd w:val="clear" w:color="auto" w:fill="EAEAEA"/>
          </w:tcPr>
          <w:p>
            <w:pPr>
              <w:spacing w:after="0"/>
              <w:rPr>
                <w:sz w:val="20"/>
                <w:szCs w:val="20"/>
                <w:color w:val="auto"/>
              </w:rPr>
            </w:pPr>
          </w:p>
        </w:tc>
        <w:tc>
          <w:tcPr>
            <w:tcW w:w="180" w:type="dxa"/>
            <w:vAlign w:val="bottom"/>
            <w:tcBorders>
              <w:bottom w:val="single" w:sz="8" w:color="EAEAEA"/>
            </w:tcBorders>
            <w:shd w:val="clear" w:color="auto" w:fill="EAEAEA"/>
          </w:tcPr>
          <w:p>
            <w:pPr>
              <w:spacing w:after="0"/>
              <w:rPr>
                <w:sz w:val="20"/>
                <w:szCs w:val="20"/>
                <w:color w:val="auto"/>
              </w:rPr>
            </w:pPr>
          </w:p>
        </w:tc>
        <w:tc>
          <w:tcPr>
            <w:tcW w:w="8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200" w:type="dxa"/>
            <w:vAlign w:val="bottom"/>
            <w:tcBorders>
              <w:bottom w:val="single" w:sz="8" w:color="EAEAEA"/>
            </w:tcBorders>
            <w:shd w:val="clear" w:color="auto" w:fill="EAEAEA"/>
          </w:tcPr>
          <w:p>
            <w:pPr>
              <w:spacing w:after="0"/>
              <w:rPr>
                <w:sz w:val="20"/>
                <w:szCs w:val="20"/>
                <w:color w:val="auto"/>
              </w:rPr>
            </w:pPr>
          </w:p>
        </w:tc>
        <w:tc>
          <w:tcPr>
            <w:tcW w:w="780" w:type="dxa"/>
            <w:vAlign w:val="bottom"/>
            <w:tcBorders>
              <w:bottom w:val="single" w:sz="8" w:color="EAEAEA"/>
            </w:tcBorders>
            <w:shd w:val="clear" w:color="auto" w:fill="EAEAEA"/>
          </w:tcPr>
          <w:p>
            <w:pPr>
              <w:spacing w:after="0"/>
              <w:rPr>
                <w:sz w:val="20"/>
                <w:szCs w:val="20"/>
                <w:color w:val="auto"/>
              </w:rPr>
            </w:pP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360"/>
              <w:spacing w:after="0"/>
              <w:rPr>
                <w:sz w:val="20"/>
                <w:szCs w:val="20"/>
                <w:color w:val="auto"/>
              </w:rPr>
            </w:pPr>
            <w:r>
              <w:rPr>
                <w:rFonts w:ascii="Arial" w:cs="Arial" w:eastAsia="Arial" w:hAnsi="Arial"/>
                <w:sz w:val="16"/>
                <w:szCs w:val="16"/>
                <w:color w:val="auto"/>
              </w:rPr>
              <w:t>Term-based license</w:t>
            </w:r>
          </w:p>
        </w:tc>
        <w:tc>
          <w:tcPr>
            <w:tcW w:w="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80,405</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84,427</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97,625</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107,954</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370,411</w:t>
            </w:r>
          </w:p>
        </w:tc>
      </w:tr>
      <w:tr>
        <w:trPr>
          <w:trHeight w:val="241"/>
        </w:trPr>
        <w:tc>
          <w:tcPr>
            <w:tcW w:w="3540" w:type="dxa"/>
            <w:vAlign w:val="bottom"/>
          </w:tcPr>
          <w:p>
            <w:pPr>
              <w:ind w:left="360"/>
              <w:spacing w:after="0"/>
              <w:rPr>
                <w:sz w:val="20"/>
                <w:szCs w:val="20"/>
                <w:color w:val="auto"/>
              </w:rPr>
            </w:pPr>
            <w:r>
              <w:rPr>
                <w:rFonts w:ascii="Arial" w:cs="Arial" w:eastAsia="Arial" w:hAnsi="Arial"/>
                <w:sz w:val="16"/>
                <w:szCs w:val="16"/>
                <w:color w:val="auto"/>
              </w:rPr>
              <w:t>Term-based support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39,727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41,829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43,047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44,605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169,208</w:t>
            </w: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tcBorders>
              <w:bottom w:val="single" w:sz="8" w:color="EAEAEA"/>
            </w:tcBorders>
            <w:shd w:val="clear" w:color="auto" w:fill="EAEAEA"/>
          </w:tcPr>
          <w:p>
            <w:pPr>
              <w:ind w:left="360"/>
              <w:spacing w:after="0"/>
              <w:rPr>
                <w:sz w:val="20"/>
                <w:szCs w:val="20"/>
                <w:color w:val="auto"/>
              </w:rPr>
            </w:pPr>
            <w:r>
              <w:rPr>
                <w:rFonts w:ascii="Arial" w:cs="Arial" w:eastAsia="Arial" w:hAnsi="Arial"/>
                <w:sz w:val="16"/>
                <w:szCs w:val="16"/>
                <w:color w:val="auto"/>
              </w:rPr>
              <w:t>Software-as-a-service</w:t>
            </w:r>
          </w:p>
        </w:tc>
        <w:tc>
          <w:tcPr>
            <w:tcW w:w="20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43,675</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49,611</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60,696</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8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65,274</w:t>
            </w:r>
          </w:p>
        </w:tc>
        <w:tc>
          <w:tcPr>
            <w:tcW w:w="120" w:type="dxa"/>
            <w:vAlign w:val="bottom"/>
            <w:tcBorders>
              <w:bottom w:val="single" w:sz="8" w:color="EAEAEA"/>
            </w:tcBorders>
            <w:shd w:val="clear" w:color="auto" w:fill="EAEAEA"/>
          </w:tcPr>
          <w:p>
            <w:pPr>
              <w:spacing w:after="0"/>
              <w:rPr>
                <w:sz w:val="23"/>
                <w:szCs w:val="23"/>
                <w:color w:val="auto"/>
              </w:rPr>
            </w:pPr>
          </w:p>
        </w:tc>
        <w:tc>
          <w:tcPr>
            <w:tcW w:w="20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219,256</w:t>
            </w:r>
          </w:p>
        </w:tc>
      </w:tr>
      <w:tr>
        <w:trPr>
          <w:trHeight w:val="221"/>
        </w:trPr>
        <w:tc>
          <w:tcPr>
            <w:tcW w:w="3540" w:type="dxa"/>
            <w:vAlign w:val="bottom"/>
          </w:tcPr>
          <w:p>
            <w:pPr>
              <w:ind w:left="140"/>
              <w:spacing w:after="0"/>
              <w:rPr>
                <w:sz w:val="20"/>
                <w:szCs w:val="20"/>
                <w:color w:val="auto"/>
              </w:rPr>
            </w:pPr>
            <w:r>
              <w:rPr>
                <w:rFonts w:ascii="Arial" w:cs="Arial" w:eastAsia="Arial" w:hAnsi="Arial"/>
                <w:sz w:val="16"/>
                <w:szCs w:val="16"/>
                <w:color w:val="auto"/>
              </w:rPr>
              <w:t>Total subscription</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163,807</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175,867</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201,368</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217,833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758,875</w:t>
            </w: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Perpetual license</w:t>
            </w:r>
          </w:p>
        </w:tc>
        <w:tc>
          <w:tcPr>
            <w:tcW w:w="200" w:type="dxa"/>
            <w:vAlign w:val="bottom"/>
            <w:tcBorders>
              <w:bottom w:val="single" w:sz="8" w:color="EAEAEA"/>
            </w:tcBorders>
            <w:shd w:val="clear" w:color="auto" w:fill="EAEAEA"/>
          </w:tcPr>
          <w:p>
            <w:pPr>
              <w:spacing w:after="0"/>
              <w:rPr>
                <w:sz w:val="21"/>
                <w:szCs w:val="21"/>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13,736</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10,522</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16,423</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8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14,962</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55,643</w:t>
            </w: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Perpetual support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36,561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31,904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138,355</w:t>
            </w: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Other services</w:t>
            </w:r>
          </w:p>
        </w:tc>
        <w:tc>
          <w:tcPr>
            <w:tcW w:w="20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10,568</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11,030</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10,808</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8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10,340</w:t>
            </w:r>
          </w:p>
        </w:tc>
        <w:tc>
          <w:tcPr>
            <w:tcW w:w="120" w:type="dxa"/>
            <w:vAlign w:val="bottom"/>
            <w:tcBorders>
              <w:bottom w:val="single" w:sz="8" w:color="EAEAEA"/>
            </w:tcBorders>
            <w:shd w:val="clear" w:color="auto" w:fill="EAEAEA"/>
          </w:tcPr>
          <w:p>
            <w:pPr>
              <w:spacing w:after="0"/>
              <w:rPr>
                <w:sz w:val="23"/>
                <w:szCs w:val="23"/>
                <w:color w:val="auto"/>
              </w:rPr>
            </w:pPr>
          </w:p>
        </w:tc>
        <w:tc>
          <w:tcPr>
            <w:tcW w:w="20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42,746</w:t>
            </w:r>
          </w:p>
        </w:tc>
      </w:t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224,672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233,278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262,630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275,039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995,619</w:t>
            </w:r>
          </w:p>
        </w:tc>
      </w:tr>
      <w:tr>
        <w:trPr>
          <w:trHeight w:val="20"/>
        </w:trPr>
        <w:tc>
          <w:tcPr>
            <w:tcW w:w="354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EAEAEA"/>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76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7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78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80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780" w:type="dxa"/>
            <w:vAlign w:val="bottom"/>
            <w:shd w:val="clear" w:color="auto" w:fill="EAEAEA"/>
          </w:tcPr>
          <w:p>
            <w:pPr>
              <w:spacing w:after="0"/>
              <w:rPr>
                <w:sz w:val="20"/>
                <w:szCs w:val="20"/>
                <w:color w:val="auto"/>
              </w:rPr>
            </w:pPr>
          </w:p>
        </w:tc>
      </w:tr>
      <w:tr>
        <w:trPr>
          <w:trHeight w:val="241"/>
        </w:trPr>
        <w:tc>
          <w:tcPr>
            <w:tcW w:w="354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Term-based license</w:t>
            </w:r>
          </w:p>
        </w:tc>
        <w:tc>
          <w:tcPr>
            <w:tcW w:w="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1,778</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2,371</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2,653</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2,756</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9,558</w:t>
            </w: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Software-as-a-service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15,762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23,045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79,341</w:t>
            </w: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Perpetual license</w:t>
            </w:r>
          </w:p>
        </w:tc>
        <w:tc>
          <w:tcPr>
            <w:tcW w:w="200" w:type="dxa"/>
            <w:vAlign w:val="bottom"/>
            <w:tcBorders>
              <w:bottom w:val="single" w:sz="8" w:color="EAEAEA"/>
            </w:tcBorders>
            <w:shd w:val="clear" w:color="auto" w:fill="EAEAEA"/>
          </w:tcPr>
          <w:p>
            <w:pPr>
              <w:spacing w:after="0"/>
              <w:rPr>
                <w:sz w:val="21"/>
                <w:szCs w:val="21"/>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337</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441</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tcBorders>
            <w:shd w:val="clear" w:color="auto" w:fill="EAEAEA"/>
          </w:tcPr>
          <w:p>
            <w:pPr>
              <w:spacing w:after="0"/>
              <w:rPr>
                <w:sz w:val="21"/>
                <w:szCs w:val="21"/>
                <w:color w:val="auto"/>
              </w:rPr>
            </w:pPr>
          </w:p>
        </w:tc>
        <w:tc>
          <w:tcPr>
            <w:tcW w:w="8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EAEAEA"/>
            </w:tcBorders>
            <w:shd w:val="clear" w:color="auto" w:fill="EAEAEA"/>
          </w:tcPr>
          <w:p>
            <w:pPr>
              <w:spacing w:after="0"/>
              <w:rPr>
                <w:sz w:val="21"/>
                <w:szCs w:val="21"/>
                <w:color w:val="auto"/>
              </w:rPr>
            </w:pPr>
          </w:p>
        </w:tc>
        <w:tc>
          <w:tcPr>
            <w:tcW w:w="200" w:type="dxa"/>
            <w:vAlign w:val="bottom"/>
            <w:tcBorders>
              <w:bottom w:val="single" w:sz="8" w:color="EAEAEA"/>
            </w:tcBorders>
            <w:shd w:val="clear" w:color="auto" w:fill="EAEAEA"/>
          </w:tcPr>
          <w:p>
            <w:pPr>
              <w:spacing w:after="0"/>
              <w:rPr>
                <w:sz w:val="21"/>
                <w:szCs w:val="21"/>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1,500</w:t>
            </w:r>
          </w:p>
        </w:tc>
      </w:tr>
      <w:tr>
        <w:trPr>
          <w:trHeight w:val="241"/>
        </w:trPr>
        <w:tc>
          <w:tcPr>
            <w:tcW w:w="3540" w:type="dxa"/>
            <w:vAlign w:val="bottom"/>
          </w:tcPr>
          <w:p>
            <w:pPr>
              <w:ind w:left="140"/>
              <w:spacing w:after="0"/>
              <w:rPr>
                <w:sz w:val="20"/>
                <w:szCs w:val="20"/>
                <w:color w:val="auto"/>
              </w:rPr>
            </w:pPr>
            <w:r>
              <w:rPr>
                <w:rFonts w:ascii="Arial" w:cs="Arial" w:eastAsia="Arial" w:hAnsi="Arial"/>
                <w:sz w:val="16"/>
                <w:szCs w:val="16"/>
                <w:color w:val="auto"/>
              </w:rPr>
              <w:t>Customer support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14,263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13,746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57,680</w:t>
            </w:r>
          </w:p>
        </w:tc>
      </w:tr>
      <w:tr>
        <w:trPr>
          <w:trHeight w:val="29"/>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6"/>
                <w:szCs w:val="16"/>
                <w:color w:val="auto"/>
              </w:rPr>
              <w:t>Other services</w:t>
            </w:r>
          </w:p>
        </w:tc>
        <w:tc>
          <w:tcPr>
            <w:tcW w:w="20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7,648</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7,578</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7,823</w:t>
            </w:r>
          </w:p>
        </w:tc>
        <w:tc>
          <w:tcPr>
            <w:tcW w:w="140" w:type="dxa"/>
            <w:vAlign w:val="bottom"/>
            <w:tcBorders>
              <w:bottom w:val="single" w:sz="8" w:color="EAEAEA"/>
            </w:tcBorders>
            <w:shd w:val="clear" w:color="auto" w:fill="EAEAEA"/>
          </w:tcPr>
          <w:p>
            <w:pPr>
              <w:spacing w:after="0"/>
              <w:rPr>
                <w:sz w:val="23"/>
                <w:szCs w:val="23"/>
                <w:color w:val="auto"/>
              </w:rPr>
            </w:pPr>
          </w:p>
        </w:tc>
        <w:tc>
          <w:tcPr>
            <w:tcW w:w="180" w:type="dxa"/>
            <w:vAlign w:val="bottom"/>
            <w:tcBorders>
              <w:bottom w:val="single" w:sz="8" w:color="EAEAEA"/>
            </w:tcBorders>
            <w:shd w:val="clear" w:color="auto" w:fill="EAEAEA"/>
          </w:tcPr>
          <w:p>
            <w:pPr>
              <w:spacing w:after="0"/>
              <w:rPr>
                <w:sz w:val="23"/>
                <w:szCs w:val="23"/>
                <w:color w:val="auto"/>
              </w:rPr>
            </w:pPr>
          </w:p>
        </w:tc>
        <w:tc>
          <w:tcPr>
            <w:tcW w:w="800" w:type="dxa"/>
            <w:vAlign w:val="bottom"/>
            <w:tcBorders>
              <w:bottom w:val="single" w:sz="8" w:color="EAEAEA"/>
            </w:tcBorders>
            <w:shd w:val="clear" w:color="auto" w:fill="EAEAEA"/>
          </w:tcPr>
          <w:p>
            <w:pPr>
              <w:jc w:val="right"/>
              <w:ind w:right="19"/>
              <w:spacing w:after="0"/>
              <w:rPr>
                <w:sz w:val="20"/>
                <w:szCs w:val="20"/>
                <w:color w:val="auto"/>
              </w:rPr>
            </w:pPr>
            <w:r>
              <w:rPr>
                <w:rFonts w:ascii="Arial" w:cs="Arial" w:eastAsia="Arial" w:hAnsi="Arial"/>
                <w:sz w:val="16"/>
                <w:szCs w:val="16"/>
                <w:color w:val="auto"/>
              </w:rPr>
              <w:t>7,907</w:t>
            </w:r>
          </w:p>
        </w:tc>
        <w:tc>
          <w:tcPr>
            <w:tcW w:w="120" w:type="dxa"/>
            <w:vAlign w:val="bottom"/>
            <w:tcBorders>
              <w:bottom w:val="single" w:sz="8" w:color="EAEAEA"/>
            </w:tcBorders>
            <w:shd w:val="clear" w:color="auto" w:fill="EAEAEA"/>
          </w:tcPr>
          <w:p>
            <w:pPr>
              <w:spacing w:after="0"/>
              <w:rPr>
                <w:sz w:val="23"/>
                <w:szCs w:val="23"/>
                <w:color w:val="auto"/>
              </w:rPr>
            </w:pPr>
          </w:p>
        </w:tc>
        <w:tc>
          <w:tcPr>
            <w:tcW w:w="20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30,956</w:t>
            </w:r>
          </w:p>
        </w:tc>
      </w:t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39,788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42,862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48,619</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47,766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179,035</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In addition, beginning in fiscal 2027, Commvault will recast Subscription ARR to include enterprise support, further aligning Subscription ARR with subscription revenue. Prior to fiscal 2027, enterprise support was included only in Total ARR. This change does not impact Total ARR. The table below recasts annualized revenue results for fiscal 2025 and fiscal 2026 to reflect this change, which will be effective beginning in fiscal 2027.</w:t>
      </w:r>
    </w:p>
    <w:p>
      <w:pPr>
        <w:spacing w:after="0" w:line="4" w:lineRule="exact"/>
        <w:rPr>
          <w:sz w:val="20"/>
          <w:szCs w:val="20"/>
          <w:color w:val="auto"/>
        </w:rPr>
      </w:pPr>
    </w:p>
    <w:tbl>
      <w:tblPr>
        <w:tblLayout w:type="fixed"/>
        <w:tblInd w:w="116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Fiscal 2026</w:t>
            </w: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50"/>
        </w:trPr>
        <w:tc>
          <w:tcPr>
            <w:tcW w:w="3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ind w:left="120"/>
              <w:spacing w:after="0"/>
              <w:rPr>
                <w:sz w:val="20"/>
                <w:szCs w:val="20"/>
                <w:color w:val="auto"/>
              </w:rPr>
            </w:pPr>
            <w:r>
              <w:rPr>
                <w:rFonts w:ascii="Arial" w:cs="Arial" w:eastAsia="Arial" w:hAnsi="Arial"/>
                <w:sz w:val="16"/>
                <w:szCs w:val="16"/>
                <w:b w:val="1"/>
                <w:bCs w:val="1"/>
                <w:color w:val="auto"/>
              </w:rPr>
              <w:t>Q1'26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ind w:left="120"/>
              <w:spacing w:after="0"/>
              <w:rPr>
                <w:sz w:val="20"/>
                <w:szCs w:val="20"/>
                <w:color w:val="auto"/>
              </w:rPr>
            </w:pPr>
            <w:r>
              <w:rPr>
                <w:rFonts w:ascii="Arial" w:cs="Arial" w:eastAsia="Arial" w:hAnsi="Arial"/>
                <w:sz w:val="16"/>
                <w:szCs w:val="16"/>
                <w:b w:val="1"/>
                <w:bCs w:val="1"/>
                <w:color w:val="auto"/>
              </w:rPr>
              <w:t>Q2'26</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Q3'26</w:t>
            </w:r>
          </w:p>
        </w:tc>
        <w:tc>
          <w:tcPr>
            <w:tcW w:w="240" w:type="dxa"/>
            <w:vAlign w:val="bottom"/>
          </w:tcPr>
          <w:p>
            <w:pPr>
              <w:spacing w:after="0"/>
              <w:rPr>
                <w:sz w:val="21"/>
                <w:szCs w:val="21"/>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Q4'26</w:t>
            </w:r>
          </w:p>
        </w:tc>
      </w:tr>
      <w:tr>
        <w:trPr>
          <w:trHeight w:val="250"/>
        </w:trPr>
        <w:tc>
          <w:tcPr>
            <w:tcW w:w="3640" w:type="dxa"/>
            <w:vAlign w:val="bottom"/>
            <w:tcBorders>
              <w:top w:val="single" w:sz="8" w:color="EAEAEA"/>
            </w:tcBorders>
            <w:shd w:val="clear" w:color="auto" w:fill="EAEAEA"/>
          </w:tcPr>
          <w:p>
            <w:pPr>
              <w:spacing w:after="0"/>
              <w:rPr>
                <w:sz w:val="20"/>
                <w:szCs w:val="20"/>
                <w:color w:val="auto"/>
              </w:rPr>
            </w:pPr>
            <w:r>
              <w:rPr>
                <w:rFonts w:ascii="Arial" w:cs="Arial" w:eastAsia="Arial" w:hAnsi="Arial"/>
                <w:sz w:val="16"/>
                <w:szCs w:val="16"/>
                <w:color w:val="auto"/>
              </w:rPr>
              <w:t>Total ARR</w:t>
            </w:r>
          </w:p>
        </w:tc>
        <w:tc>
          <w:tcPr>
            <w:tcW w:w="260" w:type="dxa"/>
            <w:vAlign w:val="bottom"/>
            <w:tcBorders>
              <w:top w:val="single" w:sz="8" w:color="auto"/>
            </w:tcBorders>
            <w:gridSpan w:val="2"/>
            <w:shd w:val="clear" w:color="auto" w:fill="EAEAEA"/>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996,202</w:t>
            </w:r>
          </w:p>
        </w:tc>
        <w:tc>
          <w:tcPr>
            <w:tcW w:w="40" w:type="dxa"/>
            <w:vAlign w:val="bottom"/>
            <w:tcBorders>
              <w:top w:val="single" w:sz="8" w:color="EAEAEA"/>
            </w:tcBorders>
            <w:shd w:val="clear" w:color="auto" w:fill="EAEAEA"/>
          </w:tcPr>
          <w:p>
            <w:pPr>
              <w:spacing w:after="0"/>
              <w:rPr>
                <w:sz w:val="21"/>
                <w:szCs w:val="21"/>
                <w:color w:val="auto"/>
              </w:rPr>
            </w:pPr>
          </w:p>
        </w:tc>
        <w:tc>
          <w:tcPr>
            <w:tcW w:w="140" w:type="dxa"/>
            <w:vAlign w:val="bottom"/>
            <w:tcBorders>
              <w:top w:val="single" w:sz="8" w:color="EAEAEA"/>
            </w:tcBorders>
            <w:shd w:val="clear" w:color="auto" w:fill="EAEAEA"/>
          </w:tcPr>
          <w:p>
            <w:pPr>
              <w:spacing w:after="0"/>
              <w:rPr>
                <w:sz w:val="21"/>
                <w:szCs w:val="21"/>
                <w:color w:val="auto"/>
              </w:rPr>
            </w:pPr>
          </w:p>
        </w:tc>
        <w:tc>
          <w:tcPr>
            <w:tcW w:w="260" w:type="dxa"/>
            <w:vAlign w:val="bottom"/>
            <w:tcBorders>
              <w:top w:val="single" w:sz="8" w:color="auto"/>
            </w:tcBorders>
            <w:gridSpan w:val="2"/>
            <w:shd w:val="clear" w:color="auto" w:fill="EAEAEA"/>
          </w:tcPr>
          <w:p>
            <w:pPr>
              <w:jc w:val="right"/>
              <w:ind w:right="16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1,043,295</w:t>
            </w:r>
          </w:p>
        </w:tc>
        <w:tc>
          <w:tcPr>
            <w:tcW w:w="40" w:type="dxa"/>
            <w:vAlign w:val="bottom"/>
            <w:tcBorders>
              <w:top w:val="single" w:sz="8" w:color="EAEAEA"/>
            </w:tcBorders>
            <w:shd w:val="clear" w:color="auto" w:fill="EAEAEA"/>
          </w:tcPr>
          <w:p>
            <w:pPr>
              <w:spacing w:after="0"/>
              <w:rPr>
                <w:sz w:val="21"/>
                <w:szCs w:val="21"/>
                <w:color w:val="auto"/>
              </w:rPr>
            </w:pPr>
          </w:p>
        </w:tc>
        <w:tc>
          <w:tcPr>
            <w:tcW w:w="120" w:type="dxa"/>
            <w:vAlign w:val="bottom"/>
            <w:tcBorders>
              <w:top w:val="single" w:sz="8" w:color="EAEAEA"/>
            </w:tcBorders>
            <w:shd w:val="clear" w:color="auto" w:fill="EAEAEA"/>
          </w:tcPr>
          <w:p>
            <w:pPr>
              <w:spacing w:after="0"/>
              <w:rPr>
                <w:sz w:val="21"/>
                <w:szCs w:val="21"/>
                <w:color w:val="auto"/>
              </w:rPr>
            </w:pPr>
          </w:p>
        </w:tc>
        <w:tc>
          <w:tcPr>
            <w:tcW w:w="380" w:type="dxa"/>
            <w:vAlign w:val="bottom"/>
            <w:tcBorders>
              <w:top w:val="single" w:sz="8" w:color="auto"/>
            </w:tcBorders>
            <w:gridSpan w:val="2"/>
            <w:shd w:val="clear" w:color="auto" w:fill="EAEAEA"/>
          </w:tcPr>
          <w:p>
            <w:pPr>
              <w:jc w:val="right"/>
              <w:ind w:right="28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1,084,880</w:t>
            </w:r>
          </w:p>
        </w:tc>
        <w:tc>
          <w:tcPr>
            <w:tcW w:w="20" w:type="dxa"/>
            <w:vAlign w:val="bottom"/>
            <w:tcBorders>
              <w:top w:val="single" w:sz="8" w:color="EAEAEA"/>
            </w:tcBorders>
            <w:shd w:val="clear" w:color="auto" w:fill="EAEAEA"/>
          </w:tcPr>
          <w:p>
            <w:pPr>
              <w:spacing w:after="0"/>
              <w:rPr>
                <w:sz w:val="21"/>
                <w:szCs w:val="21"/>
                <w:color w:val="auto"/>
              </w:rPr>
            </w:pPr>
          </w:p>
        </w:tc>
        <w:tc>
          <w:tcPr>
            <w:tcW w:w="140" w:type="dxa"/>
            <w:vAlign w:val="bottom"/>
            <w:tcBorders>
              <w:top w:val="single" w:sz="8" w:color="EAEAEA"/>
            </w:tcBorders>
            <w:shd w:val="clear" w:color="auto" w:fill="EAEAEA"/>
          </w:tcPr>
          <w:p>
            <w:pPr>
              <w:spacing w:after="0"/>
              <w:rPr>
                <w:sz w:val="21"/>
                <w:szCs w:val="21"/>
                <w:color w:val="auto"/>
              </w:rPr>
            </w:pPr>
          </w:p>
        </w:tc>
        <w:tc>
          <w:tcPr>
            <w:tcW w:w="240" w:type="dxa"/>
            <w:vAlign w:val="bottom"/>
            <w:tcBorders>
              <w:top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1,121,571</w:t>
            </w:r>
          </w:p>
        </w:tc>
      </w:tr>
      <w:tr>
        <w:trPr>
          <w:trHeight w:val="268"/>
        </w:trPr>
        <w:tc>
          <w:tcPr>
            <w:tcW w:w="3640" w:type="dxa"/>
            <w:vAlign w:val="bottom"/>
          </w:tcPr>
          <w:p>
            <w:pPr>
              <w:spacing w:after="0"/>
              <w:rPr>
                <w:sz w:val="20"/>
                <w:szCs w:val="20"/>
                <w:color w:val="auto"/>
              </w:rPr>
            </w:pPr>
            <w:r>
              <w:rPr>
                <w:rFonts w:ascii="Arial" w:cs="Arial" w:eastAsia="Arial" w:hAnsi="Arial"/>
                <w:sz w:val="16"/>
                <w:szCs w:val="16"/>
                <w:color w:val="auto"/>
              </w:rPr>
              <w:t>Subscription ARR</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867,306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918,130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966,260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1,014,729</w:t>
            </w:r>
          </w:p>
        </w:tc>
      </w:tr>
      <w:tr>
        <w:trPr>
          <w:trHeight w:val="393"/>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w w:val="98"/>
              </w:rPr>
              <w:t>Fiscal 2025</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0"/>
        </w:trPr>
        <w:tc>
          <w:tcPr>
            <w:tcW w:w="364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Q1'25</w:t>
            </w:r>
          </w:p>
        </w:tc>
        <w:tc>
          <w:tcPr>
            <w:tcW w:w="14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Q2'25</w:t>
            </w:r>
          </w:p>
        </w:tc>
        <w:tc>
          <w:tcPr>
            <w:tcW w:w="120" w:type="dxa"/>
            <w:vAlign w:val="bottom"/>
            <w:tcBorders>
              <w:bottom w:val="single" w:sz="8" w:color="EAEAEA"/>
            </w:tcBorders>
          </w:tcPr>
          <w:p>
            <w:pPr>
              <w:spacing w:after="0"/>
              <w:rPr>
                <w:sz w:val="21"/>
                <w:szCs w:val="21"/>
                <w:color w:val="auto"/>
              </w:rPr>
            </w:pPr>
          </w:p>
        </w:tc>
        <w:tc>
          <w:tcPr>
            <w:tcW w:w="40" w:type="dxa"/>
            <w:vAlign w:val="bottom"/>
            <w:tcBorders>
              <w:bottom w:val="single" w:sz="8" w:color="EAEAEA"/>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Q3'25</w:t>
            </w:r>
          </w:p>
        </w:tc>
        <w:tc>
          <w:tcPr>
            <w:tcW w:w="140" w:type="dxa"/>
            <w:vAlign w:val="bottom"/>
            <w:tcBorders>
              <w:bottom w:val="single" w:sz="8" w:color="EAEAEA"/>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Q4'25</w:t>
            </w:r>
          </w:p>
        </w:tc>
      </w:tr>
      <w:tr>
        <w:trPr>
          <w:trHeight w:val="250"/>
        </w:trPr>
        <w:tc>
          <w:tcPr>
            <w:tcW w:w="3640" w:type="dxa"/>
            <w:vAlign w:val="bottom"/>
            <w:shd w:val="clear" w:color="auto" w:fill="EAEAEA"/>
          </w:tcPr>
          <w:p>
            <w:pPr>
              <w:spacing w:after="0"/>
              <w:rPr>
                <w:sz w:val="20"/>
                <w:szCs w:val="20"/>
                <w:color w:val="auto"/>
              </w:rPr>
            </w:pPr>
            <w:r>
              <w:rPr>
                <w:rFonts w:ascii="Arial" w:cs="Arial" w:eastAsia="Arial" w:hAnsi="Arial"/>
                <w:sz w:val="16"/>
                <w:szCs w:val="16"/>
                <w:color w:val="auto"/>
              </w:rPr>
              <w:t>Total ARR</w:t>
            </w:r>
          </w:p>
        </w:tc>
        <w:tc>
          <w:tcPr>
            <w:tcW w:w="260" w:type="dxa"/>
            <w:vAlign w:val="bottom"/>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802,709</w:t>
            </w:r>
          </w:p>
        </w:tc>
        <w:tc>
          <w:tcPr>
            <w:tcW w:w="4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60" w:type="dxa"/>
            <w:vAlign w:val="bottom"/>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853,265</w:t>
            </w:r>
          </w:p>
        </w:tc>
        <w:tc>
          <w:tcPr>
            <w:tcW w:w="40" w:type="dxa"/>
            <w:vAlign w:val="bottom"/>
            <w:shd w:val="clear" w:color="auto" w:fill="EAEAEA"/>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380" w:type="dxa"/>
            <w:vAlign w:val="bottom"/>
            <w:gridSpan w:val="2"/>
            <w:shd w:val="clear" w:color="auto" w:fill="EAEAEA"/>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889,628</w:t>
            </w:r>
          </w:p>
        </w:tc>
        <w:tc>
          <w:tcPr>
            <w:tcW w:w="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40" w:type="dxa"/>
            <w:vAlign w:val="bottom"/>
            <w:shd w:val="clear" w:color="auto" w:fill="EAEAEA"/>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930,051</w:t>
            </w:r>
          </w:p>
        </w:tc>
      </w:tr>
      <w:tr>
        <w:trPr>
          <w:trHeight w:val="268"/>
        </w:trPr>
        <w:tc>
          <w:tcPr>
            <w:tcW w:w="3640" w:type="dxa"/>
            <w:vAlign w:val="bottom"/>
          </w:tcPr>
          <w:p>
            <w:pPr>
              <w:spacing w:after="0"/>
              <w:rPr>
                <w:sz w:val="20"/>
                <w:szCs w:val="20"/>
                <w:color w:val="auto"/>
              </w:rPr>
            </w:pPr>
            <w:r>
              <w:rPr>
                <w:rFonts w:ascii="Arial" w:cs="Arial" w:eastAsia="Arial" w:hAnsi="Arial"/>
                <w:sz w:val="16"/>
                <w:szCs w:val="16"/>
                <w:color w:val="auto"/>
              </w:rPr>
              <w:t>Subscription ARR</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657,330</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708,993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755,358</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802,390</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5"/>
    </w:lvl>
  </w:abstractNum>
  <w:abstractNum w:abstractNumId="14">
    <w:nsid w:val="1BEFD79F"/>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2026-04-28T06:48:13Z</dcterms:created>
  <dcterms:modified xsi:type="dcterms:W3CDTF">2026-04-28T06:48:13Z</dcterms:modified>
</cp:coreProperties>
</file>