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73025</wp:posOffset>
            </wp:positionV>
            <wp:extent cx="1945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245110</wp:posOffset>
            </wp:positionV>
            <wp:extent cx="1945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spacing w:after="0" w:line="253" w:lineRule="exact"/>
        <w:tabs>
          <w:tab w:leader="none" w:pos="36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2020</w:t>
      </w:r>
    </w:p>
    <w:p>
      <w:pPr>
        <w:spacing w:after="0" w:line="270" w:lineRule="exact"/>
        <w:rPr>
          <w:sz w:val="24"/>
          <w:szCs w:val="24"/>
          <w:color w:val="auto"/>
        </w:rPr>
      </w:pPr>
    </w:p>
    <w:p>
      <w:pPr>
        <w:spacing w:after="0" w:line="253" w:lineRule="exact"/>
        <w:tabs>
          <w:tab w:leader="none" w:pos="360" w:val="left"/>
        </w:tabs>
        <w:rPr>
          <w:sz w:val="20"/>
          <w:szCs w:val="20"/>
          <w:color w:val="auto"/>
        </w:rPr>
      </w:pP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234315</wp:posOffset>
            </wp:positionV>
            <wp:extent cx="1945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Commvault Systems, Inc.</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210185</wp:posOffset>
            </wp:positionV>
            <wp:extent cx="1945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90" w:type="dxa"/>
        <w:tblCellMar>
          <w:top w:w="0" w:type="dxa"/>
          <w:left w:w="0" w:type="dxa"/>
          <w:bottom w:w="0" w:type="dxa"/>
          <w:right w:w="0" w:type="dxa"/>
        </w:tblCellMar>
      </w:tblPr>
      <w:tr>
        <w:trPr>
          <w:trHeight w:val="212"/>
        </w:trPr>
        <w:tc>
          <w:tcPr>
            <w:tcW w:w="3580" w:type="dxa"/>
            <w:vAlign w:val="bottom"/>
          </w:tcPr>
          <w:p>
            <w:pPr>
              <w:jc w:val="center"/>
              <w:ind w:left="17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40" w:type="dxa"/>
            <w:vAlign w:val="bottom"/>
          </w:tcPr>
          <w:p>
            <w:pPr>
              <w:jc w:val="center"/>
              <w:ind w:right="1165"/>
              <w:spacing w:after="0"/>
              <w:rPr>
                <w:sz w:val="20"/>
                <w:szCs w:val="20"/>
                <w:color w:val="auto"/>
              </w:rPr>
            </w:pPr>
            <w:r>
              <w:rPr>
                <w:rFonts w:ascii="Times New Roman" w:cs="Times New Roman" w:eastAsia="Times New Roman" w:hAnsi="Times New Roman"/>
                <w:sz w:val="16"/>
                <w:szCs w:val="16"/>
                <w:b w:val="1"/>
                <w:bCs w:val="1"/>
                <w:color w:val="auto"/>
              </w:rPr>
              <w:t>22-3447504</w:t>
            </w:r>
          </w:p>
        </w:tc>
      </w:tr>
      <w:tr>
        <w:trPr>
          <w:trHeight w:val="141"/>
        </w:trPr>
        <w:tc>
          <w:tcPr>
            <w:tcW w:w="3580" w:type="dxa"/>
            <w:vAlign w:val="bottom"/>
          </w:tcPr>
          <w:p>
            <w:pPr>
              <w:jc w:val="center"/>
              <w:ind w:left="1765"/>
              <w:spacing w:after="0" w:line="141"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40" w:type="dxa"/>
            <w:vAlign w:val="bottom"/>
          </w:tcPr>
          <w:p>
            <w:pPr>
              <w:jc w:val="center"/>
              <w:ind w:right="1165"/>
              <w:spacing w:after="0" w:line="141"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580" w:type="dxa"/>
            <w:vAlign w:val="bottom"/>
          </w:tcPr>
          <w:p>
            <w:pPr>
              <w:jc w:val="center"/>
              <w:ind w:left="1765"/>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40" w:type="dxa"/>
            <w:vAlign w:val="bottom"/>
          </w:tcPr>
          <w:p>
            <w:pPr>
              <w:jc w:val="center"/>
              <w:ind w:right="1165"/>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70"/>
        </w:trPr>
        <w:tc>
          <w:tcPr>
            <w:tcW w:w="3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4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1 Commvault Way</w:t>
            </w:r>
          </w:p>
        </w:tc>
        <w:tc>
          <w:tcPr>
            <w:tcW w:w="4040" w:type="dxa"/>
            <w:vAlign w:val="bottom"/>
          </w:tcPr>
          <w:p>
            <w:pPr>
              <w:spacing w:after="0"/>
              <w:rPr>
                <w:sz w:val="23"/>
                <w:szCs w:val="23"/>
                <w:color w:val="auto"/>
              </w:rPr>
            </w:pPr>
          </w:p>
        </w:tc>
      </w:tr>
      <w:tr>
        <w:trPr>
          <w:trHeight w:val="224"/>
        </w:trPr>
        <w:tc>
          <w:tcPr>
            <w:tcW w:w="3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 xml:space="preserve">Tinton Falls, New Jersey </w:t>
            </w:r>
            <w:r>
              <w:rPr>
                <w:rFonts w:ascii="Times New Roman" w:cs="Times New Roman" w:eastAsia="Times New Roman" w:hAnsi="Times New Roman"/>
                <w:sz w:val="17"/>
                <w:szCs w:val="17"/>
                <w:b w:val="1"/>
                <w:bCs w:val="1"/>
                <w:color w:val="auto"/>
              </w:rPr>
              <w:t>07724</w:t>
            </w:r>
          </w:p>
        </w:tc>
        <w:tc>
          <w:tcPr>
            <w:tcW w:w="4040" w:type="dxa"/>
            <w:vAlign w:val="bottom"/>
          </w:tcPr>
          <w:p>
            <w:pPr>
              <w:spacing w:after="0"/>
              <w:rPr>
                <w:sz w:val="19"/>
                <w:szCs w:val="19"/>
                <w:color w:val="auto"/>
              </w:rPr>
            </w:pPr>
          </w:p>
        </w:tc>
      </w:tr>
      <w:tr>
        <w:trPr>
          <w:trHeight w:val="210"/>
        </w:trPr>
        <w:tc>
          <w:tcPr>
            <w:tcW w:w="3580" w:type="dxa"/>
            <w:vAlign w:val="bottom"/>
          </w:tcPr>
          <w:p>
            <w:pPr>
              <w:spacing w:after="0"/>
              <w:rPr>
                <w:sz w:val="18"/>
                <w:szCs w:val="18"/>
                <w:color w:val="auto"/>
              </w:rPr>
            </w:pPr>
          </w:p>
        </w:tc>
        <w:tc>
          <w:tcPr>
            <w:tcW w:w="7540" w:type="dxa"/>
            <w:vAlign w:val="bottom"/>
            <w:gridSpan w:val="5"/>
          </w:tcPr>
          <w:p>
            <w:pPr>
              <w:jc w:val="center"/>
              <w:ind w:right="3545"/>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tc>
      </w:tr>
      <w:tr>
        <w:trPr>
          <w:trHeight w:val="431"/>
        </w:trPr>
        <w:tc>
          <w:tcPr>
            <w:tcW w:w="3580" w:type="dxa"/>
            <w:vAlign w:val="bottom"/>
          </w:tcPr>
          <w:p>
            <w:pPr>
              <w:spacing w:after="0"/>
              <w:rPr>
                <w:sz w:val="24"/>
                <w:szCs w:val="24"/>
                <w:color w:val="auto"/>
              </w:rPr>
            </w:pPr>
          </w:p>
        </w:tc>
        <w:tc>
          <w:tcPr>
            <w:tcW w:w="2880" w:type="dxa"/>
            <w:vAlign w:val="bottom"/>
            <w:gridSpan w:val="3"/>
          </w:tcPr>
          <w:p>
            <w:pPr>
              <w:jc w:val="center"/>
              <w:ind w:left="9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b w:val="1"/>
                <w:bCs w:val="1"/>
                <w:color w:val="auto"/>
              </w:rPr>
              <w:t>732) 870-4000</w:t>
            </w: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66"/>
        </w:trPr>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40" w:type="dxa"/>
            <w:vAlign w:val="bottom"/>
          </w:tcPr>
          <w:p>
            <w:pPr>
              <w:spacing w:after="0"/>
              <w:rPr>
                <w:sz w:val="14"/>
                <w:szCs w:val="14"/>
                <w:color w:val="auto"/>
              </w:rPr>
            </w:pPr>
          </w:p>
        </w:tc>
      </w:tr>
      <w:tr>
        <w:trPr>
          <w:trHeight w:val="111"/>
        </w:trPr>
        <w:tc>
          <w:tcPr>
            <w:tcW w:w="3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r>
      <w:tr>
        <w:trPr>
          <w:trHeight w:val="294"/>
        </w:trPr>
        <w:tc>
          <w:tcPr>
            <w:tcW w:w="3580" w:type="dxa"/>
            <w:vAlign w:val="bottom"/>
          </w:tcPr>
          <w:p>
            <w:pPr>
              <w:spacing w:after="0"/>
              <w:rPr>
                <w:sz w:val="24"/>
                <w:szCs w:val="24"/>
                <w:color w:val="auto"/>
              </w:rPr>
            </w:pPr>
          </w:p>
        </w:tc>
        <w:tc>
          <w:tcPr>
            <w:tcW w:w="7540" w:type="dxa"/>
            <w:vAlign w:val="bottom"/>
            <w:gridSpan w:val="5"/>
          </w:tcPr>
          <w:p>
            <w:pPr>
              <w:jc w:val="center"/>
              <w:ind w:right="354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18"/>
        </w:trPr>
        <w:tc>
          <w:tcPr>
            <w:tcW w:w="35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r>
      <w:tr>
        <w:trPr>
          <w:trHeight w:val="208"/>
        </w:trPr>
        <w:tc>
          <w:tcPr>
            <w:tcW w:w="3580" w:type="dxa"/>
            <w:vAlign w:val="bottom"/>
            <w:tcBorders>
              <w:left w:val="single" w:sz="8" w:color="auto"/>
              <w:bottom w:val="single" w:sz="8" w:color="auto"/>
            </w:tcBorders>
          </w:tcPr>
          <w:p>
            <w:pPr>
              <w:jc w:val="center"/>
              <w:ind w:left="88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62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jc w:val="center"/>
              <w:ind w:right="605"/>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3580" w:type="dxa"/>
            <w:vAlign w:val="bottom"/>
            <w:tcBorders>
              <w:left w:val="single" w:sz="8" w:color="auto"/>
              <w:bottom w:val="single" w:sz="8" w:color="auto"/>
            </w:tcBorders>
          </w:tcPr>
          <w:p>
            <w:pPr>
              <w:jc w:val="center"/>
              <w:ind w:left="885"/>
              <w:spacing w:after="0"/>
              <w:rPr>
                <w:sz w:val="20"/>
                <w:szCs w:val="20"/>
                <w:color w:val="auto"/>
              </w:rPr>
            </w:pPr>
            <w:r>
              <w:rPr>
                <w:rFonts w:ascii="Times New Roman" w:cs="Times New Roman" w:eastAsia="Times New Roman" w:hAnsi="Times New Roman"/>
                <w:sz w:val="16"/>
                <w:szCs w:val="16"/>
                <w:color w:val="auto"/>
              </w:rPr>
              <w:t>Common Stock</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CVLT</w:t>
            </w:r>
          </w:p>
        </w:tc>
        <w:tc>
          <w:tcPr>
            <w:tcW w:w="62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jc w:val="center"/>
              <w:ind w:right="605"/>
              <w:spacing w:after="0"/>
              <w:rPr>
                <w:sz w:val="20"/>
                <w:szCs w:val="20"/>
                <w:color w:val="auto"/>
              </w:rPr>
            </w:pPr>
            <w:r>
              <w:rPr>
                <w:rFonts w:ascii="Times New Roman" w:cs="Times New Roman" w:eastAsia="Times New Roman" w:hAnsi="Times New Roman"/>
                <w:sz w:val="16"/>
                <w:szCs w:val="16"/>
                <w:color w:val="auto"/>
              </w:rPr>
              <w:t>The NASDAQ Stock Market</w:t>
            </w:r>
          </w:p>
        </w:tc>
      </w:tr>
      <w:tr>
        <w:trPr>
          <w:trHeight w:val="210"/>
        </w:trPr>
        <w:tc>
          <w:tcPr>
            <w:tcW w:w="3580" w:type="dxa"/>
            <w:vAlign w:val="bottom"/>
            <w:tcBorders>
              <w:left w:val="single" w:sz="8" w:color="auto"/>
              <w:bottom w:val="single" w:sz="8" w:color="auto"/>
            </w:tcBorders>
          </w:tcPr>
          <w:p>
            <w:pPr>
              <w:jc w:val="center"/>
              <w:ind w:left="885"/>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jc w:val="center"/>
              <w:ind w:right="605"/>
              <w:spacing w:after="0"/>
              <w:rPr>
                <w:sz w:val="20"/>
                <w:szCs w:val="20"/>
                <w:color w:val="auto"/>
              </w:rPr>
            </w:pPr>
            <w:r>
              <w:rPr>
                <w:rFonts w:ascii="Times New Roman" w:cs="Times New Roman" w:eastAsia="Times New Roman" w:hAnsi="Times New Roman"/>
                <w:sz w:val="16"/>
                <w:szCs w:val="16"/>
                <w:color w:val="auto"/>
              </w:rPr>
              <w:t>The NASDAQ Stock Market</w:t>
            </w:r>
          </w:p>
        </w:tc>
      </w:tr>
    </w:tbl>
    <w:p>
      <w:pPr>
        <w:spacing w:after="0" w:line="193"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right="1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ectPr>
          <w:pgSz w:w="11900" w:h="16838" w:orient="portrait"/>
          <w:cols w:equalWidth="0" w:num="1">
            <w:col w:w="11240"/>
          </w:cols>
          <w:pgMar w:left="320" w:top="1067" w:right="339" w:bottom="1440" w:gutter="0" w:footer="0" w:header="0"/>
        </w:sectPr>
      </w:pPr>
    </w:p>
    <w:p>
      <w:pPr>
        <w:spacing w:after="0" w:line="111" w:lineRule="exact"/>
        <w:rPr>
          <w:sz w:val="24"/>
          <w:szCs w:val="24"/>
          <w:color w:val="auto"/>
        </w:rPr>
      </w:pPr>
    </w:p>
    <w:p>
      <w:pPr>
        <w:ind w:left="20"/>
        <w:spacing w:after="0" w:line="161" w:lineRule="exact"/>
        <w:tabs>
          <w:tab w:leader="none" w:pos="2720" w:val="left"/>
          <w:tab w:leader="none" w:pos="3040" w:val="left"/>
          <w:tab w:leader="none" w:pos="5060" w:val="left"/>
          <w:tab w:leader="none" w:pos="5360" w:val="left"/>
          <w:tab w:leader="none" w:pos="7360" w:val="left"/>
          <w:tab w:leader="none" w:pos="77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Arial" w:cs="Arial" w:eastAsia="Arial" w:hAnsi="Arial"/>
          <w:sz w:val="14"/>
          <w:szCs w:val="14"/>
          <w:color w:val="auto"/>
        </w:rPr>
        <w:t>x</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54" w:lineRule="exact"/>
        <w:rPr>
          <w:sz w:val="24"/>
          <w:szCs w:val="24"/>
          <w:color w:val="auto"/>
        </w:rPr>
      </w:pPr>
    </w:p>
    <w:p>
      <w:pPr>
        <w:ind w:left="20"/>
        <w:spacing w:after="0" w:line="161" w:lineRule="exact"/>
        <w:tabs>
          <w:tab w:leader="none" w:pos="272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8" w:lineRule="exact"/>
        <w:rPr>
          <w:sz w:val="24"/>
          <w:szCs w:val="24"/>
          <w:color w:val="auto"/>
        </w:rPr>
      </w:pPr>
    </w:p>
    <w:p>
      <w:pPr>
        <w:ind w:left="20"/>
        <w:spacing w:after="0" w:line="229"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w:t>
      </w:r>
    </w:p>
    <w:p>
      <w:pPr>
        <w:spacing w:after="0" w:line="206" w:lineRule="exact"/>
        <w:rPr>
          <w:sz w:val="24"/>
          <w:szCs w:val="24"/>
          <w:color w:val="auto"/>
        </w:rPr>
      </w:pPr>
    </w:p>
    <w:p>
      <w:pPr>
        <w:spacing w:after="0" w:line="196" w:lineRule="exact"/>
        <w:tabs>
          <w:tab w:leader="none" w:pos="666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79" w:lineRule="exact"/>
        <w:rPr>
          <w:sz w:val="24"/>
          <w:szCs w:val="24"/>
          <w:color w:val="auto"/>
        </w:rPr>
      </w:pPr>
    </w:p>
    <w:p>
      <w:pPr>
        <w:sectPr>
          <w:pgSz w:w="11900" w:h="16838" w:orient="portrait"/>
          <w:cols w:equalWidth="0" w:num="2">
            <w:col w:w="10020" w:space="60"/>
            <w:col w:w="1160"/>
          </w:cols>
          <w:pgMar w:left="320" w:top="1067" w:right="3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27, 2021, there were 46,997,616 shares of the registrant’s common stock, $0.01 par value, outstanding.</w:t>
      </w:r>
    </w:p>
    <w:p>
      <w:pPr>
        <w:sectPr>
          <w:pgSz w:w="11900" w:h="16838" w:orient="portrait"/>
          <w:cols w:equalWidth="0" w:num="1">
            <w:col w:w="11240"/>
          </w:cols>
          <w:pgMar w:left="320" w:top="1067" w:right="339" w:bottom="1440" w:gutter="0" w:footer="0" w:header="0"/>
          <w:type w:val="continuous"/>
        </w:sect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1" w:name="page2"/>
    <w:bookmarkEnd w:id="1"/>
    <w:p>
      <w:pPr>
        <w:jc w:val="center"/>
        <w:ind w:right="-799"/>
        <w:spacing w:after="0"/>
        <w:rPr>
          <w:sz w:val="20"/>
          <w:szCs w:val="20"/>
          <w:color w:val="auto"/>
        </w:rPr>
      </w:pPr>
      <w:r>
        <w:rPr>
          <w:rFonts w:ascii="Arial" w:cs="Arial" w:eastAsia="Arial" w:hAnsi="Arial"/>
          <w:sz w:val="18"/>
          <w:szCs w:val="18"/>
          <w:b w:val="1"/>
          <w:bCs w:val="1"/>
          <w:color w:val="auto"/>
        </w:rPr>
        <w:t>COMMVAULT SYSTEMS, INC.</w:t>
      </w:r>
    </w:p>
    <w:p>
      <w:pPr>
        <w:spacing w:after="0" w:line="33"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FORM 10-Q</w:t>
      </w: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40" w:type="dxa"/>
            <w:vAlign w:val="bottom"/>
            <w:gridSpan w:val="8"/>
            <w:vMerge w:val="restart"/>
          </w:tcPr>
          <w:p>
            <w:pPr>
              <w:spacing w:after="0"/>
              <w:rPr>
                <w:sz w:val="20"/>
                <w:szCs w:val="20"/>
                <w:color w:val="auto"/>
              </w:rPr>
            </w:pPr>
            <w:r>
              <w:rPr>
                <w:rFonts w:ascii="Arial" w:cs="Arial" w:eastAsia="Arial" w:hAnsi="Arial"/>
                <w:sz w:val="18"/>
                <w:szCs w:val="18"/>
                <w:b w:val="1"/>
                <w:bCs w:val="1"/>
                <w:color w:val="00B2A9"/>
              </w:rPr>
              <w:t>Part I – FINANCIAL INFORMATION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0"/>
        </w:trPr>
        <w:tc>
          <w:tcPr>
            <w:tcW w:w="9740" w:type="dxa"/>
            <w:vAlign w:val="bottom"/>
            <w:gridSpan w:val="8"/>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gridSpan w:val="7"/>
          </w:tcPr>
          <w:p>
            <w:pPr>
              <w:spacing w:after="0"/>
              <w:rPr>
                <w:sz w:val="20"/>
                <w:szCs w:val="20"/>
                <w:color w:val="auto"/>
              </w:rPr>
            </w:pPr>
            <w:r>
              <w:rPr>
                <w:rFonts w:ascii="Arial" w:cs="Arial" w:eastAsia="Arial" w:hAnsi="Arial"/>
                <w:sz w:val="18"/>
                <w:szCs w:val="18"/>
                <w:color w:val="auto"/>
              </w:rPr>
              <w:t>Financial Statements and Notes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8740" w:type="dxa"/>
            <w:vAlign w:val="bottom"/>
            <w:gridSpan w:val="7"/>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Consolidated Balance Sheets as of December 31, 2020 and March 31, 2020</w:t>
              </w:r>
            </w:hyperlink>
          </w:p>
        </w:tc>
        <w:tc>
          <w:tcPr>
            <w:tcW w:w="6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8740" w:type="dxa"/>
            <w:vAlign w:val="bottom"/>
            <w:gridSpan w:val="7"/>
          </w:tcPr>
          <w:p>
            <w:pPr>
              <w:spacing w:after="0" w:line="198"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Statements of Operations for the three and nine months ended December 31, 2020</w:t>
              </w:r>
            </w:hyperlink>
          </w:p>
        </w:tc>
        <w:tc>
          <w:tcPr>
            <w:tcW w:w="660" w:type="dxa"/>
            <w:vAlign w:val="bottom"/>
          </w:tcPr>
          <w:p>
            <w:pPr>
              <w:jc w:val="right"/>
              <w:spacing w:after="0" w:line="198"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and 2019</w:t>
              </w:r>
            </w:hyperlink>
          </w:p>
        </w:tc>
        <w:tc>
          <w:tcPr>
            <w:tcW w:w="7860" w:type="dxa"/>
            <w:vAlign w:val="bottom"/>
            <w:tcBorders>
              <w:top w:val="single" w:sz="8" w:color="0000FF"/>
            </w:tcBorders>
            <w:gridSpan w:val="5"/>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8740" w:type="dxa"/>
            <w:vAlign w:val="bottom"/>
            <w:gridSpan w:val="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Consolidated Statements of Comprehensive Income (Loss) for the three and nine months ended</w:t>
              </w:r>
            </w:hyperlink>
          </w:p>
        </w:tc>
        <w:tc>
          <w:tcPr>
            <w:tcW w:w="6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54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December 31, 2020 and 2019</w:t>
              </w:r>
            </w:hyperlink>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740" w:type="dxa"/>
            <w:vAlign w:val="bottom"/>
            <w:gridSpan w:val="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Consolidated Statements of Stockholders’ Equity for the three and nine months ended December</w:t>
              </w:r>
            </w:hyperlink>
          </w:p>
        </w:tc>
        <w:tc>
          <w:tcPr>
            <w:tcW w:w="6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6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31, 2020 and 2019</w:t>
              </w:r>
            </w:hyperlink>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2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tcPr>
          <w:p>
            <w:pPr>
              <w:spacing w:after="0"/>
              <w:rPr>
                <w:sz w:val="20"/>
                <w:szCs w:val="20"/>
                <w:color w:val="auto"/>
              </w:rPr>
            </w:pPr>
          </w:p>
        </w:tc>
        <w:tc>
          <w:tcPr>
            <w:tcW w:w="8740" w:type="dxa"/>
            <w:vAlign w:val="bottom"/>
            <w:gridSpan w:val="7"/>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 Consolidated Statements of Cash Flows for the nine months ended December 31, 2020 and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8740" w:type="dxa"/>
            <w:vAlign w:val="bottom"/>
            <w:gridSpan w:val="7"/>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 (unaudited)</w:t>
              </w:r>
            </w:hyperlink>
          </w:p>
        </w:tc>
        <w:tc>
          <w:tcPr>
            <w:tcW w:w="6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740" w:type="dxa"/>
            <w:vAlign w:val="bottom"/>
            <w:gridSpan w:val="7"/>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17</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740" w:type="dxa"/>
            <w:vAlign w:val="bottom"/>
            <w:gridSpan w:val="7"/>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c>
          <w:tcPr>
            <w:tcW w:w="0" w:type="dxa"/>
            <w:vAlign w:val="bottom"/>
          </w:tcPr>
          <w:p>
            <w:pPr>
              <w:spacing w:after="0"/>
              <w:rPr>
                <w:sz w:val="1"/>
                <w:szCs w:val="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740" w:type="dxa"/>
            <w:vAlign w:val="bottom"/>
            <w:gridSpan w:val="7"/>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Controls and Procedures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486"/>
        </w:trPr>
        <w:tc>
          <w:tcPr>
            <w:tcW w:w="9740" w:type="dxa"/>
            <w:vAlign w:val="bottom"/>
            <w:gridSpan w:val="8"/>
          </w:tcPr>
          <w:p>
            <w:pPr>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Part II –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gridSpan w:val="7"/>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Legal Proceedings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740" w:type="dxa"/>
            <w:vAlign w:val="bottom"/>
            <w:gridSpan w:val="7"/>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Risk Factors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740" w:type="dxa"/>
            <w:vAlign w:val="bottom"/>
            <w:gridSpan w:val="7"/>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Unregistered Sale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740" w:type="dxa"/>
            <w:vAlign w:val="bottom"/>
            <w:gridSpan w:val="7"/>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Defaults Upon Senior Securities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740" w:type="dxa"/>
            <w:vAlign w:val="bottom"/>
            <w:gridSpan w:val="7"/>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Mine Safety Disclosures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740" w:type="dxa"/>
            <w:vAlign w:val="bottom"/>
            <w:gridSpan w:val="7"/>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Other Information</w:t>
              </w:r>
            </w:hyperlink>
          </w:p>
        </w:tc>
        <w:tc>
          <w:tcPr>
            <w:tcW w:w="6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740" w:type="dxa"/>
            <w:vAlign w:val="bottom"/>
            <w:gridSpan w:val="7"/>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Exhibits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499"/>
        </w:trPr>
        <w:tc>
          <w:tcPr>
            <w:tcW w:w="9740" w:type="dxa"/>
            <w:vAlign w:val="bottom"/>
            <w:gridSpan w:val="8"/>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SIGNATURES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40" w:top="1046" w:right="1159" w:bottom="1440" w:gutter="0" w:footer="0" w:header="0"/>
        </w:sectPr>
      </w:pPr>
    </w:p>
    <w:bookmarkStart w:id="2" w:name="page3"/>
    <w:bookmarkEnd w:id="2"/>
    <w:p>
      <w:pPr>
        <w:ind w:left="452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Consolidated Balance Sheets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6"/>
        </w:trPr>
        <w:tc>
          <w:tcPr>
            <w:tcW w:w="7800" w:type="dxa"/>
            <w:vAlign w:val="bottom"/>
            <w:vMerge w:val="restart"/>
          </w:tcPr>
          <w:p>
            <w:pPr>
              <w:ind w:left="35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377,569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288,082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16"/>
        </w:trPr>
        <w:tc>
          <w:tcPr>
            <w:tcW w:w="780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43,645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Trade accounts receivable, net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146,990</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26,969</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606,635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513,686</w:t>
            </w: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113,079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114,519</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15,009</w:t>
            </w: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Deferred commissions cost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35,306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31,394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46,350</w:t>
            </w: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112,435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112,435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11,683</w:t>
            </w:r>
          </w:p>
        </w:tc>
        <w:tc>
          <w:tcPr>
            <w:tcW w:w="0" w:type="dxa"/>
            <w:vAlign w:val="bottom"/>
          </w:tcPr>
          <w:p>
            <w:pPr>
              <w:spacing w:after="0"/>
              <w:rPr>
                <w:sz w:val="1"/>
                <w:szCs w:val="1"/>
                <w:color w:val="auto"/>
              </w:rPr>
            </w:pP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905,579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845,076</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ind w:left="21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6"/>
        </w:trPr>
        <w:tc>
          <w:tcPr>
            <w:tcW w:w="7800" w:type="dxa"/>
            <w:vAlign w:val="bottom"/>
          </w:tcPr>
          <w:p>
            <w:pPr>
              <w:ind w:left="34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102,924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87,051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7,699</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233,497</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359,436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328,554</w:t>
            </w: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Deferred revenue, less current portion</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108,280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92,723</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17,561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8,808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Preferred stock, $0.01 par value: 50,000 shares authorized, no shares issued and outstanding</w:t>
            </w:r>
          </w:p>
        </w:tc>
        <w:tc>
          <w:tcPr>
            <w:tcW w:w="2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8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Common stock, $0.01 par value: 250,000 shares authorized, 46,835 shares and 46,011 shares issued and</w:t>
            </w:r>
          </w:p>
        </w:tc>
        <w:tc>
          <w:tcPr>
            <w:tcW w:w="2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2020 and March 31, 2020, respectively</w:t>
            </w:r>
          </w:p>
        </w:tc>
        <w:tc>
          <w:tcPr>
            <w:tcW w:w="2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1,041,073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978,659</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(618,068)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(553,790)</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(13,423)</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411,904</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905,579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845,076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89"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9"/>
                <w:szCs w:val="19"/>
                <w:color w:val="auto"/>
              </w:rPr>
            </w:pPr>
          </w:p>
        </w:tc>
        <w:tc>
          <w:tcPr>
            <w:tcW w:w="29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 December 31,</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Software and products</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88,625</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76,631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237,488</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208,900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Services</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99,367</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99,720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294,643</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297,236</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color w:val="auto"/>
              </w:rPr>
              <w:t>Total revenues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187,992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532,131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506,136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Software and products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20,666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22,938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Services</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59,096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67,546</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cost of revenues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79,762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90,484</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415,652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245,287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252,908</w:t>
            </w: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97,824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77,310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71,124</w:t>
            </w: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Restructuring</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19,709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18,951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intangible assets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10,681</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156,912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484,970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430,974</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(32,601)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(15,322)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4,270</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2,835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5,373</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color w:val="auto"/>
              </w:rPr>
              <w:t>Net income (loss)</w:t>
            </w:r>
          </w:p>
        </w:tc>
        <w:tc>
          <w:tcPr>
            <w:tcW w:w="4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(37,215)</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(14,580)</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common share:</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4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47,013</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46,575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45,586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Diluted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4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48,013</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46,575</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45,586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046" w:right="539" w:bottom="1440" w:gutter="0" w:footer="0" w:header="0"/>
        </w:sectPr>
      </w:pPr>
    </w:p>
    <w:bookmarkStart w:id="4" w:name="page5"/>
    <w:bookmarkEnd w:id="4"/>
    <w:p>
      <w:pPr>
        <w:ind w:left="416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spacing w:after="0"/>
              <w:rPr>
                <w:sz w:val="19"/>
                <w:szCs w:val="19"/>
                <w:color w:val="auto"/>
              </w:rPr>
            </w:pPr>
          </w:p>
        </w:tc>
        <w:tc>
          <w:tcPr>
            <w:tcW w:w="312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December 31,</w:t>
            </w:r>
          </w:p>
        </w:tc>
        <w:tc>
          <w:tcPr>
            <w:tcW w:w="100" w:type="dxa"/>
            <w:vAlign w:val="bottom"/>
          </w:tcPr>
          <w:p>
            <w:pPr>
              <w:spacing w:after="0"/>
              <w:rPr>
                <w:sz w:val="19"/>
                <w:szCs w:val="19"/>
                <w:color w:val="auto"/>
              </w:rPr>
            </w:pPr>
          </w:p>
        </w:tc>
        <w:tc>
          <w:tcPr>
            <w:tcW w:w="27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 December 31,</w:t>
            </w:r>
          </w:p>
        </w:tc>
      </w:tr>
      <w:tr>
        <w:trPr>
          <w:trHeight w:val="209"/>
        </w:trPr>
        <w:tc>
          <w:tcPr>
            <w:tcW w:w="45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rPr>
              <w:t>(650)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(14,580)</w:t>
            </w: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rPr>
              <w:t>960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09"/>
        </w:trPr>
        <w:tc>
          <w:tcPr>
            <w:tcW w:w="452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3,958</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rPr>
              <w:t>310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(33,192)</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(14,785)</w:t>
            </w:r>
          </w:p>
        </w:tc>
      </w:tr>
      <w:tr>
        <w:trPr>
          <w:trHeight w:val="21"/>
        </w:trPr>
        <w:tc>
          <w:tcPr>
            <w:tcW w:w="4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700" w:top="1046" w:right="719" w:bottom="1440" w:gutter="0" w:footer="0" w:header="0"/>
        </w:sectPr>
      </w:pPr>
    </w:p>
    <w:bookmarkStart w:id="5" w:name="page6"/>
    <w:bookmarkEnd w:id="5"/>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860" w:type="dxa"/>
            <w:vAlign w:val="bottom"/>
            <w:gridSpan w:val="4"/>
            <w:vMerge w:val="restart"/>
          </w:tcPr>
          <w:p>
            <w:pPr>
              <w:jc w:val="right"/>
              <w:ind w:right="32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40" w:type="dxa"/>
            <w:vAlign w:val="bottom"/>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 – In</w:t>
            </w:r>
          </w:p>
        </w:tc>
        <w:tc>
          <w:tcPr>
            <w:tcW w:w="180" w:type="dxa"/>
            <w:vAlign w:val="bottom"/>
          </w:tcPr>
          <w:p>
            <w:pPr>
              <w:spacing w:after="0"/>
              <w:rPr>
                <w:sz w:val="8"/>
                <w:szCs w:val="8"/>
                <w:color w:val="auto"/>
              </w:rPr>
            </w:pPr>
          </w:p>
        </w:tc>
        <w:tc>
          <w:tcPr>
            <w:tcW w:w="13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8"/>
                <w:szCs w:val="8"/>
                <w:color w:val="auto"/>
              </w:rPr>
            </w:pPr>
          </w:p>
        </w:tc>
        <w:tc>
          <w:tcPr>
            <w:tcW w:w="14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line="20" w:lineRule="exact"/>
              <w:rPr>
                <w:sz w:val="1"/>
                <w:szCs w:val="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6"/>
        </w:trPr>
        <w:tc>
          <w:tcPr>
            <w:tcW w:w="39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1,023,459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419,476</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22,037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22,037</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Share issuances related to stock-based</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
              <w:spacing w:after="0" w:line="162" w:lineRule="exact"/>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
              <w:spacing w:after="0" w:line="162" w:lineRule="exact"/>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(33,132)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comprehensive income</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1,041,073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414,071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840" w:type="dxa"/>
            <w:vAlign w:val="bottom"/>
            <w:gridSpan w:val="4"/>
            <w:vMerge w:val="restart"/>
          </w:tcPr>
          <w:p>
            <w:pPr>
              <w:jc w:val="right"/>
              <w:ind w:right="32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8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Paid – In</w:t>
            </w:r>
          </w:p>
        </w:tc>
        <w:tc>
          <w:tcPr>
            <w:tcW w:w="180" w:type="dxa"/>
            <w:vAlign w:val="bottom"/>
          </w:tcPr>
          <w:p>
            <w:pPr>
              <w:spacing w:after="0"/>
              <w:rPr>
                <w:sz w:val="8"/>
                <w:szCs w:val="8"/>
                <w:color w:val="auto"/>
              </w:rPr>
            </w:pPr>
          </w:p>
        </w:tc>
        <w:tc>
          <w:tcPr>
            <w:tcW w:w="13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8"/>
                <w:szCs w:val="8"/>
                <w:color w:val="auto"/>
              </w:rPr>
            </w:pPr>
          </w:p>
        </w:tc>
        <w:tc>
          <w:tcPr>
            <w:tcW w:w="14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5"/>
        </w:trPr>
        <w:tc>
          <w:tcPr>
            <w:tcW w:w="39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2020</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46,011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978,659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(553,790)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411,904</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61,572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61,572</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Share issuances related to stock-based</w:t>
            </w:r>
          </w:p>
        </w:tc>
        <w:tc>
          <w:tcPr>
            <w:tcW w:w="820" w:type="dxa"/>
            <w:vAlign w:val="bottom"/>
            <w:shd w:val="clear" w:color="auto" w:fill="CCEEFF"/>
          </w:tcPr>
          <w:p>
            <w:pPr>
              <w:jc w:val="right"/>
              <w:ind w:right="2"/>
              <w:spacing w:after="0" w:line="162" w:lineRule="exact"/>
              <w:rPr>
                <w:sz w:val="20"/>
                <w:szCs w:val="20"/>
                <w:color w:val="auto"/>
              </w:rPr>
            </w:pPr>
            <w:r>
              <w:rPr>
                <w:rFonts w:ascii="Arial" w:cs="Arial" w:eastAsia="Arial" w:hAnsi="Arial"/>
                <w:sz w:val="16"/>
                <w:szCs w:val="16"/>
                <w:color w:val="auto"/>
              </w:rPr>
              <w:t>1,525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
              <w:spacing w:after="0" w:line="162" w:lineRule="exact"/>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
              <w:spacing w:after="0" w:line="162" w:lineRule="exact"/>
              <w:rPr>
                <w:sz w:val="20"/>
                <w:szCs w:val="20"/>
                <w:color w:val="auto"/>
              </w:rPr>
            </w:pPr>
            <w:r>
              <w:rPr>
                <w:rFonts w:ascii="Arial" w:cs="Arial" w:eastAsia="Arial" w:hAnsi="Arial"/>
                <w:sz w:val="16"/>
                <w:szCs w:val="16"/>
                <w:color w:val="auto"/>
              </w:rPr>
              <w:t>6,988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7,003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(26,979)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(33,132)</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Cumulative effect change in accounting for ASU</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2016-13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6"/>
                <w:szCs w:val="16"/>
                <w:color w:val="auto"/>
              </w:rPr>
              <w:t>Net loss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(37,215)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(37,215)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w:t>
            </w: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4,023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46,835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1,041,073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(618,068)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414,071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type w:val="continuous"/>
        </w:sectPr>
      </w:pPr>
    </w:p>
    <w:bookmarkStart w:id="6" w:name="page7"/>
    <w:bookmarkEnd w:id="6"/>
    <w:p>
      <w:pPr>
        <w:spacing w:after="0" w:line="1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1440" w:type="dxa"/>
            <w:vAlign w:val="bottom"/>
          </w:tcPr>
          <w:p>
            <w:pPr>
              <w:spacing w:after="0"/>
              <w:rPr>
                <w:sz w:val="14"/>
                <w:szCs w:val="14"/>
                <w:color w:val="auto"/>
              </w:rPr>
            </w:pP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166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820" w:type="dxa"/>
            <w:vAlign w:val="bottom"/>
            <w:tcBorders>
              <w:bottom w:val="single" w:sz="8" w:color="auto"/>
            </w:tcBorders>
            <w:gridSpan w:val="2"/>
            <w:vMerge w:val="continue"/>
          </w:tcPr>
          <w:p>
            <w:pPr>
              <w:spacing w:after="0"/>
              <w:rPr>
                <w:sz w:val="8"/>
                <w:szCs w:val="8"/>
                <w:color w:val="auto"/>
              </w:rPr>
            </w:pPr>
          </w:p>
        </w:tc>
        <w:tc>
          <w:tcPr>
            <w:tcW w:w="12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 – In</w:t>
            </w:r>
          </w:p>
        </w:tc>
        <w:tc>
          <w:tcPr>
            <w:tcW w:w="14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Accumulated</w:t>
            </w:r>
          </w:p>
        </w:tc>
        <w:tc>
          <w:tcPr>
            <w:tcW w:w="16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28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6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76"/>
        </w:trPr>
        <w:tc>
          <w:tcPr>
            <w:tcW w:w="8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auto"/>
              </w:rPr>
              <w:t>Loss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ind w:left="360" w:right="800" w:hanging="323"/>
        <w:spacing w:after="0" w:line="289" w:lineRule="auto"/>
        <w:rPr>
          <w:sz w:val="20"/>
          <w:szCs w:val="20"/>
          <w:color w:val="auto"/>
        </w:rPr>
      </w:pPr>
      <w:r>
        <w:rPr>
          <w:rFonts w:ascii="Arial" w:cs="Arial" w:eastAsia="Arial" w:hAnsi="Arial"/>
          <w:sz w:val="16"/>
          <w:szCs w:val="16"/>
          <w:color w:val="auto"/>
        </w:rPr>
        <w:t>Balance as of September 30, 2019 Stock-based compensation</w:t>
      </w:r>
    </w:p>
    <w:p>
      <w:pPr>
        <w:ind w:left="360" w:right="360"/>
        <w:spacing w:after="0" w:line="246" w:lineRule="auto"/>
        <w:rPr>
          <w:sz w:val="20"/>
          <w:szCs w:val="20"/>
          <w:color w:val="auto"/>
        </w:rPr>
      </w:pPr>
      <w:r>
        <w:rPr>
          <w:rFonts w:ascii="Arial" w:cs="Arial" w:eastAsia="Arial" w:hAnsi="Arial"/>
          <w:sz w:val="16"/>
          <w:szCs w:val="16"/>
          <w:color w:val="auto"/>
        </w:rPr>
        <w:t>Share issuances related to business combination</w:t>
      </w:r>
    </w:p>
    <w:p>
      <w:pPr>
        <w:spacing w:after="0" w:line="1" w:lineRule="exact"/>
        <w:rPr>
          <w:sz w:val="20"/>
          <w:szCs w:val="20"/>
          <w:color w:val="auto"/>
        </w:rPr>
      </w:pPr>
    </w:p>
    <w:p>
      <w:pPr>
        <w:ind w:left="360" w:right="140"/>
        <w:spacing w:after="0" w:line="246" w:lineRule="auto"/>
        <w:rPr>
          <w:sz w:val="20"/>
          <w:szCs w:val="20"/>
          <w:color w:val="auto"/>
        </w:rPr>
      </w:pPr>
      <w:r>
        <w:rPr>
          <w:rFonts w:ascii="Arial" w:cs="Arial" w:eastAsia="Arial" w:hAnsi="Arial"/>
          <w:sz w:val="16"/>
          <w:szCs w:val="16"/>
          <w:color w:val="auto"/>
        </w:rPr>
        <w:t>Share issuances related to stock-based compensation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loss</w:t>
      </w:r>
    </w:p>
    <w:p>
      <w:pPr>
        <w:spacing w:after="0" w:line="32" w:lineRule="exact"/>
        <w:rPr>
          <w:sz w:val="20"/>
          <w:szCs w:val="20"/>
          <w:color w:val="auto"/>
        </w:rPr>
      </w:pPr>
    </w:p>
    <w:p>
      <w:pPr>
        <w:ind w:left="20" w:right="840" w:firstLine="324"/>
        <w:spacing w:after="0" w:line="323" w:lineRule="auto"/>
        <w:rPr>
          <w:sz w:val="20"/>
          <w:szCs w:val="20"/>
          <w:color w:val="auto"/>
        </w:rPr>
      </w:pPr>
      <w:r>
        <w:rPr>
          <w:rFonts w:ascii="Arial" w:cs="Arial" w:eastAsia="Arial" w:hAnsi="Arial"/>
          <w:sz w:val="16"/>
          <w:szCs w:val="16"/>
          <w:color w:val="auto"/>
        </w:rPr>
        <w:t>Other comprehensive income Balance as of December 31,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45,409</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916,899</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(532,504)</w:t>
            </w:r>
          </w:p>
        </w:tc>
        <w:tc>
          <w:tcPr>
            <w:tcW w:w="120" w:type="dxa"/>
            <w:vAlign w:val="bottom"/>
          </w:tcPr>
          <w:p>
            <w:pPr>
              <w:spacing w:after="0"/>
              <w:rPr>
                <w:sz w:val="17"/>
                <w:szCs w:val="17"/>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(12,733)</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372,114</w:t>
            </w:r>
          </w:p>
        </w:tc>
      </w:tr>
      <w:tr>
        <w:trPr>
          <w:trHeight w:val="216"/>
        </w:trPr>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18,974</w:t>
            </w:r>
          </w:p>
        </w:tc>
      </w:tr>
      <w:tr>
        <w:trPr>
          <w:trHeight w:val="219"/>
        </w:trPr>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1,616</w:t>
            </w:r>
          </w:p>
        </w:tc>
      </w:tr>
      <w:tr>
        <w:trPr>
          <w:trHeight w:val="378"/>
        </w:trPr>
        <w:tc>
          <w:tcPr>
            <w:tcW w:w="820" w:type="dxa"/>
            <w:vAlign w:val="bottom"/>
          </w:tcPr>
          <w:p>
            <w:pPr>
              <w:jc w:val="right"/>
              <w:spacing w:after="0"/>
              <w:rPr>
                <w:sz w:val="20"/>
                <w:szCs w:val="20"/>
                <w:color w:val="auto"/>
              </w:rPr>
            </w:pPr>
            <w:r>
              <w:rPr>
                <w:rFonts w:ascii="Arial" w:cs="Arial" w:eastAsia="Arial" w:hAnsi="Arial"/>
                <w:sz w:val="16"/>
                <w:szCs w:val="16"/>
                <w:color w:val="auto"/>
              </w:rPr>
              <w:t>1,088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24,608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24,619</w:t>
            </w:r>
          </w:p>
        </w:tc>
      </w:tr>
      <w:tr>
        <w:trPr>
          <w:trHeight w:val="375"/>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20"/>
        </w:trPr>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r>
      <w:tr>
        <w:trPr>
          <w:trHeight w:val="211"/>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46,497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962,097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(533,154)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417,633</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-933450</wp:posOffset>
            </wp:positionV>
            <wp:extent cx="713232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-453390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-179070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1440" w:type="dxa"/>
            <w:vAlign w:val="bottom"/>
          </w:tcPr>
          <w:p>
            <w:pPr>
              <w:spacing w:after="0"/>
              <w:rPr>
                <w:sz w:val="14"/>
                <w:szCs w:val="14"/>
                <w:color w:val="auto"/>
              </w:rPr>
            </w:pP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166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820" w:type="dxa"/>
            <w:vAlign w:val="bottom"/>
            <w:tcBorders>
              <w:bottom w:val="single" w:sz="8" w:color="auto"/>
            </w:tcBorders>
            <w:gridSpan w:val="2"/>
            <w:vMerge w:val="continue"/>
          </w:tcPr>
          <w:p>
            <w:pPr>
              <w:spacing w:after="0"/>
              <w:rPr>
                <w:sz w:val="8"/>
                <w:szCs w:val="8"/>
                <w:color w:val="auto"/>
              </w:rPr>
            </w:pPr>
          </w:p>
        </w:tc>
        <w:tc>
          <w:tcPr>
            <w:tcW w:w="12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 – In</w:t>
            </w:r>
          </w:p>
        </w:tc>
        <w:tc>
          <w:tcPr>
            <w:tcW w:w="14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Accumulated</w:t>
            </w:r>
          </w:p>
        </w:tc>
        <w:tc>
          <w:tcPr>
            <w:tcW w:w="16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28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6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75"/>
        </w:trPr>
        <w:tc>
          <w:tcPr>
            <w:tcW w:w="8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auto"/>
              </w:rPr>
              <w:t>Loss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320" w:space="720"/>
            <w:col w:w="7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45,582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887,907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(485,490)</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391,303</w:t>
            </w: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48,581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48,581</w:t>
            </w:r>
          </w:p>
        </w:tc>
      </w:tr>
      <w:tr>
        <w:trPr>
          <w:trHeight w:val="162"/>
        </w:trPr>
        <w:tc>
          <w:tcPr>
            <w:tcW w:w="404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Share issuances related to business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1,616</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combination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62"/>
        </w:trPr>
        <w:tc>
          <w:tcPr>
            <w:tcW w:w="4040" w:type="dxa"/>
            <w:vAlign w:val="bottom"/>
          </w:tcPr>
          <w:p>
            <w:pPr>
              <w:ind w:left="360"/>
              <w:spacing w:after="0" w:line="162" w:lineRule="exact"/>
              <w:rPr>
                <w:sz w:val="20"/>
                <w:szCs w:val="20"/>
                <w:color w:val="auto"/>
              </w:rPr>
            </w:pPr>
            <w:r>
              <w:rPr>
                <w:rFonts w:ascii="Arial" w:cs="Arial" w:eastAsia="Arial" w:hAnsi="Arial"/>
                <w:sz w:val="16"/>
                <w:szCs w:val="16"/>
                <w:color w:val="auto"/>
              </w:rPr>
              <w:t>Share issuances related to stock-based</w:t>
            </w: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1,745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6"/>
                <w:szCs w:val="16"/>
                <w:color w:val="auto"/>
              </w:rPr>
              <w:t>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30,927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30,944</w:t>
            </w: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compensation</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(40,026)</w:t>
            </w:r>
          </w:p>
        </w:tc>
      </w:tr>
      <w:tr>
        <w:trPr>
          <w:trHeight w:val="216"/>
        </w:trPr>
        <w:tc>
          <w:tcPr>
            <w:tcW w:w="4040" w:type="dxa"/>
            <w:vAlign w:val="bottom"/>
          </w:tcPr>
          <w:p>
            <w:pPr>
              <w:ind w:left="360"/>
              <w:spacing w:after="0"/>
              <w:rPr>
                <w:sz w:val="20"/>
                <w:szCs w:val="20"/>
                <w:color w:val="auto"/>
              </w:rPr>
            </w:pPr>
            <w:r>
              <w:rPr>
                <w:rFonts w:ascii="Arial" w:cs="Arial" w:eastAsia="Arial" w:hAnsi="Arial"/>
                <w:sz w:val="16"/>
                <w:szCs w:val="16"/>
                <w:color w:val="auto"/>
              </w:rPr>
              <w:t>Net 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(14,580)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(14,580)</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w:t>
            </w: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46,497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962,097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(533,154)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417,633</w:t>
            </w:r>
          </w:p>
        </w:tc>
      </w:tr>
      <w:tr>
        <w:trPr>
          <w:trHeight w:val="20"/>
        </w:trPr>
        <w:tc>
          <w:tcPr>
            <w:tcW w:w="4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December 31,</w:t>
            </w:r>
          </w:p>
        </w:tc>
      </w:tr>
      <w:tr>
        <w:trPr>
          <w:trHeight w:val="209"/>
        </w:trPr>
        <w:tc>
          <w:tcPr>
            <w:tcW w:w="78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r>
      <w:tr>
        <w:trPr>
          <w:trHeight w:val="19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(37,215)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(14,580)</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13,379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11,618</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stock-based compensation</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48,581</w:t>
            </w:r>
          </w:p>
        </w:tc>
      </w:tr>
      <w:tr>
        <w:trPr>
          <w:trHeight w:val="216"/>
        </w:trPr>
        <w:tc>
          <w:tcPr>
            <w:tcW w:w="7840" w:type="dxa"/>
            <w:vAlign w:val="bottom"/>
          </w:tcPr>
          <w:p>
            <w:pPr>
              <w:ind w:left="360"/>
              <w:spacing w:after="0"/>
              <w:rPr>
                <w:sz w:val="20"/>
                <w:szCs w:val="20"/>
                <w:color w:val="auto"/>
              </w:rPr>
            </w:pPr>
            <w:r>
              <w:rPr>
                <w:rFonts w:ascii="Arial" w:cs="Arial" w:eastAsia="Arial" w:hAnsi="Arial"/>
                <w:sz w:val="16"/>
                <w:szCs w:val="16"/>
                <w:color w:val="auto"/>
              </w:rPr>
              <w:t>Amortization of deferred commissions cost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13,150</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Impairment of operating lease assets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w:t>
            </w:r>
          </w:p>
        </w:tc>
      </w:tr>
      <w:tr>
        <w:trPr>
          <w:trHeight w:val="216"/>
        </w:trPr>
        <w:tc>
          <w:tcPr>
            <w:tcW w:w="7840" w:type="dxa"/>
            <w:vAlign w:val="bottom"/>
          </w:tcPr>
          <w:p>
            <w:pPr>
              <w:ind w:left="360"/>
              <w:spacing w:after="0"/>
              <w:rPr>
                <w:sz w:val="20"/>
                <w:szCs w:val="20"/>
                <w:color w:val="auto"/>
              </w:rPr>
            </w:pPr>
            <w:r>
              <w:rPr>
                <w:rFonts w:ascii="Arial" w:cs="Arial" w:eastAsia="Arial" w:hAnsi="Arial"/>
                <w:sz w:val="16"/>
                <w:szCs w:val="16"/>
                <w:color w:val="auto"/>
              </w:rPr>
              <w:t>Impairment of intangible asset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40,700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40" w:type="dxa"/>
            <w:vAlign w:val="bottom"/>
          </w:tcPr>
          <w:p>
            <w:pPr>
              <w:ind w:left="680"/>
              <w:spacing w:after="0"/>
              <w:rPr>
                <w:sz w:val="20"/>
                <w:szCs w:val="20"/>
                <w:color w:val="auto"/>
              </w:rPr>
            </w:pPr>
            <w:r>
              <w:rPr>
                <w:rFonts w:ascii="Arial" w:cs="Arial" w:eastAsia="Arial" w:hAnsi="Arial"/>
                <w:sz w:val="16"/>
                <w:szCs w:val="16"/>
                <w:color w:val="auto"/>
              </w:rPr>
              <w:t>Trade accounts receivable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(38,970)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12,735</w:t>
            </w:r>
          </w:p>
        </w:tc>
      </w:tr>
      <w:tr>
        <w:trPr>
          <w:trHeight w:val="216"/>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assets and liabilities, net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16"/>
        </w:trPr>
        <w:tc>
          <w:tcPr>
            <w:tcW w:w="7840" w:type="dxa"/>
            <w:vAlign w:val="bottom"/>
          </w:tcPr>
          <w:p>
            <w:pPr>
              <w:ind w:left="680"/>
              <w:spacing w:after="0"/>
              <w:rPr>
                <w:sz w:val="20"/>
                <w:szCs w:val="20"/>
                <w:color w:val="auto"/>
              </w:rPr>
            </w:pPr>
            <w:r>
              <w:rPr>
                <w:rFonts w:ascii="Arial" w:cs="Arial" w:eastAsia="Arial" w:hAnsi="Arial"/>
                <w:sz w:val="16"/>
                <w:szCs w:val="16"/>
                <w:color w:val="auto"/>
              </w:rPr>
              <w:t>Other current assets and Other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5,586</w:t>
            </w:r>
          </w:p>
        </w:tc>
      </w:tr>
      <w:tr>
        <w:trPr>
          <w:trHeight w:val="216"/>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commissions cost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w:t>
            </w:r>
          </w:p>
        </w:tc>
      </w:tr>
      <w:tr>
        <w:trPr>
          <w:trHeight w:val="216"/>
        </w:trPr>
        <w:tc>
          <w:tcPr>
            <w:tcW w:w="784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(1,726)</w:t>
            </w:r>
          </w:p>
        </w:tc>
      </w:tr>
      <w:tr>
        <w:trPr>
          <w:trHeight w:val="216"/>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r>
      <w:tr>
        <w:trPr>
          <w:trHeight w:val="216"/>
        </w:trPr>
        <w:tc>
          <w:tcPr>
            <w:tcW w:w="7840" w:type="dxa"/>
            <w:vAlign w:val="bottom"/>
          </w:tcPr>
          <w:p>
            <w:pPr>
              <w:ind w:left="6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(6,262)</w:t>
            </w:r>
          </w:p>
        </w:tc>
      </w:tr>
      <w:tr>
        <w:trPr>
          <w:trHeight w:val="216"/>
        </w:trPr>
        <w:tc>
          <w:tcPr>
            <w:tcW w:w="7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59,247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56,008</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6"/>
                <w:szCs w:val="16"/>
                <w:color w:val="auto"/>
              </w:rPr>
              <w:t>Purchase of short-term investments</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(32,800)</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maturity of short-term investments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98,150</w:t>
            </w:r>
          </w:p>
        </w:tc>
      </w:tr>
      <w:tr>
        <w:trPr>
          <w:trHeight w:val="216"/>
        </w:trPr>
        <w:tc>
          <w:tcPr>
            <w:tcW w:w="784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(1,911)</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combination, net of cash acquired</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(157,495)</w:t>
            </w: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26,806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(94,056)</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(33,132)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(40,026)</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30,944</w:t>
            </w:r>
          </w:p>
        </w:tc>
      </w:tr>
      <w:tr>
        <w:trPr>
          <w:trHeight w:val="209"/>
        </w:trPr>
        <w:tc>
          <w:tcPr>
            <w:tcW w:w="78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(26,129)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(9,082)</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21,563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81,487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(47,967)</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296,082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327,992</w:t>
            </w: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377,569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280,025</w:t>
            </w: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b w:val="1"/>
          <w:bCs w:val="1"/>
          <w:color w:val="00B2A9"/>
        </w:rPr>
      </w:pPr>
      <w:r>
        <w:rPr>
          <w:rFonts w:ascii="Arial" w:cs="Arial" w:eastAsia="Arial" w:hAnsi="Arial"/>
          <w:sz w:val="18"/>
          <w:szCs w:val="18"/>
          <w:b w:val="1"/>
          <w:bCs w:val="1"/>
          <w:color w:val="00B2A9"/>
        </w:rPr>
        <w:t>Basis of Presentation</w:t>
      </w:r>
    </w:p>
    <w:p>
      <w:pPr>
        <w:spacing w:after="0" w:line="173" w:lineRule="exact"/>
        <w:rPr>
          <w:sz w:val="20"/>
          <w:szCs w:val="20"/>
          <w:color w:val="auto"/>
        </w:rPr>
      </w:pPr>
    </w:p>
    <w:p>
      <w:pPr>
        <w:ind w:right="300" w:firstLine="445"/>
        <w:spacing w:after="0" w:line="264" w:lineRule="auto"/>
        <w:rPr>
          <w:sz w:val="20"/>
          <w:szCs w:val="20"/>
          <w:color w:val="auto"/>
        </w:rPr>
      </w:pPr>
      <w:r>
        <w:rPr>
          <w:rFonts w:ascii="Arial" w:cs="Arial" w:eastAsia="Arial" w:hAnsi="Arial"/>
          <w:sz w:val="18"/>
          <w:szCs w:val="18"/>
          <w:color w:val="auto"/>
        </w:rPr>
        <w:t>Commvault Systems, Inc. and its subsidiaries ("Commvault," "we," "us," or "our") is a provider of data protection and information management software applications and products. We develop, market and sell a suite of software applications and services, globally, that provides our customers with data protection solutions. We also provide our customers with a broad range of professional and customer support services.</w:t>
      </w:r>
    </w:p>
    <w:p>
      <w:pPr>
        <w:spacing w:after="0" w:line="196" w:lineRule="exact"/>
        <w:rPr>
          <w:sz w:val="20"/>
          <w:szCs w:val="20"/>
          <w:color w:val="auto"/>
        </w:rPr>
      </w:pPr>
    </w:p>
    <w:p>
      <w:pPr>
        <w:ind w:right="20" w:firstLine="445"/>
        <w:spacing w:after="0" w:line="258" w:lineRule="auto"/>
        <w:rPr>
          <w:sz w:val="20"/>
          <w:szCs w:val="20"/>
          <w:color w:val="auto"/>
        </w:rPr>
      </w:pPr>
      <w:r>
        <w:rPr>
          <w:rFonts w:ascii="Arial" w:cs="Arial" w:eastAsia="Arial" w:hAnsi="Arial"/>
          <w:sz w:val="18"/>
          <w:szCs w:val="18"/>
          <w:color w:val="auto"/>
        </w:rPr>
        <w:t>The consolidated financial statements of Commvault as of December 31, 2020 and for the three and nine months ended December 31, 2020 and 2019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our Annual Report on Form 10-K for fiscal 2020. The results reported in these financial statements should not necessarily be taken as indicative of results that may be expected for the entire fiscal year.</w:t>
      </w:r>
    </w:p>
    <w:p>
      <w:pPr>
        <w:spacing w:after="0" w:line="123" w:lineRule="exact"/>
        <w:rPr>
          <w:sz w:val="20"/>
          <w:szCs w:val="20"/>
          <w:color w:val="auto"/>
        </w:rPr>
      </w:pPr>
    </w:p>
    <w:p>
      <w:pPr>
        <w:ind w:firstLine="445"/>
        <w:spacing w:after="0" w:line="276"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 of assets and liabilities reported in our balance sheets and the amounts of revenues and expenses reported for each of our periods presented are affected by estimates and assumptions, which are used for, but not limited to, the accounting for revenue recognition, income taxes and related reserves, and goodwill and purchased intangible assets. Actual results could differ from those estimates.</w:t>
      </w:r>
    </w:p>
    <w:p>
      <w:pPr>
        <w:spacing w:after="0" w:line="200" w:lineRule="exact"/>
        <w:rPr>
          <w:sz w:val="20"/>
          <w:szCs w:val="20"/>
          <w:color w:val="auto"/>
        </w:rPr>
      </w:pPr>
    </w:p>
    <w:p>
      <w:pPr>
        <w:spacing w:after="0" w:line="31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00B2A9"/>
        </w:rPr>
      </w:pPr>
      <w:r>
        <w:rPr>
          <w:rFonts w:ascii="Arial" w:cs="Arial" w:eastAsia="Arial" w:hAnsi="Arial"/>
          <w:sz w:val="18"/>
          <w:szCs w:val="18"/>
          <w:b w:val="1"/>
          <w:bCs w:val="1"/>
          <w:color w:val="00B2A9"/>
        </w:rPr>
        <w:t>Summary of Significant Accounting Policies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Recently Adopted Accounting Standards</w:t>
      </w:r>
    </w:p>
    <w:p>
      <w:pPr>
        <w:spacing w:after="0" w:line="199"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jc w:val="center"/>
              <w:ind w:left="339"/>
              <w:spacing w:after="0"/>
              <w:rPr>
                <w:sz w:val="20"/>
                <w:szCs w:val="20"/>
                <w:color w:val="auto"/>
              </w:rPr>
            </w:pPr>
            <w:r>
              <w:rPr>
                <w:rFonts w:ascii="Arial" w:cs="Arial" w:eastAsia="Arial" w:hAnsi="Arial"/>
                <w:sz w:val="16"/>
                <w:szCs w:val="16"/>
                <w:b w:val="1"/>
                <w:bCs w:val="1"/>
                <w:color w:val="auto"/>
              </w:rPr>
              <w:t>Effect on the Consolidated Financial</w:t>
            </w:r>
          </w:p>
        </w:tc>
        <w:tc>
          <w:tcPr>
            <w:tcW w:w="0" w:type="dxa"/>
            <w:vAlign w:val="bottom"/>
          </w:tcPr>
          <w:p>
            <w:pPr>
              <w:spacing w:after="0"/>
              <w:rPr>
                <w:sz w:val="1"/>
                <w:szCs w:val="1"/>
                <w:color w:val="auto"/>
              </w:rPr>
            </w:pPr>
          </w:p>
        </w:tc>
      </w:tr>
      <w:tr>
        <w:trPr>
          <w:trHeight w:val="162"/>
        </w:trPr>
        <w:tc>
          <w:tcPr>
            <w:tcW w:w="1720" w:type="dxa"/>
            <w:vAlign w:val="bottom"/>
            <w:vMerge w:val="restart"/>
          </w:tcPr>
          <w:p>
            <w:pPr>
              <w:spacing w:after="0"/>
              <w:rPr>
                <w:sz w:val="20"/>
                <w:szCs w:val="20"/>
                <w:color w:val="auto"/>
              </w:rPr>
            </w:pPr>
            <w:r>
              <w:rPr>
                <w:rFonts w:ascii="Arial" w:cs="Arial" w:eastAsia="Arial" w:hAnsi="Arial"/>
                <w:sz w:val="16"/>
                <w:szCs w:val="16"/>
                <w:b w:val="1"/>
                <w:bCs w:val="1"/>
                <w:color w:val="auto"/>
              </w:rPr>
              <w:t>Standard</w:t>
            </w:r>
          </w:p>
        </w:tc>
        <w:tc>
          <w:tcPr>
            <w:tcW w:w="2880" w:type="dxa"/>
            <w:vAlign w:val="bottom"/>
            <w:vMerge w:val="restart"/>
          </w:tcPr>
          <w:p>
            <w:pPr>
              <w:ind w:left="1020"/>
              <w:spacing w:after="0"/>
              <w:rPr>
                <w:sz w:val="20"/>
                <w:szCs w:val="20"/>
                <w:color w:val="auto"/>
              </w:rPr>
            </w:pPr>
            <w:r>
              <w:rPr>
                <w:rFonts w:ascii="Arial" w:cs="Arial" w:eastAsia="Arial" w:hAnsi="Arial"/>
                <w:sz w:val="16"/>
                <w:szCs w:val="16"/>
                <w:b w:val="1"/>
                <w:bCs w:val="1"/>
                <w:color w:val="auto"/>
              </w:rPr>
              <w:t>Description</w:t>
            </w:r>
          </w:p>
        </w:tc>
        <w:tc>
          <w:tcPr>
            <w:tcW w:w="2460" w:type="dxa"/>
            <w:vAlign w:val="bottom"/>
            <w:vMerge w:val="restart"/>
          </w:tcPr>
          <w:p>
            <w:pPr>
              <w:ind w:left="980"/>
              <w:spacing w:after="0"/>
              <w:rPr>
                <w:sz w:val="20"/>
                <w:szCs w:val="20"/>
                <w:color w:val="auto"/>
              </w:rPr>
            </w:pPr>
            <w:r>
              <w:rPr>
                <w:rFonts w:ascii="Arial" w:cs="Arial" w:eastAsia="Arial" w:hAnsi="Arial"/>
                <w:sz w:val="16"/>
                <w:szCs w:val="16"/>
                <w:b w:val="1"/>
                <w:bCs w:val="1"/>
                <w:color w:val="auto"/>
              </w:rPr>
              <w:t>Effective Date</w:t>
            </w:r>
          </w:p>
        </w:tc>
        <w:tc>
          <w:tcPr>
            <w:tcW w:w="3220" w:type="dxa"/>
            <w:vAlign w:val="bottom"/>
          </w:tcPr>
          <w:p>
            <w:pPr>
              <w:jc w:val="center"/>
              <w:ind w:left="339"/>
              <w:spacing w:after="0" w:line="162" w:lineRule="exact"/>
              <w:rPr>
                <w:sz w:val="20"/>
                <w:szCs w:val="20"/>
                <w:color w:val="auto"/>
              </w:rPr>
            </w:pPr>
            <w:r>
              <w:rPr>
                <w:rFonts w:ascii="Arial" w:cs="Arial" w:eastAsia="Arial" w:hAnsi="Arial"/>
                <w:sz w:val="16"/>
                <w:szCs w:val="16"/>
                <w:b w:val="1"/>
                <w:bCs w:val="1"/>
                <w:color w:val="auto"/>
              </w:rPr>
              <w:t>Statements (or Other Significant</w:t>
            </w:r>
          </w:p>
        </w:tc>
        <w:tc>
          <w:tcPr>
            <w:tcW w:w="0" w:type="dxa"/>
            <w:vAlign w:val="bottom"/>
          </w:tcPr>
          <w:p>
            <w:pPr>
              <w:spacing w:after="0"/>
              <w:rPr>
                <w:sz w:val="1"/>
                <w:szCs w:val="1"/>
                <w:color w:val="auto"/>
              </w:rPr>
            </w:pPr>
          </w:p>
        </w:tc>
      </w:tr>
      <w:tr>
        <w:trPr>
          <w:trHeight w:val="229"/>
        </w:trPr>
        <w:tc>
          <w:tcPr>
            <w:tcW w:w="1720" w:type="dxa"/>
            <w:vAlign w:val="bottom"/>
            <w:vMerge w:val="continue"/>
          </w:tcPr>
          <w:p>
            <w:pPr>
              <w:spacing w:after="0"/>
              <w:rPr>
                <w:sz w:val="19"/>
                <w:szCs w:val="19"/>
                <w:color w:val="auto"/>
              </w:rPr>
            </w:pPr>
          </w:p>
        </w:tc>
        <w:tc>
          <w:tcPr>
            <w:tcW w:w="2880" w:type="dxa"/>
            <w:vAlign w:val="bottom"/>
            <w:vMerge w:val="continue"/>
          </w:tcPr>
          <w:p>
            <w:pPr>
              <w:spacing w:after="0"/>
              <w:rPr>
                <w:sz w:val="19"/>
                <w:szCs w:val="19"/>
                <w:color w:val="auto"/>
              </w:rPr>
            </w:pPr>
          </w:p>
        </w:tc>
        <w:tc>
          <w:tcPr>
            <w:tcW w:w="2460" w:type="dxa"/>
            <w:vAlign w:val="bottom"/>
            <w:vMerge w:val="continue"/>
          </w:tcPr>
          <w:p>
            <w:pPr>
              <w:spacing w:after="0"/>
              <w:rPr>
                <w:sz w:val="19"/>
                <w:szCs w:val="19"/>
                <w:color w:val="auto"/>
              </w:rPr>
            </w:pPr>
          </w:p>
        </w:tc>
        <w:tc>
          <w:tcPr>
            <w:tcW w:w="3220" w:type="dxa"/>
            <w:vAlign w:val="bottom"/>
          </w:tcPr>
          <w:p>
            <w:pPr>
              <w:jc w:val="center"/>
              <w:ind w:left="339"/>
              <w:spacing w:after="0"/>
              <w:rPr>
                <w:sz w:val="20"/>
                <w:szCs w:val="20"/>
                <w:color w:val="auto"/>
              </w:rPr>
            </w:pPr>
            <w:r>
              <w:rPr>
                <w:rFonts w:ascii="Arial" w:cs="Arial" w:eastAsia="Arial" w:hAnsi="Arial"/>
                <w:sz w:val="16"/>
                <w:szCs w:val="16"/>
                <w:b w:val="1"/>
                <w:bCs w:val="1"/>
                <w:color w:val="auto"/>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77" w:right="359" w:bottom="1440" w:gutter="0" w:footer="0" w:header="0"/>
        </w:sectPr>
      </w:pPr>
    </w:p>
    <w:p>
      <w:pPr>
        <w:ind w:left="20"/>
        <w:spacing w:after="0" w:line="232" w:lineRule="auto"/>
        <w:tabs>
          <w:tab w:leader="none" w:pos="224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The standard amends guidance on the</w:t>
      </w:r>
    </w:p>
    <w:p>
      <w:pPr>
        <w:ind w:left="20"/>
        <w:spacing w:after="0" w:line="203" w:lineRule="auto"/>
        <w:rPr>
          <w:sz w:val="20"/>
          <w:szCs w:val="20"/>
          <w:color w:val="auto"/>
        </w:rPr>
      </w:pPr>
      <w:r>
        <w:rPr>
          <w:rFonts w:ascii="Arial" w:cs="Arial" w:eastAsia="Arial" w:hAnsi="Arial"/>
          <w:sz w:val="18"/>
          <w:szCs w:val="18"/>
          <w:color w:val="auto"/>
        </w:rPr>
        <w:t>Update ("ASU") No. 2016-  impairment of financial instruments. The</w:t>
      </w:r>
    </w:p>
    <w:p>
      <w:pPr>
        <w:ind w:left="20"/>
        <w:spacing w:after="0" w:line="216" w:lineRule="auto"/>
        <w:tabs>
          <w:tab w:leader="none" w:pos="2240" w:val="left"/>
        </w:tabs>
        <w:rPr>
          <w:sz w:val="20"/>
          <w:szCs w:val="20"/>
          <w:color w:val="auto"/>
        </w:rPr>
      </w:pPr>
      <w:r>
        <w:rPr>
          <w:rFonts w:ascii="Arial" w:cs="Arial" w:eastAsia="Arial" w:hAnsi="Arial"/>
          <w:sz w:val="18"/>
          <w:szCs w:val="18"/>
          <w:color w:val="auto"/>
        </w:rPr>
        <w:t>13 (Topic 326), Financial</w:t>
      </w:r>
      <w:r>
        <w:rPr>
          <w:sz w:val="20"/>
          <w:szCs w:val="20"/>
          <w:color w:val="auto"/>
        </w:rPr>
        <w:tab/>
      </w:r>
      <w:r>
        <w:rPr>
          <w:rFonts w:ascii="Arial" w:cs="Arial" w:eastAsia="Arial" w:hAnsi="Arial"/>
          <w:sz w:val="17"/>
          <w:szCs w:val="17"/>
          <w:color w:val="auto"/>
        </w:rPr>
        <w:t>ASU estimates credit losses based on</w:t>
      </w:r>
    </w:p>
    <w:p>
      <w:pPr>
        <w:ind w:left="20"/>
        <w:spacing w:after="0" w:line="203" w:lineRule="auto"/>
        <w:rPr>
          <w:sz w:val="20"/>
          <w:szCs w:val="20"/>
          <w:color w:val="auto"/>
        </w:rPr>
      </w:pPr>
      <w:r>
        <w:rPr>
          <w:rFonts w:ascii="Arial" w:cs="Arial" w:eastAsia="Arial" w:hAnsi="Arial"/>
          <w:sz w:val="18"/>
          <w:szCs w:val="18"/>
          <w:color w:val="auto"/>
        </w:rPr>
        <w:t>Instruments-Credit Losses  expected losses and provides for a</w:t>
      </w:r>
    </w:p>
    <w:p>
      <w:pPr>
        <w:jc w:val="right"/>
        <w:spacing w:after="0" w:line="204" w:lineRule="auto"/>
        <w:rPr>
          <w:sz w:val="20"/>
          <w:szCs w:val="20"/>
          <w:color w:val="auto"/>
        </w:rPr>
      </w:pPr>
      <w:r>
        <w:rPr>
          <w:rFonts w:ascii="Arial" w:cs="Arial" w:eastAsia="Arial" w:hAnsi="Arial"/>
          <w:sz w:val="18"/>
          <w:szCs w:val="18"/>
          <w:color w:val="auto"/>
        </w:rPr>
        <w:t>simplified accounting model for purchased</w:t>
      </w:r>
    </w:p>
    <w:p>
      <w:pPr>
        <w:ind w:left="2260"/>
        <w:spacing w:after="0" w:line="203" w:lineRule="auto"/>
        <w:rPr>
          <w:sz w:val="20"/>
          <w:szCs w:val="20"/>
          <w:color w:val="auto"/>
        </w:rPr>
      </w:pPr>
      <w:r>
        <w:rPr>
          <w:rFonts w:ascii="Arial" w:cs="Arial" w:eastAsia="Arial" w:hAnsi="Arial"/>
          <w:sz w:val="18"/>
          <w:szCs w:val="18"/>
          <w:color w:val="auto"/>
        </w:rPr>
        <w:t>financial assets with credit deterioration.</w:t>
      </w:r>
    </w:p>
    <w:p>
      <w:pPr>
        <w:ind w:left="2260"/>
        <w:spacing w:after="0" w:line="204" w:lineRule="auto"/>
        <w:rPr>
          <w:sz w:val="20"/>
          <w:szCs w:val="20"/>
          <w:color w:val="auto"/>
        </w:rPr>
      </w:pPr>
      <w:r>
        <w:rPr>
          <w:rFonts w:ascii="Arial" w:cs="Arial" w:eastAsia="Arial" w:hAnsi="Arial"/>
          <w:sz w:val="18"/>
          <w:szCs w:val="18"/>
          <w:color w:val="auto"/>
        </w:rPr>
        <w:t>The standard requires a modified</w:t>
      </w:r>
    </w:p>
    <w:p>
      <w:pPr>
        <w:ind w:left="2260"/>
        <w:spacing w:after="0" w:line="203" w:lineRule="auto"/>
        <w:rPr>
          <w:sz w:val="20"/>
          <w:szCs w:val="20"/>
          <w:color w:val="auto"/>
        </w:rPr>
      </w:pPr>
      <w:r>
        <w:rPr>
          <w:rFonts w:ascii="Arial" w:cs="Arial" w:eastAsia="Arial" w:hAnsi="Arial"/>
          <w:sz w:val="18"/>
          <w:szCs w:val="18"/>
          <w:color w:val="auto"/>
        </w:rPr>
        <w:t>retrospective basis adoption through a</w:t>
      </w:r>
    </w:p>
    <w:p>
      <w:pPr>
        <w:ind w:left="2260"/>
        <w:spacing w:after="0" w:line="204" w:lineRule="auto"/>
        <w:rPr>
          <w:sz w:val="20"/>
          <w:szCs w:val="20"/>
          <w:color w:val="auto"/>
        </w:rPr>
      </w:pPr>
      <w:r>
        <w:rPr>
          <w:rFonts w:ascii="Arial" w:cs="Arial" w:eastAsia="Arial" w:hAnsi="Arial"/>
          <w:sz w:val="18"/>
          <w:szCs w:val="18"/>
          <w:color w:val="auto"/>
        </w:rPr>
        <w:t>cumulative-effect adjustment to retained</w:t>
      </w:r>
    </w:p>
    <w:p>
      <w:pPr>
        <w:ind w:left="2260"/>
        <w:spacing w:after="0" w:line="203" w:lineRule="auto"/>
        <w:rPr>
          <w:sz w:val="20"/>
          <w:szCs w:val="20"/>
          <w:color w:val="auto"/>
        </w:rPr>
      </w:pPr>
      <w:r>
        <w:rPr>
          <w:rFonts w:ascii="Arial" w:cs="Arial" w:eastAsia="Arial" w:hAnsi="Arial"/>
          <w:sz w:val="18"/>
          <w:szCs w:val="18"/>
          <w:color w:val="auto"/>
        </w:rPr>
        <w:t>earnings as of the beginning of the period</w:t>
      </w:r>
    </w:p>
    <w:p>
      <w:pPr>
        <w:ind w:left="2260"/>
        <w:spacing w:after="0"/>
        <w:rPr>
          <w:sz w:val="20"/>
          <w:szCs w:val="20"/>
          <w:color w:val="auto"/>
        </w:rPr>
      </w:pPr>
      <w:r>
        <w:rPr>
          <w:rFonts w:ascii="Arial" w:cs="Arial" w:eastAsia="Arial" w:hAnsi="Arial"/>
          <w:sz w:val="18"/>
          <w:szCs w:val="18"/>
          <w:color w:val="auto"/>
        </w:rPr>
        <w:t>of adoption.</w:t>
      </w:r>
    </w:p>
    <w:p>
      <w:pPr>
        <w:spacing w:after="0" w:line="20" w:lineRule="exact"/>
        <w:rPr>
          <w:sz w:val="20"/>
          <w:szCs w:val="20"/>
          <w:color w:val="auto"/>
        </w:rPr>
      </w:pPr>
      <w:r>
        <w:rPr>
          <w:sz w:val="20"/>
          <w:szCs w:val="20"/>
          <w:color w:val="auto"/>
        </w:rPr>
        <w:br w:type="column"/>
      </w:r>
    </w:p>
    <w:p>
      <w:pPr>
        <w:spacing w:after="0" w:line="214" w:lineRule="auto"/>
        <w:rPr>
          <w:sz w:val="20"/>
          <w:szCs w:val="20"/>
          <w:color w:val="auto"/>
        </w:rPr>
      </w:pPr>
      <w:r>
        <w:rPr>
          <w:rFonts w:ascii="Arial" w:cs="Arial" w:eastAsia="Arial" w:hAnsi="Arial"/>
          <w:sz w:val="18"/>
          <w:szCs w:val="18"/>
          <w:color w:val="auto"/>
        </w:rPr>
        <w:t>We adopted this new standard as of April 1, 2020, using the modified retrospective method recognized as of the date of initial application.</w:t>
      </w:r>
    </w:p>
    <w:p>
      <w:pPr>
        <w:spacing w:after="0" w:line="20" w:lineRule="exact"/>
        <w:rPr>
          <w:sz w:val="20"/>
          <w:szCs w:val="20"/>
          <w:color w:val="auto"/>
        </w:rPr>
      </w:pPr>
      <w:r>
        <w:rPr>
          <w:sz w:val="20"/>
          <w:szCs w:val="20"/>
          <w:color w:val="auto"/>
        </w:rPr>
        <w:br w:type="column"/>
      </w:r>
    </w:p>
    <w:p>
      <w:pPr>
        <w:ind w:right="380"/>
        <w:spacing w:after="0" w:line="227" w:lineRule="auto"/>
        <w:rPr>
          <w:sz w:val="20"/>
          <w:szCs w:val="20"/>
          <w:color w:val="auto"/>
        </w:rPr>
      </w:pPr>
      <w:r>
        <w:rPr>
          <w:rFonts w:ascii="Arial" w:cs="Arial" w:eastAsia="Arial" w:hAnsi="Arial"/>
          <w:sz w:val="17"/>
          <w:szCs w:val="17"/>
          <w:color w:val="auto"/>
        </w:rPr>
        <w:t>The adoption of this new standard resulted in an $84 thousand cumulative effect on our unaudited consolidated financial statements related to an adjustment to our allowance for doubtful accounts.</w:t>
      </w:r>
    </w:p>
    <w:p>
      <w:pPr>
        <w:spacing w:after="0" w:line="178" w:lineRule="exact"/>
        <w:rPr>
          <w:sz w:val="20"/>
          <w:szCs w:val="20"/>
          <w:color w:val="auto"/>
        </w:rPr>
      </w:pPr>
    </w:p>
    <w:p>
      <w:pPr>
        <w:ind w:right="100"/>
        <w:spacing w:after="0" w:line="225" w:lineRule="auto"/>
        <w:rPr>
          <w:sz w:val="20"/>
          <w:szCs w:val="20"/>
          <w:color w:val="auto"/>
        </w:rPr>
      </w:pPr>
      <w:r>
        <w:rPr>
          <w:rFonts w:ascii="Arial" w:cs="Arial" w:eastAsia="Arial" w:hAnsi="Arial"/>
          <w:sz w:val="17"/>
          <w:szCs w:val="17"/>
          <w:color w:val="auto"/>
        </w:rPr>
        <w:t>Under the new standard, we assess credit losses on accounts receivable by taking into consideration past collection experience, credit quality of the customer, age of the receivable balance, current economic conditions, and forecasts that affect the collectability of the reported amount.</w:t>
      </w:r>
    </w:p>
    <w:p>
      <w:pPr>
        <w:spacing w:after="0" w:line="200" w:lineRule="exact"/>
        <w:rPr>
          <w:sz w:val="20"/>
          <w:szCs w:val="20"/>
          <w:color w:val="auto"/>
        </w:rPr>
      </w:pPr>
    </w:p>
    <w:p>
      <w:pPr>
        <w:sectPr>
          <w:pgSz w:w="11900" w:h="16838" w:orient="portrait"/>
          <w:cols w:equalWidth="0" w:num="3">
            <w:col w:w="5620" w:space="100"/>
            <w:col w:w="2260" w:space="120"/>
            <w:col w:w="3120"/>
          </w:cols>
          <w:pgMar w:left="320" w:top="27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7"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00B2A9"/>
              </w:rPr>
              <w:t>Recently Issued Accounting Standards Not Yet Adopted</w:t>
            </w:r>
          </w:p>
        </w:tc>
        <w:tc>
          <w:tcPr>
            <w:tcW w:w="2220" w:type="dxa"/>
            <w:vAlign w:val="bottom"/>
          </w:tcPr>
          <w:p>
            <w:pPr>
              <w:spacing w:after="0"/>
              <w:rPr>
                <w:sz w:val="21"/>
                <w:szCs w:val="21"/>
                <w:color w:val="auto"/>
              </w:rPr>
            </w:pPr>
          </w:p>
        </w:tc>
        <w:tc>
          <w:tcPr>
            <w:tcW w:w="3320" w:type="dxa"/>
            <w:vAlign w:val="bottom"/>
          </w:tcPr>
          <w:p>
            <w:pPr>
              <w:spacing w:after="0"/>
              <w:rPr>
                <w:sz w:val="21"/>
                <w:szCs w:val="21"/>
                <w:color w:val="auto"/>
              </w:rPr>
            </w:pPr>
          </w:p>
        </w:tc>
      </w:tr>
      <w:tr>
        <w:trPr>
          <w:trHeight w:val="596"/>
        </w:trPr>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Standard</w:t>
            </w:r>
          </w:p>
        </w:tc>
        <w:tc>
          <w:tcPr>
            <w:tcW w:w="3600" w:type="dxa"/>
            <w:vAlign w:val="bottom"/>
          </w:tcPr>
          <w:p>
            <w:pPr>
              <w:ind w:left="1380"/>
              <w:spacing w:after="0"/>
              <w:rPr>
                <w:sz w:val="20"/>
                <w:szCs w:val="20"/>
                <w:color w:val="auto"/>
              </w:rPr>
            </w:pPr>
            <w:r>
              <w:rPr>
                <w:rFonts w:ascii="Arial" w:cs="Arial" w:eastAsia="Arial" w:hAnsi="Arial"/>
                <w:sz w:val="18"/>
                <w:szCs w:val="18"/>
                <w:b w:val="1"/>
                <w:bCs w:val="1"/>
                <w:color w:val="auto"/>
              </w:rPr>
              <w:t>Description</w:t>
            </w:r>
          </w:p>
        </w:tc>
        <w:tc>
          <w:tcPr>
            <w:tcW w:w="2220" w:type="dxa"/>
            <w:vAlign w:val="bottom"/>
          </w:tcPr>
          <w:p>
            <w:pPr>
              <w:ind w:left="600"/>
              <w:spacing w:after="0"/>
              <w:rPr>
                <w:sz w:val="20"/>
                <w:szCs w:val="20"/>
                <w:color w:val="auto"/>
              </w:rPr>
            </w:pPr>
            <w:r>
              <w:rPr>
                <w:rFonts w:ascii="Arial" w:cs="Arial" w:eastAsia="Arial" w:hAnsi="Arial"/>
                <w:sz w:val="18"/>
                <w:szCs w:val="18"/>
                <w:b w:val="1"/>
                <w:bCs w:val="1"/>
                <w:color w:val="auto"/>
              </w:rPr>
              <w:t>Effective Date</w:t>
            </w:r>
          </w:p>
        </w:tc>
        <w:tc>
          <w:tcPr>
            <w:tcW w:w="3320" w:type="dxa"/>
            <w:vAlign w:val="bottom"/>
          </w:tcPr>
          <w:p>
            <w:pPr>
              <w:ind w:left="180"/>
              <w:spacing w:after="0"/>
              <w:rPr>
                <w:sz w:val="20"/>
                <w:szCs w:val="20"/>
                <w:color w:val="auto"/>
              </w:rPr>
            </w:pPr>
            <w:r>
              <w:rPr>
                <w:rFonts w:ascii="Arial" w:cs="Arial" w:eastAsia="Arial" w:hAnsi="Arial"/>
                <w:sz w:val="18"/>
                <w:szCs w:val="18"/>
                <w:b w:val="1"/>
                <w:bCs w:val="1"/>
                <w:color w:val="auto"/>
              </w:rPr>
              <w:t>Effect on the Consolidated Financial</w:t>
            </w:r>
          </w:p>
        </w:tc>
      </w:tr>
      <w:tr>
        <w:trPr>
          <w:trHeight w:val="176"/>
        </w:trPr>
        <w:tc>
          <w:tcPr>
            <w:tcW w:w="2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320" w:type="dxa"/>
            <w:vAlign w:val="bottom"/>
          </w:tcPr>
          <w:p>
            <w:pPr>
              <w:ind w:left="360"/>
              <w:spacing w:after="0" w:line="176" w:lineRule="exact"/>
              <w:rPr>
                <w:sz w:val="20"/>
                <w:szCs w:val="20"/>
                <w:color w:val="auto"/>
              </w:rPr>
            </w:pPr>
            <w:r>
              <w:rPr>
                <w:rFonts w:ascii="Arial" w:cs="Arial" w:eastAsia="Arial" w:hAnsi="Arial"/>
                <w:sz w:val="18"/>
                <w:szCs w:val="18"/>
                <w:b w:val="1"/>
                <w:bCs w:val="1"/>
                <w:color w:val="auto"/>
              </w:rPr>
              <w:t>Statements (or Other Significant</w:t>
            </w:r>
          </w:p>
        </w:tc>
      </w:tr>
      <w:tr>
        <w:trPr>
          <w:trHeight w:val="229"/>
        </w:trPr>
        <w:tc>
          <w:tcPr>
            <w:tcW w:w="21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Matters)</w:t>
            </w:r>
          </w:p>
        </w:tc>
      </w:tr>
      <w:tr>
        <w:trPr>
          <w:trHeight w:val="169"/>
        </w:trPr>
        <w:tc>
          <w:tcPr>
            <w:tcW w:w="2100" w:type="dxa"/>
            <w:vAlign w:val="bottom"/>
          </w:tcPr>
          <w:p>
            <w:pPr>
              <w:ind w:left="20"/>
              <w:spacing w:after="0" w:line="169" w:lineRule="exact"/>
              <w:rPr>
                <w:sz w:val="20"/>
                <w:szCs w:val="20"/>
                <w:color w:val="auto"/>
              </w:rPr>
            </w:pPr>
            <w:r>
              <w:rPr>
                <w:rFonts w:ascii="Arial" w:cs="Arial" w:eastAsia="Arial" w:hAnsi="Arial"/>
                <w:sz w:val="18"/>
                <w:szCs w:val="18"/>
                <w:color w:val="auto"/>
              </w:rPr>
              <w:t>ASU No. 2019-12 (Topic</w:t>
            </w:r>
          </w:p>
        </w:tc>
        <w:tc>
          <w:tcPr>
            <w:tcW w:w="3600" w:type="dxa"/>
            <w:vAlign w:val="bottom"/>
          </w:tcPr>
          <w:p>
            <w:pPr>
              <w:ind w:left="160"/>
              <w:spacing w:after="0" w:line="169" w:lineRule="exact"/>
              <w:rPr>
                <w:sz w:val="20"/>
                <w:szCs w:val="20"/>
                <w:color w:val="auto"/>
              </w:rPr>
            </w:pPr>
            <w:r>
              <w:rPr>
                <w:rFonts w:ascii="Arial" w:cs="Arial" w:eastAsia="Arial" w:hAnsi="Arial"/>
                <w:sz w:val="18"/>
                <w:szCs w:val="18"/>
                <w:color w:val="auto"/>
              </w:rPr>
              <w:t>In December 2019, the Financial</w:t>
            </w:r>
          </w:p>
        </w:tc>
        <w:tc>
          <w:tcPr>
            <w:tcW w:w="5540" w:type="dxa"/>
            <w:vAlign w:val="bottom"/>
            <w:gridSpan w:val="2"/>
          </w:tcPr>
          <w:p>
            <w:pPr>
              <w:ind w:left="20"/>
              <w:spacing w:after="0" w:line="169" w:lineRule="exact"/>
              <w:rPr>
                <w:sz w:val="20"/>
                <w:szCs w:val="20"/>
                <w:color w:val="auto"/>
              </w:rPr>
            </w:pPr>
            <w:r>
              <w:rPr>
                <w:rFonts w:ascii="Arial" w:cs="Arial" w:eastAsia="Arial" w:hAnsi="Arial"/>
                <w:sz w:val="18"/>
                <w:szCs w:val="18"/>
                <w:color w:val="auto"/>
              </w:rPr>
              <w:t>The standard will be effective We are currently evaluating the impact</w:t>
            </w:r>
          </w:p>
        </w:tc>
      </w:tr>
      <w:tr>
        <w:trPr>
          <w:trHeight w:val="176"/>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740), Income Taxes</w:t>
            </w:r>
          </w:p>
        </w:tc>
        <w:tc>
          <w:tcPr>
            <w:tcW w:w="3600" w:type="dxa"/>
            <w:vAlign w:val="bottom"/>
          </w:tcPr>
          <w:p>
            <w:pPr>
              <w:ind w:left="160"/>
              <w:spacing w:after="0" w:line="176" w:lineRule="exact"/>
              <w:rPr>
                <w:sz w:val="20"/>
                <w:szCs w:val="20"/>
                <w:color w:val="auto"/>
              </w:rPr>
            </w:pPr>
            <w:r>
              <w:rPr>
                <w:rFonts w:ascii="Arial" w:cs="Arial" w:eastAsia="Arial" w:hAnsi="Arial"/>
                <w:sz w:val="18"/>
                <w:szCs w:val="18"/>
                <w:color w:val="auto"/>
              </w:rPr>
              <w:t>Accounting Standards Board ("FASB")</w:t>
            </w:r>
          </w:p>
        </w:tc>
        <w:tc>
          <w:tcPr>
            <w:tcW w:w="2220" w:type="dxa"/>
            <w:vAlign w:val="bottom"/>
          </w:tcPr>
          <w:p>
            <w:pPr>
              <w:ind w:left="20"/>
              <w:spacing w:after="0" w:line="176" w:lineRule="exact"/>
              <w:rPr>
                <w:sz w:val="20"/>
                <w:szCs w:val="20"/>
                <w:color w:val="auto"/>
              </w:rPr>
            </w:pPr>
            <w:r>
              <w:rPr>
                <w:rFonts w:ascii="Arial" w:cs="Arial" w:eastAsia="Arial" w:hAnsi="Arial"/>
                <w:sz w:val="18"/>
                <w:szCs w:val="18"/>
                <w:color w:val="auto"/>
              </w:rPr>
              <w:t>for us beginning April 1,</w:t>
            </w:r>
          </w:p>
        </w:tc>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rPr>
              <w:t>of this standard in our consolidated</w:t>
            </w:r>
          </w:p>
        </w:tc>
      </w:tr>
      <w:tr>
        <w:trPr>
          <w:trHeight w:val="175"/>
        </w:trPr>
        <w:tc>
          <w:tcPr>
            <w:tcW w:w="2100" w:type="dxa"/>
            <w:vAlign w:val="bottom"/>
          </w:tcPr>
          <w:p>
            <w:pPr>
              <w:spacing w:after="0"/>
              <w:rPr>
                <w:sz w:val="15"/>
                <w:szCs w:val="15"/>
                <w:color w:val="auto"/>
              </w:rPr>
            </w:pPr>
          </w:p>
        </w:tc>
        <w:tc>
          <w:tcPr>
            <w:tcW w:w="3600" w:type="dxa"/>
            <w:vAlign w:val="bottom"/>
          </w:tcPr>
          <w:p>
            <w:pPr>
              <w:ind w:left="160"/>
              <w:spacing w:after="0" w:line="176" w:lineRule="exact"/>
              <w:rPr>
                <w:sz w:val="20"/>
                <w:szCs w:val="20"/>
                <w:color w:val="auto"/>
              </w:rPr>
            </w:pPr>
            <w:r>
              <w:rPr>
                <w:rFonts w:ascii="Arial" w:cs="Arial" w:eastAsia="Arial" w:hAnsi="Arial"/>
                <w:sz w:val="18"/>
                <w:szCs w:val="18"/>
                <w:color w:val="auto"/>
              </w:rPr>
              <w:t>issued a new standard to simplify the</w:t>
            </w:r>
          </w:p>
        </w:tc>
        <w:tc>
          <w:tcPr>
            <w:tcW w:w="2220" w:type="dxa"/>
            <w:vAlign w:val="bottom"/>
          </w:tcPr>
          <w:p>
            <w:pPr>
              <w:ind w:left="20"/>
              <w:spacing w:after="0" w:line="176" w:lineRule="exact"/>
              <w:rPr>
                <w:sz w:val="20"/>
                <w:szCs w:val="20"/>
                <w:color w:val="auto"/>
              </w:rPr>
            </w:pPr>
            <w:r>
              <w:rPr>
                <w:rFonts w:ascii="Arial" w:cs="Arial" w:eastAsia="Arial" w:hAnsi="Arial"/>
                <w:sz w:val="18"/>
                <w:szCs w:val="18"/>
                <w:color w:val="auto"/>
              </w:rPr>
              <w:t>2021, with early adoption</w:t>
            </w:r>
          </w:p>
        </w:tc>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rPr>
              <w:t>financial statements, including</w:t>
            </w:r>
          </w:p>
        </w:tc>
      </w:tr>
      <w:tr>
        <w:trPr>
          <w:trHeight w:val="176"/>
        </w:trPr>
        <w:tc>
          <w:tcPr>
            <w:tcW w:w="2100" w:type="dxa"/>
            <w:vAlign w:val="bottom"/>
          </w:tcPr>
          <w:p>
            <w:pPr>
              <w:spacing w:after="0"/>
              <w:rPr>
                <w:sz w:val="15"/>
                <w:szCs w:val="15"/>
                <w:color w:val="auto"/>
              </w:rPr>
            </w:pPr>
          </w:p>
        </w:tc>
        <w:tc>
          <w:tcPr>
            <w:tcW w:w="582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accounting for income taxes. The guidance permitted.</w:t>
            </w:r>
          </w:p>
        </w:tc>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rPr>
              <w:t>accounting policies, processes, and</w:t>
            </w:r>
          </w:p>
        </w:tc>
      </w:tr>
      <w:tr>
        <w:trPr>
          <w:trHeight w:val="188"/>
        </w:trPr>
        <w:tc>
          <w:tcPr>
            <w:tcW w:w="2100" w:type="dxa"/>
            <w:vAlign w:val="bottom"/>
          </w:tcPr>
          <w:p>
            <w:pPr>
              <w:spacing w:after="0"/>
              <w:rPr>
                <w:sz w:val="16"/>
                <w:szCs w:val="16"/>
                <w:color w:val="auto"/>
              </w:rPr>
            </w:pPr>
          </w:p>
        </w:tc>
        <w:tc>
          <w:tcPr>
            <w:tcW w:w="3600" w:type="dxa"/>
            <w:vAlign w:val="bottom"/>
          </w:tcPr>
          <w:p>
            <w:pPr>
              <w:ind w:left="160"/>
              <w:spacing w:after="0" w:line="189" w:lineRule="exact"/>
              <w:rPr>
                <w:sz w:val="20"/>
                <w:szCs w:val="20"/>
                <w:color w:val="auto"/>
              </w:rPr>
            </w:pPr>
            <w:r>
              <w:rPr>
                <w:rFonts w:ascii="Arial" w:cs="Arial" w:eastAsia="Arial" w:hAnsi="Arial"/>
                <w:sz w:val="18"/>
                <w:szCs w:val="18"/>
                <w:color w:val="auto"/>
              </w:rPr>
              <w:t>eliminates certain exceptions related to the</w:t>
            </w:r>
          </w:p>
        </w:tc>
        <w:tc>
          <w:tcPr>
            <w:tcW w:w="2220" w:type="dxa"/>
            <w:vAlign w:val="bottom"/>
          </w:tcPr>
          <w:p>
            <w:pPr>
              <w:spacing w:after="0"/>
              <w:rPr>
                <w:sz w:val="16"/>
                <w:szCs w:val="16"/>
                <w:color w:val="auto"/>
              </w:rPr>
            </w:pPr>
          </w:p>
        </w:tc>
        <w:tc>
          <w:tcPr>
            <w:tcW w:w="3320" w:type="dxa"/>
            <w:vAlign w:val="bottom"/>
          </w:tcPr>
          <w:p>
            <w:pPr>
              <w:ind w:left="180"/>
              <w:spacing w:after="0" w:line="189" w:lineRule="exact"/>
              <w:rPr>
                <w:sz w:val="20"/>
                <w:szCs w:val="20"/>
                <w:color w:val="auto"/>
              </w:rPr>
            </w:pPr>
            <w:r>
              <w:rPr>
                <w:rFonts w:ascii="Arial" w:cs="Arial" w:eastAsia="Arial" w:hAnsi="Arial"/>
                <w:sz w:val="18"/>
                <w:szCs w:val="18"/>
                <w:color w:val="auto"/>
              </w:rPr>
              <w:t>systems.</w:t>
            </w:r>
          </w:p>
        </w:tc>
      </w:tr>
    </w:tbl>
    <w:p>
      <w:pPr>
        <w:ind w:left="2260"/>
        <w:spacing w:after="0" w:line="203" w:lineRule="auto"/>
        <w:rPr>
          <w:sz w:val="20"/>
          <w:szCs w:val="20"/>
          <w:color w:val="auto"/>
        </w:rPr>
      </w:pPr>
      <w:r>
        <w:rPr>
          <w:rFonts w:ascii="Arial" w:cs="Arial" w:eastAsia="Arial" w:hAnsi="Arial"/>
          <w:sz w:val="18"/>
          <w:szCs w:val="18"/>
          <w:color w:val="auto"/>
        </w:rPr>
        <w:t>approach for intraperiod tax allocation, the</w:t>
      </w:r>
    </w:p>
    <w:p>
      <w:pPr>
        <w:ind w:left="2260"/>
        <w:spacing w:after="0" w:line="203" w:lineRule="auto"/>
        <w:rPr>
          <w:sz w:val="20"/>
          <w:szCs w:val="20"/>
          <w:color w:val="auto"/>
        </w:rPr>
      </w:pPr>
      <w:r>
        <w:rPr>
          <w:rFonts w:ascii="Arial" w:cs="Arial" w:eastAsia="Arial" w:hAnsi="Arial"/>
          <w:sz w:val="18"/>
          <w:szCs w:val="18"/>
          <w:color w:val="auto"/>
        </w:rPr>
        <w:t>methodology for calculating income taxes</w:t>
      </w:r>
    </w:p>
    <w:p>
      <w:pPr>
        <w:ind w:left="2260"/>
        <w:spacing w:after="0" w:line="204" w:lineRule="auto"/>
        <w:rPr>
          <w:sz w:val="20"/>
          <w:szCs w:val="20"/>
          <w:color w:val="auto"/>
        </w:rPr>
      </w:pPr>
      <w:r>
        <w:rPr>
          <w:rFonts w:ascii="Arial" w:cs="Arial" w:eastAsia="Arial" w:hAnsi="Arial"/>
          <w:sz w:val="18"/>
          <w:szCs w:val="18"/>
          <w:color w:val="auto"/>
        </w:rPr>
        <w:t>in an interim period, and the recognition of</w:t>
      </w:r>
    </w:p>
    <w:p>
      <w:pPr>
        <w:ind w:left="2260"/>
        <w:spacing w:after="0" w:line="203" w:lineRule="auto"/>
        <w:rPr>
          <w:sz w:val="20"/>
          <w:szCs w:val="20"/>
          <w:color w:val="auto"/>
        </w:rPr>
      </w:pPr>
      <w:r>
        <w:rPr>
          <w:rFonts w:ascii="Arial" w:cs="Arial" w:eastAsia="Arial" w:hAnsi="Arial"/>
          <w:sz w:val="18"/>
          <w:szCs w:val="18"/>
          <w:color w:val="auto"/>
        </w:rPr>
        <w:t>deferred tax liabilities for outside basis</w:t>
      </w:r>
    </w:p>
    <w:p>
      <w:pPr>
        <w:ind w:left="2260"/>
        <w:spacing w:after="0" w:line="204" w:lineRule="auto"/>
        <w:rPr>
          <w:sz w:val="20"/>
          <w:szCs w:val="20"/>
          <w:color w:val="auto"/>
        </w:rPr>
      </w:pPr>
      <w:r>
        <w:rPr>
          <w:rFonts w:ascii="Arial" w:cs="Arial" w:eastAsia="Arial" w:hAnsi="Arial"/>
          <w:sz w:val="18"/>
          <w:szCs w:val="18"/>
          <w:color w:val="auto"/>
        </w:rPr>
        <w:t>differences related to changes in</w:t>
      </w:r>
    </w:p>
    <w:p>
      <w:pPr>
        <w:ind w:left="2260"/>
        <w:spacing w:after="0" w:line="203" w:lineRule="auto"/>
        <w:rPr>
          <w:sz w:val="20"/>
          <w:szCs w:val="20"/>
          <w:color w:val="auto"/>
        </w:rPr>
      </w:pPr>
      <w:r>
        <w:rPr>
          <w:rFonts w:ascii="Arial" w:cs="Arial" w:eastAsia="Arial" w:hAnsi="Arial"/>
          <w:sz w:val="18"/>
          <w:szCs w:val="18"/>
          <w:color w:val="auto"/>
        </w:rPr>
        <w:t>ownership of equity method investments</w:t>
      </w:r>
    </w:p>
    <w:p>
      <w:pPr>
        <w:ind w:left="2260"/>
        <w:spacing w:after="0" w:line="204" w:lineRule="auto"/>
        <w:rPr>
          <w:sz w:val="20"/>
          <w:szCs w:val="20"/>
          <w:color w:val="auto"/>
        </w:rPr>
      </w:pPr>
      <w:r>
        <w:rPr>
          <w:rFonts w:ascii="Arial" w:cs="Arial" w:eastAsia="Arial" w:hAnsi="Arial"/>
          <w:sz w:val="18"/>
          <w:szCs w:val="18"/>
          <w:color w:val="auto"/>
        </w:rPr>
        <w:t>and foreign subsidiaries. The guidance</w:t>
      </w:r>
    </w:p>
    <w:p>
      <w:pPr>
        <w:ind w:left="2260"/>
        <w:spacing w:after="0" w:line="203" w:lineRule="auto"/>
        <w:rPr>
          <w:sz w:val="20"/>
          <w:szCs w:val="20"/>
          <w:color w:val="auto"/>
        </w:rPr>
      </w:pPr>
      <w:r>
        <w:rPr>
          <w:rFonts w:ascii="Arial" w:cs="Arial" w:eastAsia="Arial" w:hAnsi="Arial"/>
          <w:sz w:val="18"/>
          <w:szCs w:val="18"/>
          <w:color w:val="auto"/>
        </w:rPr>
        <w:t>also simplifies aspects of accounting for</w:t>
      </w:r>
    </w:p>
    <w:p>
      <w:pPr>
        <w:ind w:left="2260"/>
        <w:spacing w:after="0" w:line="204" w:lineRule="auto"/>
        <w:rPr>
          <w:sz w:val="20"/>
          <w:szCs w:val="20"/>
          <w:color w:val="auto"/>
        </w:rPr>
      </w:pPr>
      <w:r>
        <w:rPr>
          <w:rFonts w:ascii="Arial" w:cs="Arial" w:eastAsia="Arial" w:hAnsi="Arial"/>
          <w:sz w:val="18"/>
          <w:szCs w:val="18"/>
          <w:color w:val="auto"/>
        </w:rPr>
        <w:t>franchise taxes and enacted changes in</w:t>
      </w:r>
    </w:p>
    <w:p>
      <w:pPr>
        <w:ind w:left="2260"/>
        <w:spacing w:after="0" w:line="203" w:lineRule="auto"/>
        <w:rPr>
          <w:sz w:val="20"/>
          <w:szCs w:val="20"/>
          <w:color w:val="auto"/>
        </w:rPr>
      </w:pPr>
      <w:r>
        <w:rPr>
          <w:rFonts w:ascii="Arial" w:cs="Arial" w:eastAsia="Arial" w:hAnsi="Arial"/>
          <w:sz w:val="18"/>
          <w:szCs w:val="18"/>
          <w:color w:val="auto"/>
        </w:rPr>
        <w:t>tax laws or rates, and clarifies the</w:t>
      </w:r>
    </w:p>
    <w:p>
      <w:pPr>
        <w:ind w:left="2260"/>
        <w:spacing w:after="0" w:line="204" w:lineRule="auto"/>
        <w:rPr>
          <w:sz w:val="20"/>
          <w:szCs w:val="20"/>
          <w:color w:val="auto"/>
        </w:rPr>
      </w:pPr>
      <w:r>
        <w:rPr>
          <w:rFonts w:ascii="Arial" w:cs="Arial" w:eastAsia="Arial" w:hAnsi="Arial"/>
          <w:sz w:val="18"/>
          <w:szCs w:val="18"/>
          <w:color w:val="auto"/>
        </w:rPr>
        <w:t>accounting for transactions that result in a</w:t>
      </w:r>
    </w:p>
    <w:p>
      <w:pPr>
        <w:ind w:left="2260"/>
        <w:spacing w:after="0"/>
        <w:rPr>
          <w:sz w:val="20"/>
          <w:szCs w:val="20"/>
          <w:color w:val="auto"/>
        </w:rPr>
      </w:pPr>
      <w:r>
        <w:rPr>
          <w:rFonts w:ascii="Arial" w:cs="Arial" w:eastAsia="Arial" w:hAnsi="Arial"/>
          <w:sz w:val="18"/>
          <w:szCs w:val="18"/>
          <w:color w:val="auto"/>
        </w:rPr>
        <w:t>step-up in the tax basis of goodwill.</w:t>
      </w: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Concentration of Credit Risk</w:t>
      </w:r>
    </w:p>
    <w:p>
      <w:pPr>
        <w:spacing w:after="0" w:line="104" w:lineRule="exact"/>
        <w:rPr>
          <w:sz w:val="20"/>
          <w:szCs w:val="20"/>
          <w:color w:val="auto"/>
        </w:rPr>
      </w:pPr>
    </w:p>
    <w:p>
      <w:pPr>
        <w:ind w:right="240" w:firstLine="445"/>
        <w:spacing w:after="0" w:line="292"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historically been minimal.</w:t>
      </w:r>
    </w:p>
    <w:p>
      <w:pPr>
        <w:spacing w:after="0" w:line="90" w:lineRule="exact"/>
        <w:rPr>
          <w:sz w:val="20"/>
          <w:szCs w:val="20"/>
          <w:color w:val="auto"/>
        </w:rPr>
      </w:pPr>
    </w:p>
    <w:p>
      <w:pPr>
        <w:ind w:right="240" w:firstLine="445"/>
        <w:spacing w:after="0" w:line="271" w:lineRule="auto"/>
        <w:rPr>
          <w:sz w:val="20"/>
          <w:szCs w:val="20"/>
          <w:color w:val="auto"/>
        </w:rPr>
      </w:pPr>
      <w:r>
        <w:rPr>
          <w:rFonts w:ascii="Arial" w:cs="Arial" w:eastAsia="Arial" w:hAnsi="Arial"/>
          <w:sz w:val="18"/>
          <w:szCs w:val="18"/>
          <w:color w:val="auto"/>
        </w:rPr>
        <w:t>Sales through our distribution agreement with Arrow Enterprise Computing Solutions, Inc. (“Arrow”) totaled 36% and 37% of total revenues for the nine months ended December 31, 2020 and 2019, respectively. Arrow accounted for approximately 33% and 31% of total accounts receivable as of December 31, 2020 and March 31, 2020, respectively.</w:t>
      </w:r>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Fair Value of Financial Instruments</w:t>
      </w:r>
    </w:p>
    <w:p>
      <w:pPr>
        <w:spacing w:after="0" w:line="90" w:lineRule="exact"/>
        <w:rPr>
          <w:sz w:val="20"/>
          <w:szCs w:val="20"/>
          <w:color w:val="auto"/>
        </w:rPr>
      </w:pPr>
    </w:p>
    <w:p>
      <w:pPr>
        <w:ind w:right="160" w:firstLine="445"/>
        <w:spacing w:after="0" w:line="271" w:lineRule="auto"/>
        <w:rPr>
          <w:sz w:val="20"/>
          <w:szCs w:val="20"/>
          <w:color w:val="auto"/>
        </w:rPr>
      </w:pPr>
      <w:r>
        <w:rPr>
          <w:rFonts w:ascii="Arial" w:cs="Arial" w:eastAsia="Arial" w:hAnsi="Arial"/>
          <w:sz w:val="18"/>
          <w:szCs w:val="18"/>
          <w:color w:val="auto"/>
        </w:rPr>
        <w:t>The carrying amounts of our cash and cash equivalents, accounts receivable, accounts payable and accrued expenses approximate their fair values due to the short-term maturity of these instruments. Our short-term investments balance consists of U.S. Treasury Bills with maturities of one year or less. We account for our short-term investments as held to maturity.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composition of our financial assets and liabilities measured at fair value on a recurring basis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March 31, 2020:</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080" w:type="dxa"/>
            <w:vAlign w:val="bottom"/>
          </w:tcPr>
          <w:p>
            <w:pPr>
              <w:jc w:val="right"/>
              <w:ind w:right="44"/>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6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Short-term investments</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10,999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10,999</w:t>
            </w:r>
          </w:p>
        </w:tc>
      </w:tr>
      <w:tr>
        <w:trPr>
          <w:trHeight w:val="850"/>
        </w:trPr>
        <w:tc>
          <w:tcPr>
            <w:tcW w:w="2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March 31, 2020</w:t>
            </w:r>
          </w:p>
        </w:tc>
        <w:tc>
          <w:tcPr>
            <w:tcW w:w="1080" w:type="dxa"/>
            <w:vAlign w:val="bottom"/>
          </w:tcPr>
          <w:p>
            <w:pPr>
              <w:jc w:val="right"/>
              <w:ind w:right="44"/>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6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Short-term investments</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44,484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44,484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00B2A9"/>
        </w:rPr>
      </w:pPr>
      <w:r>
        <w:rPr>
          <w:rFonts w:ascii="Arial" w:cs="Arial" w:eastAsia="Arial" w:hAnsi="Arial"/>
          <w:sz w:val="18"/>
          <w:szCs w:val="18"/>
          <w:b w:val="1"/>
          <w:bCs w:val="1"/>
          <w:color w:val="00B2A9"/>
        </w:rPr>
        <w:t>Revenue</w:t>
      </w:r>
    </w:p>
    <w:p>
      <w:pPr>
        <w:spacing w:after="0" w:line="173" w:lineRule="exact"/>
        <w:rPr>
          <w:sz w:val="20"/>
          <w:szCs w:val="20"/>
          <w:color w:val="auto"/>
        </w:rPr>
      </w:pPr>
    </w:p>
    <w:p>
      <w:pPr>
        <w:ind w:right="360" w:firstLine="445"/>
        <w:spacing w:after="0" w:line="264" w:lineRule="auto"/>
        <w:rPr>
          <w:sz w:val="20"/>
          <w:szCs w:val="20"/>
          <w:color w:val="auto"/>
        </w:rPr>
      </w:pPr>
      <w:r>
        <w:rPr>
          <w:rFonts w:ascii="Arial" w:cs="Arial" w:eastAsia="Arial" w:hAnsi="Arial"/>
          <w:sz w:val="18"/>
          <w:szCs w:val="18"/>
          <w:color w:val="auto"/>
        </w:rPr>
        <w:t>We derive revenues from two primary sources: software and products, and services. Software and products revenue includes our software and integrated appliances that combine our software with hardware. Services include customer support (software updates and technical support), consulting, assessment and design services, installation services, customer education and Commvault software-as-a-service, which is branded as Metallic.</w:t>
      </w:r>
    </w:p>
    <w:p>
      <w:pPr>
        <w:spacing w:after="0" w:line="11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We sell both perpetual and term-based licenses of our software. We refer to our term-based software licenses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licenses (both perpetual and subscription) are functional intellectual property that is distinct as the user can benefit from the software on its own. Software revenue for both perpetual and subscription licenses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new subscription period.</w:t>
      </w:r>
    </w:p>
    <w:p>
      <w:pPr>
        <w:spacing w:after="0" w:line="124" w:lineRule="exact"/>
        <w:rPr>
          <w:sz w:val="20"/>
          <w:szCs w:val="20"/>
          <w:color w:val="auto"/>
        </w:rPr>
      </w:pPr>
    </w:p>
    <w:p>
      <w:pPr>
        <w:jc w:val="both"/>
        <w:ind w:right="40" w:firstLine="445"/>
        <w:spacing w:after="0" w:line="258"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w:t>
      </w:r>
    </w:p>
    <w:p>
      <w:pPr>
        <w:spacing w:after="0" w:line="2" w:lineRule="exact"/>
        <w:rPr>
          <w:sz w:val="20"/>
          <w:szCs w:val="20"/>
          <w:color w:val="auto"/>
        </w:rPr>
      </w:pPr>
    </w:p>
    <w:p>
      <w:pPr>
        <w:ind w:right="280" w:firstLine="445"/>
        <w:spacing w:after="0" w:line="255"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Commvault sells its customer support contracts as a percentage of net software purchases the support is related to. Customer support revenue is recognized ratably over the term of the customer support agreement, which is typically one year.</w:t>
      </w:r>
    </w:p>
    <w:p>
      <w:pPr>
        <w:spacing w:after="0" w:line="205" w:lineRule="exact"/>
        <w:rPr>
          <w:sz w:val="20"/>
          <w:szCs w:val="20"/>
          <w:color w:val="auto"/>
        </w:rPr>
      </w:pPr>
    </w:p>
    <w:p>
      <w:pPr>
        <w:ind w:right="60" w:firstLine="445"/>
        <w:spacing w:after="0" w:line="264" w:lineRule="auto"/>
        <w:rPr>
          <w:sz w:val="20"/>
          <w:szCs w:val="20"/>
          <w:color w:val="auto"/>
        </w:rPr>
      </w:pPr>
      <w:r>
        <w:rPr>
          <w:rFonts w:ascii="Arial" w:cs="Arial" w:eastAsia="Arial" w:hAnsi="Arial"/>
          <w:sz w:val="18"/>
          <w:szCs w:val="18"/>
          <w:color w:val="auto"/>
        </w:rPr>
        <w:t>Our 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 In fiscal 2020 Commvault launched Metallic, which is a Commvault software-as-a-service offering. Revenue from Metallic is recognized ratably as services revenue.</w:t>
      </w:r>
    </w:p>
    <w:p>
      <w:pPr>
        <w:spacing w:after="0" w:line="196" w:lineRule="exact"/>
        <w:rPr>
          <w:sz w:val="20"/>
          <w:szCs w:val="20"/>
          <w:color w:val="auto"/>
        </w:rPr>
      </w:pPr>
    </w:p>
    <w:p>
      <w:pPr>
        <w:ind w:firstLine="445"/>
        <w:spacing w:after="0" w:line="260"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308" w:lineRule="exact"/>
        <w:rPr>
          <w:sz w:val="20"/>
          <w:szCs w:val="20"/>
          <w:color w:val="auto"/>
        </w:rPr>
      </w:pPr>
    </w:p>
    <w:p>
      <w:pPr>
        <w:ind w:left="260"/>
        <w:spacing w:after="0"/>
        <w:tabs>
          <w:tab w:leader="none" w:pos="2980" w:val="left"/>
          <w:tab w:leader="none" w:pos="6540" w:val="left"/>
          <w:tab w:leader="none" w:pos="87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4"/>
          <w:szCs w:val="14"/>
          <w:b w:val="1"/>
          <w:bCs w:val="1"/>
          <w:color w:val="auto"/>
        </w:rPr>
        <w:t>How Standalone Selling Price is</w:t>
      </w:r>
    </w:p>
    <w:p>
      <w:pPr>
        <w:ind w:left="3320"/>
        <w:spacing w:after="0"/>
        <w:tabs>
          <w:tab w:leader="none" w:pos="6700" w:val="left"/>
          <w:tab w:leader="none" w:pos="91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4"/>
          <w:szCs w:val="14"/>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220"/>
          </w:cols>
          <w:pgMar w:left="320" w:top="116" w:right="359" w:bottom="1440" w:gutter="0" w:footer="0" w:header="0"/>
        </w:sectPr>
      </w:pPr>
    </w:p>
    <w:p>
      <w:pPr>
        <w:spacing w:after="0" w:line="27" w:lineRule="exact"/>
        <w:rPr>
          <w:sz w:val="20"/>
          <w:szCs w:val="20"/>
          <w:color w:val="auto"/>
        </w:rPr>
      </w:pPr>
    </w:p>
    <w:p>
      <w:pPr>
        <w:ind w:left="160"/>
        <w:spacing w:after="0"/>
        <w:tabs>
          <w:tab w:leader="none" w:pos="212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ind w:left="2140"/>
        <w:spacing w:after="0"/>
        <w:rPr>
          <w:sz w:val="20"/>
          <w:szCs w:val="20"/>
          <w:color w:val="auto"/>
        </w:rPr>
      </w:pPr>
      <w:r>
        <w:rPr>
          <w:rFonts w:ascii="Arial" w:cs="Arial" w:eastAsia="Arial" w:hAnsi="Arial"/>
          <w:sz w:val="16"/>
          <w:szCs w:val="16"/>
          <w:color w:val="auto"/>
        </w:rPr>
        <w:t>(point in time)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11" w:lineRule="auto"/>
        <w:rPr>
          <w:sz w:val="20"/>
          <w:szCs w:val="20"/>
          <w:color w:val="auto"/>
        </w:rPr>
      </w:pPr>
      <w:r>
        <w:rPr>
          <w:rFonts w:ascii="Arial" w:cs="Arial" w:eastAsia="Arial" w:hAnsi="Arial"/>
          <w:sz w:val="16"/>
          <w:szCs w:val="16"/>
          <w:color w:val="auto"/>
        </w:rPr>
        <w:t>except for certain subscription</w:t>
      </w:r>
    </w:p>
    <w:p>
      <w:pPr>
        <w:spacing w:after="0" w:line="211" w:lineRule="auto"/>
        <w:rPr>
          <w:sz w:val="20"/>
          <w:szCs w:val="20"/>
          <w:color w:val="auto"/>
        </w:rPr>
      </w:pPr>
      <w:r>
        <w:rPr>
          <w:rFonts w:ascii="Arial" w:cs="Arial" w:eastAsia="Arial" w:hAnsi="Arial"/>
          <w:sz w:val="16"/>
          <w:szCs w:val="16"/>
          <w:color w:val="auto"/>
        </w:rPr>
        <w:t>licenses which are paid for over</w:t>
      </w:r>
    </w:p>
    <w:p>
      <w:pPr>
        <w:spacing w:after="0"/>
        <w:rPr>
          <w:sz w:val="20"/>
          <w:szCs w:val="20"/>
          <w:color w:val="auto"/>
        </w:rPr>
      </w:pPr>
      <w:r>
        <w:rPr>
          <w:rFonts w:ascii="Arial" w:cs="Arial" w:eastAsia="Arial" w:hAnsi="Arial"/>
          <w:sz w:val="16"/>
          <w:szCs w:val="16"/>
          <w:color w:val="auto"/>
        </w:rPr>
        <w:t>time</w:t>
      </w:r>
    </w:p>
    <w:p>
      <w:pPr>
        <w:spacing w:after="0" w:line="1" w:lineRule="exact"/>
        <w:rPr>
          <w:sz w:val="20"/>
          <w:szCs w:val="20"/>
          <w:color w:val="auto"/>
        </w:rPr>
      </w:pPr>
    </w:p>
    <w:p>
      <w:pPr>
        <w:sectPr>
          <w:pgSz w:w="11900" w:h="16838" w:orient="portrait"/>
          <w:cols w:equalWidth="0" w:num="2">
            <w:col w:w="5540" w:space="400"/>
            <w:col w:w="5280"/>
          </w:cols>
          <w:pgMar w:left="320" w:top="116" w:right="359" w:bottom="1440" w:gutter="0" w:footer="0" w:header="0"/>
          <w:type w:val="continuous"/>
        </w:sectPr>
      </w:pPr>
    </w:p>
    <w:tbl>
      <w:tblPr>
        <w:tblLayout w:type="fixed"/>
        <w:tblInd w:w="20" w:type="dxa"/>
        <w:tblCellMar>
          <w:top w:w="0" w:type="dxa"/>
          <w:left w:w="0" w:type="dxa"/>
          <w:bottom w:w="0" w:type="dxa"/>
          <w:right w:w="0" w:type="dxa"/>
        </w:tblCellMar>
      </w:tblPr>
      <w:tr>
        <w:trPr>
          <w:trHeight w:val="179"/>
        </w:trPr>
        <w:tc>
          <w:tcPr>
            <w:tcW w:w="208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rPr>
              <w:t>Appliances</w:t>
            </w:r>
          </w:p>
        </w:tc>
        <w:tc>
          <w:tcPr>
            <w:tcW w:w="3740" w:type="dxa"/>
            <w:vAlign w:val="bottom"/>
            <w:shd w:val="clear" w:color="auto" w:fill="CCEEFF"/>
          </w:tcPr>
          <w:p>
            <w:pPr>
              <w:ind w:left="40"/>
              <w:spacing w:after="0" w:line="179" w:lineRule="exact"/>
              <w:rPr>
                <w:sz w:val="20"/>
                <w:szCs w:val="20"/>
                <w:color w:val="auto"/>
              </w:rPr>
            </w:pPr>
            <w:r>
              <w:rPr>
                <w:rFonts w:ascii="Arial" w:cs="Arial" w:eastAsia="Arial" w:hAnsi="Arial"/>
                <w:sz w:val="16"/>
                <w:szCs w:val="16"/>
                <w:color w:val="auto"/>
              </w:rPr>
              <w:t>When control of the appliances passes to the</w:t>
            </w:r>
          </w:p>
        </w:tc>
        <w:tc>
          <w:tcPr>
            <w:tcW w:w="2500" w:type="dxa"/>
            <w:vAlign w:val="bottom"/>
            <w:shd w:val="clear" w:color="auto" w:fill="CCEEFF"/>
          </w:tcPr>
          <w:p>
            <w:pPr>
              <w:ind w:left="100"/>
              <w:spacing w:after="0" w:line="179" w:lineRule="exact"/>
              <w:rPr>
                <w:sz w:val="20"/>
                <w:szCs w:val="20"/>
                <w:color w:val="auto"/>
              </w:rPr>
            </w:pPr>
            <w:r>
              <w:rPr>
                <w:rFonts w:ascii="Arial" w:cs="Arial" w:eastAsia="Arial" w:hAnsi="Arial"/>
                <w:sz w:val="16"/>
                <w:szCs w:val="16"/>
                <w:color w:val="auto"/>
              </w:rPr>
              <w:t>Within 90 days of delivery</w:t>
            </w:r>
          </w:p>
        </w:tc>
        <w:tc>
          <w:tcPr>
            <w:tcW w:w="2880" w:type="dxa"/>
            <w:vAlign w:val="bottom"/>
            <w:shd w:val="clear" w:color="auto" w:fill="CCEEFF"/>
          </w:tcPr>
          <w:p>
            <w:pPr>
              <w:ind w:left="100"/>
              <w:spacing w:after="0" w:line="179" w:lineRule="exact"/>
              <w:rPr>
                <w:sz w:val="20"/>
                <w:szCs w:val="20"/>
                <w:color w:val="auto"/>
              </w:rPr>
            </w:pPr>
            <w:r>
              <w:rPr>
                <w:rFonts w:ascii="Arial" w:cs="Arial" w:eastAsia="Arial" w:hAnsi="Arial"/>
                <w:sz w:val="16"/>
                <w:szCs w:val="16"/>
                <w:color w:val="auto"/>
              </w:rPr>
              <w:t>Residual approach</w:t>
            </w:r>
          </w:p>
        </w:tc>
      </w:tr>
      <w:tr>
        <w:trPr>
          <w:trHeight w:val="216"/>
        </w:trPr>
        <w:tc>
          <w:tcPr>
            <w:tcW w:w="20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typically upon delivery</w:t>
            </w:r>
          </w:p>
        </w:tc>
        <w:tc>
          <w:tcPr>
            <w:tcW w:w="2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62"/>
        </w:trPr>
        <w:tc>
          <w:tcPr>
            <w:tcW w:w="20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Software Updates</w:t>
            </w:r>
          </w:p>
        </w:tc>
        <w:tc>
          <w:tcPr>
            <w:tcW w:w="374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rPr>
              <w:t>Ratably over the course of the support contract</w:t>
            </w:r>
          </w:p>
        </w:tc>
        <w:tc>
          <w:tcPr>
            <w:tcW w:w="25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Observable in renewal transactions</w:t>
            </w:r>
          </w:p>
        </w:tc>
      </w:tr>
      <w:tr>
        <w:trPr>
          <w:trHeight w:val="216"/>
        </w:trPr>
        <w:tc>
          <w:tcPr>
            <w:tcW w:w="2080" w:type="dxa"/>
            <w:vAlign w:val="bottom"/>
            <w:shd w:val="clear" w:color="auto" w:fill="CCEEFF"/>
          </w:tcPr>
          <w:p>
            <w:pPr>
              <w:spacing w:after="0"/>
              <w:rPr>
                <w:sz w:val="18"/>
                <w:szCs w:val="18"/>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time)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period</w:t>
            </w:r>
          </w:p>
        </w:tc>
        <w:tc>
          <w:tcPr>
            <w:tcW w:w="2880" w:type="dxa"/>
            <w:vAlign w:val="bottom"/>
            <w:shd w:val="clear" w:color="auto" w:fill="CCEEFF"/>
          </w:tcPr>
          <w:p>
            <w:pPr>
              <w:spacing w:after="0"/>
              <w:rPr>
                <w:sz w:val="18"/>
                <w:szCs w:val="18"/>
                <w:color w:val="auto"/>
              </w:rPr>
            </w:pPr>
          </w:p>
        </w:tc>
      </w:tr>
      <w:tr>
        <w:trPr>
          <w:trHeight w:val="162"/>
        </w:trPr>
        <w:tc>
          <w:tcPr>
            <w:tcW w:w="2080" w:type="dxa"/>
            <w:vAlign w:val="bottom"/>
          </w:tcPr>
          <w:p>
            <w:pPr>
              <w:ind w:left="140"/>
              <w:spacing w:after="0" w:line="162" w:lineRule="exact"/>
              <w:rPr>
                <w:sz w:val="20"/>
                <w:szCs w:val="20"/>
                <w:color w:val="auto"/>
              </w:rPr>
            </w:pPr>
            <w:r>
              <w:rPr>
                <w:rFonts w:ascii="Arial" w:cs="Arial" w:eastAsia="Arial" w:hAnsi="Arial"/>
                <w:sz w:val="16"/>
                <w:szCs w:val="16"/>
                <w:color w:val="auto"/>
              </w:rPr>
              <w:t>Customer Support</w:t>
            </w:r>
          </w:p>
        </w:tc>
        <w:tc>
          <w:tcPr>
            <w:tcW w:w="3740" w:type="dxa"/>
            <w:vAlign w:val="bottom"/>
          </w:tcPr>
          <w:p>
            <w:pPr>
              <w:ind w:left="40"/>
              <w:spacing w:after="0" w:line="162" w:lineRule="exact"/>
              <w:rPr>
                <w:sz w:val="20"/>
                <w:szCs w:val="20"/>
                <w:color w:val="auto"/>
              </w:rPr>
            </w:pPr>
            <w:r>
              <w:rPr>
                <w:rFonts w:ascii="Arial" w:cs="Arial" w:eastAsia="Arial" w:hAnsi="Arial"/>
                <w:sz w:val="16"/>
                <w:szCs w:val="16"/>
                <w:color w:val="auto"/>
              </w:rPr>
              <w:t>Ratably over the course of the support contract</w:t>
            </w:r>
          </w:p>
        </w:tc>
        <w:tc>
          <w:tcPr>
            <w:tcW w:w="2500" w:type="dxa"/>
            <w:vAlign w:val="bottom"/>
          </w:tcPr>
          <w:p>
            <w:pPr>
              <w:ind w:left="100"/>
              <w:spacing w:after="0" w:line="162" w:lineRule="exact"/>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100"/>
              <w:spacing w:after="0" w:line="162" w:lineRule="exact"/>
              <w:rPr>
                <w:sz w:val="20"/>
                <w:szCs w:val="20"/>
                <w:color w:val="auto"/>
              </w:rPr>
            </w:pPr>
            <w:r>
              <w:rPr>
                <w:rFonts w:ascii="Arial" w:cs="Arial" w:eastAsia="Arial" w:hAnsi="Arial"/>
                <w:sz w:val="16"/>
                <w:szCs w:val="16"/>
                <w:color w:val="auto"/>
              </w:rPr>
              <w:t>Observable in renewal transactions</w:t>
            </w:r>
          </w:p>
        </w:tc>
      </w:tr>
      <w:tr>
        <w:trPr>
          <w:trHeight w:val="216"/>
        </w:trPr>
        <w:tc>
          <w:tcPr>
            <w:tcW w:w="2080" w:type="dxa"/>
            <w:vAlign w:val="bottom"/>
          </w:tcPr>
          <w:p>
            <w:pPr>
              <w:spacing w:after="0"/>
              <w:rPr>
                <w:sz w:val="18"/>
                <w:szCs w:val="18"/>
                <w:color w:val="auto"/>
              </w:rPr>
            </w:pPr>
          </w:p>
        </w:tc>
        <w:tc>
          <w:tcPr>
            <w:tcW w:w="3740" w:type="dxa"/>
            <w:vAlign w:val="bottom"/>
          </w:tcPr>
          <w:p>
            <w:pPr>
              <w:ind w:left="40"/>
              <w:spacing w:after="0"/>
              <w:rPr>
                <w:sz w:val="20"/>
                <w:szCs w:val="20"/>
                <w:color w:val="auto"/>
              </w:rPr>
            </w:pPr>
            <w:r>
              <w:rPr>
                <w:rFonts w:ascii="Arial" w:cs="Arial" w:eastAsia="Arial" w:hAnsi="Arial"/>
                <w:sz w:val="16"/>
                <w:szCs w:val="16"/>
                <w:color w:val="auto"/>
              </w:rPr>
              <w:t>(over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8"/>
                <w:szCs w:val="18"/>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Services Revenue</w:t>
            </w:r>
          </w:p>
        </w:tc>
        <w:tc>
          <w:tcPr>
            <w:tcW w:w="37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162"/>
        </w:trPr>
        <w:tc>
          <w:tcPr>
            <w:tcW w:w="2080" w:type="dxa"/>
            <w:vAlign w:val="bottom"/>
          </w:tcPr>
          <w:p>
            <w:pPr>
              <w:ind w:left="140"/>
              <w:spacing w:after="0" w:line="162" w:lineRule="exact"/>
              <w:rPr>
                <w:sz w:val="20"/>
                <w:szCs w:val="20"/>
                <w:color w:val="auto"/>
              </w:rPr>
            </w:pPr>
            <w:r>
              <w:rPr>
                <w:rFonts w:ascii="Arial" w:cs="Arial" w:eastAsia="Arial" w:hAnsi="Arial"/>
                <w:sz w:val="16"/>
                <w:szCs w:val="16"/>
                <w:color w:val="auto"/>
              </w:rPr>
              <w:t>Other Professional</w:t>
            </w:r>
          </w:p>
        </w:tc>
        <w:tc>
          <w:tcPr>
            <w:tcW w:w="3740" w:type="dxa"/>
            <w:vAlign w:val="bottom"/>
          </w:tcPr>
          <w:p>
            <w:pPr>
              <w:ind w:left="40"/>
              <w:spacing w:after="0" w:line="162" w:lineRule="exact"/>
              <w:rPr>
                <w:sz w:val="20"/>
                <w:szCs w:val="20"/>
                <w:color w:val="auto"/>
              </w:rPr>
            </w:pPr>
            <w:r>
              <w:rPr>
                <w:rFonts w:ascii="Arial" w:cs="Arial" w:eastAsia="Arial" w:hAnsi="Arial"/>
                <w:sz w:val="16"/>
                <w:szCs w:val="16"/>
                <w:color w:val="auto"/>
              </w:rPr>
              <w:t>As work is performed (over time)</w:t>
            </w:r>
          </w:p>
        </w:tc>
        <w:tc>
          <w:tcPr>
            <w:tcW w:w="2500" w:type="dxa"/>
            <w:vAlign w:val="bottom"/>
          </w:tcPr>
          <w:p>
            <w:pPr>
              <w:ind w:left="100"/>
              <w:spacing w:after="0" w:line="162" w:lineRule="exact"/>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100"/>
              <w:spacing w:after="0" w:line="162" w:lineRule="exact"/>
              <w:rPr>
                <w:sz w:val="20"/>
                <w:szCs w:val="20"/>
                <w:color w:val="auto"/>
              </w:rPr>
            </w:pPr>
            <w:r>
              <w:rPr>
                <w:rFonts w:ascii="Arial" w:cs="Arial" w:eastAsia="Arial" w:hAnsi="Arial"/>
                <w:sz w:val="16"/>
                <w:szCs w:val="16"/>
                <w:color w:val="auto"/>
              </w:rPr>
              <w:t>Observable in transactions without</w:t>
            </w:r>
          </w:p>
        </w:tc>
      </w:tr>
      <w:tr>
        <w:trPr>
          <w:trHeight w:val="162"/>
        </w:trPr>
        <w:tc>
          <w:tcPr>
            <w:tcW w:w="2080" w:type="dxa"/>
            <w:vAlign w:val="bottom"/>
          </w:tcPr>
          <w:p>
            <w:pPr>
              <w:ind w:left="140"/>
              <w:spacing w:after="0" w:line="162" w:lineRule="exact"/>
              <w:rPr>
                <w:sz w:val="20"/>
                <w:szCs w:val="20"/>
                <w:color w:val="auto"/>
              </w:rPr>
            </w:pPr>
            <w:r>
              <w:rPr>
                <w:rFonts w:ascii="Arial" w:cs="Arial" w:eastAsia="Arial" w:hAnsi="Arial"/>
                <w:sz w:val="16"/>
                <w:szCs w:val="16"/>
                <w:color w:val="auto"/>
              </w:rPr>
              <w:t>Services (except for</w:t>
            </w:r>
          </w:p>
        </w:tc>
        <w:tc>
          <w:tcPr>
            <w:tcW w:w="3740" w:type="dxa"/>
            <w:vAlign w:val="bottom"/>
          </w:tcPr>
          <w:p>
            <w:pPr>
              <w:spacing w:after="0"/>
              <w:rPr>
                <w:sz w:val="14"/>
                <w:szCs w:val="14"/>
                <w:color w:val="auto"/>
              </w:rPr>
            </w:pPr>
          </w:p>
        </w:tc>
        <w:tc>
          <w:tcPr>
            <w:tcW w:w="2500" w:type="dxa"/>
            <w:vAlign w:val="bottom"/>
          </w:tcPr>
          <w:p>
            <w:pPr>
              <w:ind w:left="100"/>
              <w:spacing w:after="0" w:line="162" w:lineRule="exact"/>
              <w:rPr>
                <w:sz w:val="20"/>
                <w:szCs w:val="20"/>
                <w:color w:val="auto"/>
              </w:rPr>
            </w:pPr>
            <w:r>
              <w:rPr>
                <w:rFonts w:ascii="Arial" w:cs="Arial" w:eastAsia="Arial" w:hAnsi="Arial"/>
                <w:sz w:val="16"/>
                <w:szCs w:val="16"/>
                <w:color w:val="auto"/>
              </w:rPr>
              <w:t>performed</w:t>
            </w:r>
          </w:p>
        </w:tc>
        <w:tc>
          <w:tcPr>
            <w:tcW w:w="2880" w:type="dxa"/>
            <w:vAlign w:val="bottom"/>
          </w:tcPr>
          <w:p>
            <w:pPr>
              <w:ind w:left="100"/>
              <w:spacing w:after="0" w:line="162" w:lineRule="exact"/>
              <w:rPr>
                <w:sz w:val="20"/>
                <w:szCs w:val="20"/>
                <w:color w:val="auto"/>
              </w:rPr>
            </w:pPr>
            <w:r>
              <w:rPr>
                <w:rFonts w:ascii="Arial" w:cs="Arial" w:eastAsia="Arial" w:hAnsi="Arial"/>
                <w:sz w:val="16"/>
                <w:szCs w:val="16"/>
                <w:color w:val="auto"/>
              </w:rPr>
              <w:t>multiple performance obligations</w:t>
            </w:r>
          </w:p>
        </w:tc>
      </w:tr>
      <w:tr>
        <w:trPr>
          <w:trHeight w:val="216"/>
        </w:trPr>
        <w:tc>
          <w:tcPr>
            <w:tcW w:w="2080" w:type="dxa"/>
            <w:vAlign w:val="bottom"/>
          </w:tcPr>
          <w:p>
            <w:pPr>
              <w:ind w:left="140"/>
              <w:spacing w:after="0"/>
              <w:rPr>
                <w:sz w:val="20"/>
                <w:szCs w:val="20"/>
                <w:color w:val="auto"/>
              </w:rPr>
            </w:pPr>
            <w:r>
              <w:rPr>
                <w:rFonts w:ascii="Arial" w:cs="Arial" w:eastAsia="Arial" w:hAnsi="Arial"/>
                <w:sz w:val="16"/>
                <w:szCs w:val="16"/>
                <w:color w:val="auto"/>
              </w:rPr>
              <w:t>education services)</w:t>
            </w:r>
          </w:p>
        </w:tc>
        <w:tc>
          <w:tcPr>
            <w:tcW w:w="3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62"/>
        </w:trPr>
        <w:tc>
          <w:tcPr>
            <w:tcW w:w="20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Education Services</w:t>
            </w:r>
          </w:p>
        </w:tc>
        <w:tc>
          <w:tcPr>
            <w:tcW w:w="374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rPr>
              <w:t>When the class is taught (point in time)</w:t>
            </w:r>
          </w:p>
        </w:tc>
        <w:tc>
          <w:tcPr>
            <w:tcW w:w="250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Within 90 days of services being</w:t>
            </w:r>
          </w:p>
        </w:tc>
        <w:tc>
          <w:tcPr>
            <w:tcW w:w="28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Observable in transactions without</w:t>
            </w:r>
          </w:p>
        </w:tc>
      </w:tr>
      <w:tr>
        <w:trPr>
          <w:trHeight w:val="216"/>
        </w:trPr>
        <w:tc>
          <w:tcPr>
            <w:tcW w:w="20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performed</w:t>
            </w: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multiple performance obligations</w:t>
            </w:r>
          </w:p>
        </w:tc>
      </w:tr>
      <w:tr>
        <w:trPr>
          <w:trHeight w:val="162"/>
        </w:trPr>
        <w:tc>
          <w:tcPr>
            <w:tcW w:w="2080" w:type="dxa"/>
            <w:vAlign w:val="bottom"/>
          </w:tcPr>
          <w:p>
            <w:pPr>
              <w:ind w:left="140"/>
              <w:spacing w:after="0" w:line="162" w:lineRule="exact"/>
              <w:rPr>
                <w:sz w:val="20"/>
                <w:szCs w:val="20"/>
                <w:color w:val="auto"/>
              </w:rPr>
            </w:pPr>
            <w:r>
              <w:rPr>
                <w:rFonts w:ascii="Arial" w:cs="Arial" w:eastAsia="Arial" w:hAnsi="Arial"/>
                <w:sz w:val="16"/>
                <w:szCs w:val="16"/>
                <w:color w:val="auto"/>
              </w:rPr>
              <w:t>Software-as-a-service</w:t>
            </w:r>
          </w:p>
        </w:tc>
        <w:tc>
          <w:tcPr>
            <w:tcW w:w="3740" w:type="dxa"/>
            <w:vAlign w:val="bottom"/>
          </w:tcPr>
          <w:p>
            <w:pPr>
              <w:ind w:left="40"/>
              <w:spacing w:after="0" w:line="162" w:lineRule="exact"/>
              <w:rPr>
                <w:sz w:val="20"/>
                <w:szCs w:val="20"/>
                <w:color w:val="auto"/>
              </w:rPr>
            </w:pPr>
            <w:r>
              <w:rPr>
                <w:rFonts w:ascii="Arial" w:cs="Arial" w:eastAsia="Arial" w:hAnsi="Arial"/>
                <w:sz w:val="16"/>
                <w:szCs w:val="16"/>
                <w:color w:val="auto"/>
              </w:rPr>
              <w:t>Ratably over the course of the contract (over time)</w:t>
            </w:r>
          </w:p>
        </w:tc>
        <w:tc>
          <w:tcPr>
            <w:tcW w:w="2500" w:type="dxa"/>
            <w:vAlign w:val="bottom"/>
          </w:tcPr>
          <w:p>
            <w:pPr>
              <w:ind w:left="100"/>
              <w:spacing w:after="0" w:line="162" w:lineRule="exact"/>
              <w:rPr>
                <w:sz w:val="20"/>
                <w:szCs w:val="20"/>
                <w:color w:val="auto"/>
              </w:rPr>
            </w:pPr>
            <w:r>
              <w:rPr>
                <w:rFonts w:ascii="Arial" w:cs="Arial" w:eastAsia="Arial" w:hAnsi="Arial"/>
                <w:sz w:val="16"/>
                <w:szCs w:val="16"/>
                <w:color w:val="auto"/>
              </w:rPr>
              <w:t>Annual or monthly payments</w:t>
            </w:r>
          </w:p>
        </w:tc>
        <w:tc>
          <w:tcPr>
            <w:tcW w:w="2880" w:type="dxa"/>
            <w:vAlign w:val="bottom"/>
          </w:tcPr>
          <w:p>
            <w:pPr>
              <w:ind w:left="100"/>
              <w:spacing w:after="0" w:line="162" w:lineRule="exact"/>
              <w:rPr>
                <w:sz w:val="20"/>
                <w:szCs w:val="20"/>
                <w:color w:val="auto"/>
              </w:rPr>
            </w:pPr>
            <w:r>
              <w:rPr>
                <w:rFonts w:ascii="Arial" w:cs="Arial" w:eastAsia="Arial" w:hAnsi="Arial"/>
                <w:sz w:val="16"/>
                <w:szCs w:val="16"/>
                <w:color w:val="auto"/>
              </w:rPr>
              <w:t>Observable in transactions without</w:t>
            </w:r>
          </w:p>
        </w:tc>
      </w:tr>
      <w:tr>
        <w:trPr>
          <w:trHeight w:val="219"/>
        </w:trPr>
        <w:tc>
          <w:tcPr>
            <w:tcW w:w="2080" w:type="dxa"/>
            <w:vAlign w:val="bottom"/>
          </w:tcPr>
          <w:p>
            <w:pPr>
              <w:ind w:left="140"/>
              <w:spacing w:after="0"/>
              <w:rPr>
                <w:sz w:val="20"/>
                <w:szCs w:val="20"/>
                <w:color w:val="auto"/>
              </w:rPr>
            </w:pPr>
            <w:r>
              <w:rPr>
                <w:rFonts w:ascii="Arial" w:cs="Arial" w:eastAsia="Arial" w:hAnsi="Arial"/>
                <w:sz w:val="16"/>
                <w:szCs w:val="16"/>
                <w:color w:val="auto"/>
              </w:rPr>
              <w:t>(Metallic)</w:t>
            </w:r>
          </w:p>
        </w:tc>
        <w:tc>
          <w:tcPr>
            <w:tcW w:w="37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multiple performance obligations</w:t>
            </w:r>
          </w:p>
        </w:tc>
      </w:tr>
    </w:tbl>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w:t>
      </w:r>
    </w:p>
    <w:p>
      <w:pPr>
        <w:spacing w:after="0" w:line="250" w:lineRule="exact"/>
        <w:rPr>
          <w:sz w:val="20"/>
          <w:szCs w:val="20"/>
          <w:color w:val="auto"/>
        </w:rPr>
      </w:pPr>
    </w:p>
    <w:p>
      <w:pPr>
        <w:ind w:right="100" w:firstLine="445"/>
        <w:spacing w:after="0" w:line="271" w:lineRule="auto"/>
        <w:rPr>
          <w:sz w:val="20"/>
          <w:szCs w:val="20"/>
          <w:color w:val="auto"/>
        </w:rPr>
      </w:pPr>
      <w:r>
        <w:rPr>
          <w:rFonts w:ascii="Arial" w:cs="Arial" w:eastAsia="Arial" w:hAnsi="Arial"/>
          <w:sz w:val="18"/>
          <w:szCs w:val="18"/>
          <w:color w:val="auto"/>
        </w:rPr>
        <w:t>We disaggregate revenue from contracts with customers into the nature of the products and services and geographical regions. The geographic regions that are tracked are the Americas (United States, Canada, Latin America), EMEA (Europe, Middle East, Africa) and APJ (Australia, New Zealand, Southeast Asia, China). We operate in one segment.</w:t>
      </w:r>
    </w:p>
    <w:p>
      <w:pPr>
        <w:spacing w:after="0" w:line="85"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 December 31, 2020</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10"/>
        </w:trPr>
        <w:tc>
          <w:tcPr>
            <w:tcW w:w="3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Americas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EMEA</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09"/>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33,374</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11,615</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88,625</w:t>
            </w:r>
          </w:p>
        </w:tc>
      </w:tr>
      <w:tr>
        <w:trPr>
          <w:trHeight w:val="216"/>
        </w:trPr>
        <w:tc>
          <w:tcPr>
            <w:tcW w:w="310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53,488</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25,808</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10,386</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89,682</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9,685</w:t>
            </w: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102,155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62,514</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23,323</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187,992</w:t>
            </w:r>
          </w:p>
        </w:tc>
      </w:tr>
      <w:tr>
        <w:trPr>
          <w:trHeight w:val="20"/>
        </w:trPr>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 December 31, 2019</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10"/>
        </w:trPr>
        <w:tc>
          <w:tcPr>
            <w:tcW w:w="3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Americas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EMEA</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40,291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29,107</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7,233</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76,631</w:t>
            </w:r>
          </w:p>
        </w:tc>
      </w:tr>
      <w:tr>
        <w:trPr>
          <w:trHeight w:val="216"/>
        </w:trPr>
        <w:tc>
          <w:tcPr>
            <w:tcW w:w="310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57,856</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22,237</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10,438</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90,531</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9,189</w:t>
            </w: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103,030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54,017</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19,304</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176,351</w:t>
            </w:r>
          </w:p>
        </w:tc>
      </w:tr>
      <w:tr>
        <w:trPr>
          <w:trHeight w:val="20"/>
        </w:trPr>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5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Nine Months Ended December 31, 2020</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10"/>
        </w:trPr>
        <w:tc>
          <w:tcPr>
            <w:tcW w:w="3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Americas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EMEA</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09"/>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133,522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74,232</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29,734</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237,488</w:t>
            </w:r>
          </w:p>
        </w:tc>
      </w:tr>
      <w:tr>
        <w:trPr>
          <w:trHeight w:val="216"/>
        </w:trPr>
        <w:tc>
          <w:tcPr>
            <w:tcW w:w="310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162,903</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74,029</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30,840</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267,772</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13,938</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8,971</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26,871</w:t>
            </w:r>
          </w:p>
        </w:tc>
      </w:tr>
      <w:tr>
        <w:trPr>
          <w:trHeight w:val="209"/>
        </w:trPr>
        <w:tc>
          <w:tcPr>
            <w:tcW w:w="31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310,363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157,232</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64,536</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532,131</w:t>
            </w:r>
          </w:p>
        </w:tc>
      </w:tr>
      <w:tr>
        <w:trPr>
          <w:trHeight w:val="21"/>
        </w:trPr>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3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Nine Months Ended December 31, 2019</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09"/>
        </w:trPr>
        <w:tc>
          <w:tcPr>
            <w:tcW w:w="3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Americas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EMEA</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09"/>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107,375</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71,922</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29,603</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208,900</w:t>
            </w:r>
          </w:p>
        </w:tc>
      </w:tr>
      <w:tr>
        <w:trPr>
          <w:trHeight w:val="216"/>
        </w:trPr>
        <w:tc>
          <w:tcPr>
            <w:tcW w:w="310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173,450</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65,810</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30,756</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270,016</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14,179</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5,006</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27,220</w:t>
            </w:r>
          </w:p>
        </w:tc>
      </w:tr>
      <w:tr>
        <w:trPr>
          <w:trHeight w:val="209"/>
        </w:trPr>
        <w:tc>
          <w:tcPr>
            <w:tcW w:w="31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295,004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145,767</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65,365</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506,136</w:t>
            </w:r>
          </w:p>
        </w:tc>
      </w:tr>
      <w:tr>
        <w:trPr>
          <w:trHeight w:val="21"/>
        </w:trPr>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50" w:lineRule="exact"/>
        <w:rPr>
          <w:sz w:val="20"/>
          <w:szCs w:val="20"/>
          <w:color w:val="auto"/>
        </w:rPr>
      </w:pPr>
    </w:p>
    <w:p>
      <w:pPr>
        <w:ind w:right="300" w:firstLine="445"/>
        <w:spacing w:after="0" w:line="292"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services revenue, primarily customer support contracts.</w:t>
      </w:r>
    </w:p>
    <w:p>
      <w:pPr>
        <w:spacing w:after="0" w:line="171" w:lineRule="exact"/>
        <w:rPr>
          <w:sz w:val="20"/>
          <w:szCs w:val="20"/>
          <w:color w:val="auto"/>
        </w:rPr>
      </w:pPr>
    </w:p>
    <w:p>
      <w:pPr>
        <w:ind w:right="80" w:firstLine="445"/>
        <w:spacing w:after="0" w:line="260" w:lineRule="auto"/>
        <w:rPr>
          <w:sz w:val="20"/>
          <w:szCs w:val="20"/>
          <w:color w:val="auto"/>
        </w:rPr>
      </w:pPr>
      <w:r>
        <w:rPr>
          <w:rFonts w:ascii="Arial" w:cs="Arial" w:eastAsia="Arial" w:hAnsi="Arial"/>
          <w:sz w:val="18"/>
          <w:szCs w:val="18"/>
          <w:color w:val="auto"/>
        </w:rPr>
        <w:t>In some arrangements we allow customers to pay for term-based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The opening and closing balances of our Accounts receivable, Unbilled receivables, and Deferred revenues are as follows:</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Unbilled</w:t>
            </w:r>
          </w:p>
        </w:tc>
        <w:tc>
          <w:tcPr>
            <w:tcW w:w="220" w:type="dxa"/>
            <w:vAlign w:val="bottom"/>
          </w:tcPr>
          <w:p>
            <w:pPr>
              <w:spacing w:after="0"/>
              <w:rPr>
                <w:sz w:val="16"/>
                <w:szCs w:val="16"/>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Unbilled</w:t>
            </w:r>
          </w:p>
        </w:tc>
        <w:tc>
          <w:tcPr>
            <w:tcW w:w="20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b w:val="1"/>
                <w:bCs w:val="1"/>
                <w:color w:val="auto"/>
              </w:rPr>
              <w:t>Deferred</w:t>
            </w:r>
          </w:p>
        </w:tc>
        <w:tc>
          <w:tcPr>
            <w:tcW w:w="220" w:type="dxa"/>
            <w:vAlign w:val="bottom"/>
          </w:tcPr>
          <w:p>
            <w:pPr>
              <w:spacing w:after="0"/>
              <w:rPr>
                <w:sz w:val="16"/>
                <w:szCs w:val="16"/>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Accounts</w:t>
            </w:r>
          </w:p>
        </w:tc>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4"/>
                <w:szCs w:val="4"/>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Receivable</w:t>
            </w:r>
          </w:p>
        </w:tc>
        <w:tc>
          <w:tcPr>
            <w:tcW w:w="220" w:type="dxa"/>
            <w:vAlign w:val="bottom"/>
          </w:tcPr>
          <w:p>
            <w:pPr>
              <w:spacing w:after="0"/>
              <w:rPr>
                <w:sz w:val="14"/>
                <w:szCs w:val="14"/>
                <w:color w:val="auto"/>
              </w:rPr>
            </w:pPr>
          </w:p>
        </w:tc>
        <w:tc>
          <w:tcPr>
            <w:tcW w:w="1200" w:type="dxa"/>
            <w:vAlign w:val="bottom"/>
          </w:tcPr>
          <w:p>
            <w:pPr>
              <w:jc w:val="right"/>
              <w:ind w:right="179"/>
              <w:spacing w:after="0" w:line="162" w:lineRule="exact"/>
              <w:rPr>
                <w:sz w:val="20"/>
                <w:szCs w:val="20"/>
                <w:color w:val="auto"/>
              </w:rPr>
            </w:pPr>
            <w:r>
              <w:rPr>
                <w:rFonts w:ascii="Arial" w:cs="Arial" w:eastAsia="Arial" w:hAnsi="Arial"/>
                <w:sz w:val="16"/>
                <w:szCs w:val="16"/>
                <w:b w:val="1"/>
                <w:bCs w:val="1"/>
                <w:color w:val="auto"/>
              </w:rPr>
              <w:t>Receivable</w:t>
            </w: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Receivable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(current)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(long-term)</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(current)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(long-term)</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 as of March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233,497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92,723</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Increase, net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39,467</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14,047</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15,557</w:t>
            </w:r>
          </w:p>
        </w:tc>
        <w:tc>
          <w:tcPr>
            <w:tcW w:w="0" w:type="dxa"/>
            <w:vAlign w:val="bottom"/>
          </w:tcPr>
          <w:p>
            <w:pPr>
              <w:spacing w:after="0"/>
              <w:rPr>
                <w:sz w:val="1"/>
                <w:szCs w:val="1"/>
                <w:color w:val="auto"/>
              </w:rPr>
            </w:pPr>
          </w:p>
        </w:tc>
      </w:tr>
      <w:tr>
        <w:trPr>
          <w:trHeight w:val="23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247,544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108,280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firstLine="445"/>
        <w:spacing w:after="0" w:line="264" w:lineRule="auto"/>
        <w:rPr>
          <w:sz w:val="20"/>
          <w:szCs w:val="20"/>
          <w:color w:val="auto"/>
        </w:rPr>
      </w:pPr>
      <w:r>
        <w:rPr>
          <w:rFonts w:ascii="Arial" w:cs="Arial" w:eastAsia="Arial" w:hAnsi="Arial"/>
          <w:sz w:val="18"/>
          <w:szCs w:val="18"/>
          <w:color w:val="auto"/>
        </w:rPr>
        <w:t>The increase in Accounts receivable (inclusive of Unbilled receivables) is a result of an increase in software and products revenue relative to the fourth quarter of the prior year. The increase in Deferred revenue is primarily the result of an increase in deferred customer support revenue related to software and products revenue transactions and customer support renewals during the third quarter of fiscal 2021. Deferred revenue also increased as a result of the weakening US dollar.</w:t>
      </w:r>
    </w:p>
    <w:p>
      <w:pPr>
        <w:spacing w:after="0" w:line="196" w:lineRule="exact"/>
        <w:rPr>
          <w:sz w:val="20"/>
          <w:szCs w:val="20"/>
          <w:color w:val="auto"/>
        </w:rPr>
      </w:pPr>
    </w:p>
    <w:p>
      <w:pPr>
        <w:ind w:firstLine="445"/>
        <w:spacing w:after="0" w:line="264" w:lineRule="auto"/>
        <w:rPr>
          <w:sz w:val="20"/>
          <w:szCs w:val="20"/>
          <w:color w:val="auto"/>
        </w:rPr>
      </w:pPr>
      <w:r>
        <w:rPr>
          <w:rFonts w:ascii="Arial" w:cs="Arial" w:eastAsia="Arial" w:hAnsi="Arial"/>
          <w:sz w:val="18"/>
          <w:szCs w:val="18"/>
          <w:color w:val="auto"/>
        </w:rPr>
        <w:t>The amount of revenue recognized in the period that was included in the March 31, 2020 balance of deferred revenue was $57,062 and $212,790 for the three and nine months ended December 31, 2020. The vast majority of this revenue consists of customer support arrangements. The amount of software and products revenue recognized in the three and nine months ended December 31, 2020 related to performance obligations from prior periods was not significant.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Remaining Performance Obligations</w:t>
      </w:r>
    </w:p>
    <w:p>
      <w:pPr>
        <w:spacing w:after="0" w:line="250" w:lineRule="exact"/>
        <w:rPr>
          <w:sz w:val="20"/>
          <w:szCs w:val="20"/>
          <w:color w:val="auto"/>
        </w:rPr>
      </w:pPr>
    </w:p>
    <w:p>
      <w:pPr>
        <w:ind w:firstLine="445"/>
        <w:spacing w:after="0" w:line="260" w:lineRule="auto"/>
        <w:rPr>
          <w:sz w:val="20"/>
          <w:szCs w:val="20"/>
          <w:color w:val="auto"/>
        </w:rPr>
      </w:pPr>
      <w:r>
        <w:rPr>
          <w:rFonts w:ascii="Arial" w:cs="Arial" w:eastAsia="Arial" w:hAnsi="Arial"/>
          <w:sz w:val="18"/>
          <w:szCs w:val="18"/>
          <w:color w:val="auto"/>
        </w:rPr>
        <w:t>In addition to the amounts included in deferred revenue as of December 31, 2020, $48,227 of revenue may be recognized from remaining performance obligations, of which approximately $11,000 was related to software and products. We expect the majority of this software and products revenue to be recognized during the three months ended March 31, 2021. The vast majority of the services revenue is related to other professional services which may be recognized over the next twelve months but is contingent upon a number of factors, including customers’ needs and schedules.</w:t>
      </w:r>
    </w:p>
    <w:p>
      <w:pPr>
        <w:spacing w:after="0" w:line="36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00B2A9"/>
        </w:rPr>
      </w:pPr>
      <w:r>
        <w:rPr>
          <w:rFonts w:ascii="Arial" w:cs="Arial" w:eastAsia="Arial" w:hAnsi="Arial"/>
          <w:sz w:val="18"/>
          <w:szCs w:val="18"/>
          <w:b w:val="1"/>
          <w:bCs w:val="1"/>
          <w:color w:val="00B2A9"/>
        </w:rPr>
        <w:t>Goodwill and Intangible Assets, Net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Goodwill</w:t>
      </w:r>
    </w:p>
    <w:p>
      <w:pPr>
        <w:spacing w:after="0" w:line="171" w:lineRule="exact"/>
        <w:rPr>
          <w:sz w:val="20"/>
          <w:szCs w:val="20"/>
          <w:color w:val="auto"/>
        </w:rPr>
      </w:pPr>
    </w:p>
    <w:p>
      <w:pPr>
        <w:ind w:right="40" w:firstLine="445"/>
        <w:spacing w:after="0" w:line="292" w:lineRule="auto"/>
        <w:rPr>
          <w:sz w:val="20"/>
          <w:szCs w:val="20"/>
          <w:color w:val="auto"/>
        </w:rPr>
      </w:pPr>
      <w:r>
        <w:rPr>
          <w:rFonts w:ascii="Arial" w:cs="Arial" w:eastAsia="Arial" w:hAnsi="Arial"/>
          <w:sz w:val="18"/>
          <w:szCs w:val="18"/>
          <w:color w:val="auto"/>
        </w:rPr>
        <w:t>There were no additions, impairments or any other changes to the carrying amount of goodwill during the three and nine months ended December 31,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Intangible assets, net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subject to amortization as of December 31, 2020 are as follows:</w:t>
      </w: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Gross Carrying</w:t>
            </w:r>
          </w:p>
        </w:tc>
        <w:tc>
          <w:tcPr>
            <w:tcW w:w="24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8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Impairment Charge</w:t>
            </w:r>
          </w:p>
        </w:tc>
        <w:tc>
          <w:tcPr>
            <w:tcW w:w="140" w:type="dxa"/>
            <w:vAlign w:val="bottom"/>
          </w:tcPr>
          <w:p>
            <w:pPr>
              <w:spacing w:after="0"/>
              <w:rPr>
                <w:sz w:val="16"/>
                <w:szCs w:val="16"/>
                <w:color w:val="auto"/>
              </w:rPr>
            </w:pPr>
          </w:p>
        </w:tc>
        <w:tc>
          <w:tcPr>
            <w:tcW w:w="1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intangible assets,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240" w:firstLine="445"/>
        <w:spacing w:after="0" w:line="276" w:lineRule="auto"/>
        <w:rPr>
          <w:sz w:val="20"/>
          <w:szCs w:val="20"/>
          <w:color w:val="auto"/>
        </w:rPr>
      </w:pPr>
      <w:r>
        <w:rPr>
          <w:rFonts w:ascii="Arial" w:cs="Arial" w:eastAsia="Arial" w:hAnsi="Arial"/>
          <w:sz w:val="18"/>
          <w:szCs w:val="18"/>
          <w:color w:val="auto"/>
        </w:rPr>
        <w:t>Amortization expense from acquired intangible assets was $5,650 for the nine months ended December 31, 2020 and $2,825 for the three and nine months ended December 31, 2019.</w:t>
      </w:r>
    </w:p>
    <w:p>
      <w:pPr>
        <w:spacing w:after="0" w:line="172" w:lineRule="exact"/>
        <w:rPr>
          <w:sz w:val="20"/>
          <w:szCs w:val="20"/>
          <w:color w:val="auto"/>
        </w:rPr>
      </w:pPr>
    </w:p>
    <w:p>
      <w:pPr>
        <w:ind w:firstLine="445"/>
        <w:spacing w:after="0" w:line="238" w:lineRule="auto"/>
        <w:rPr>
          <w:sz w:val="20"/>
          <w:szCs w:val="20"/>
          <w:color w:val="auto"/>
        </w:rPr>
      </w:pPr>
      <w:r>
        <w:rPr>
          <w:rFonts w:ascii="Arial" w:cs="Arial" w:eastAsia="Arial" w:hAnsi="Arial"/>
          <w:sz w:val="18"/>
          <w:szCs w:val="18"/>
          <w:color w:val="auto"/>
        </w:rPr>
        <w:t>Our intangible assets (developed technology and customer relationships) were acquired in connection with the Hedvig, Inc. ("Hedvig") transaction. The most material of these assets was the developed technology. The value of this asset was attributable to forecasted incremental revenues directly attributable to this technology. While we have successfully integrated this technology into our existing HyperScale technology, we have not met our forecasts for standalone sales of this acquired technology. During the second quarter of fiscal year 2021 we identified an indicator of impairment and concluded that the carrying values of the developed technology and customer relationships acquired in connection with the Hedvig transaction were not recoverable on an undiscounted basis. As a result, we remeasured the fair value of these assets and concluded their value was de minimis. We recorded a $ 40,700 impairment charge in the accompanying Consolidated Statements of Operations for the three months ended September 30, 2020. These non-recurring fair value measurements were categorized as Level 3, as significant unobservable inputs were used in the valuation analysis. Key assumptions used in the valuation include forecasts of revenue and expenses over an extended period, the useful life of the asset, tax rates, and estimated costs of debt and equity capital to discount the projected cash flows. Certain of these assumptions involve significant judgment and are based on management’s estimate of current and forecasted market conditions.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1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0B2A9"/>
        </w:rPr>
        <w:t>5.</w:t>
      </w:r>
      <w:r>
        <w:rPr>
          <w:sz w:val="20"/>
          <w:szCs w:val="20"/>
          <w:color w:val="auto"/>
        </w:rPr>
        <w:tab/>
      </w:r>
      <w:r>
        <w:rPr>
          <w:rFonts w:ascii="Arial" w:cs="Arial" w:eastAsia="Arial" w:hAnsi="Arial"/>
          <w:sz w:val="17"/>
          <w:szCs w:val="17"/>
          <w:b w:val="1"/>
          <w:bCs w:val="1"/>
          <w:color w:val="00B2A9"/>
        </w:rPr>
        <w:t>Net Income per Common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640" w:type="dxa"/>
            <w:vAlign w:val="bottom"/>
            <w:gridSpan w:val="7"/>
          </w:tcPr>
          <w:p>
            <w:pPr>
              <w:ind w:left="60"/>
              <w:spacing w:after="0"/>
              <w:rPr>
                <w:sz w:val="20"/>
                <w:szCs w:val="20"/>
                <w:color w:val="auto"/>
              </w:rPr>
            </w:pPr>
            <w:r>
              <w:rPr>
                <w:rFonts w:ascii="Arial" w:cs="Arial" w:eastAsia="Arial" w:hAnsi="Arial"/>
                <w:sz w:val="16"/>
                <w:szCs w:val="16"/>
                <w:b w:val="1"/>
                <w:bCs w:val="1"/>
                <w:color w:val="auto"/>
              </w:rPr>
              <w:t>Three Months Ended December</w:t>
            </w:r>
          </w:p>
        </w:tc>
        <w:tc>
          <w:tcPr>
            <w:tcW w:w="250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December</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w w:val="98"/>
              </w:rPr>
              <w:t>31,</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7"/>
        </w:trPr>
        <w:tc>
          <w:tcPr>
            <w:tcW w:w="6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(14,580)</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Basic net income (loss) per common share: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47,013</w:t>
            </w: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45,586</w:t>
            </w:r>
          </w:p>
        </w:tc>
        <w:tc>
          <w:tcPr>
            <w:tcW w:w="0" w:type="dxa"/>
            <w:vAlign w:val="bottom"/>
          </w:tcPr>
          <w:p>
            <w:pPr>
              <w:spacing w:after="0"/>
              <w:rPr>
                <w:sz w:val="1"/>
                <w:szCs w:val="1"/>
                <w:color w:val="auto"/>
              </w:rPr>
            </w:pPr>
          </w:p>
        </w:tc>
      </w:tr>
      <w:tr>
        <w:trPr>
          <w:trHeight w:val="34"/>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(loss) per common share</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net 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45,586</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Dilutive effect of stock options and restricted stock units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3"/>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440" w:firstLine="445"/>
        <w:spacing w:after="0" w:line="264" w:lineRule="auto"/>
        <w:rPr>
          <w:sz w:val="20"/>
          <w:szCs w:val="20"/>
          <w:color w:val="auto"/>
        </w:rPr>
      </w:pPr>
      <w:r>
        <w:rPr>
          <w:rFonts w:ascii="Arial" w:cs="Arial" w:eastAsia="Arial" w:hAnsi="Arial"/>
          <w:sz w:val="18"/>
          <w:szCs w:val="18"/>
          <w:color w:val="auto"/>
        </w:rPr>
        <w:t>The diluted weighted-average shares outstanding exclude outstanding stock options, restricted stock units, performance restricted stock units and shares to be purchased under the employee stock purchase plan totaling 1,049 and 5,459 for the three months ended December 31, 2020 and 2019, respectively, and 5,160 and 4,952 for the nine months ended December 31, 2020 and 2019 because the effect would have been anti-dilutive.</w:t>
      </w:r>
    </w:p>
    <w:p>
      <w:pPr>
        <w:spacing w:after="0" w:line="356"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00B2A9"/>
        </w:rPr>
      </w:pPr>
      <w:r>
        <w:rPr>
          <w:rFonts w:ascii="Arial" w:cs="Arial" w:eastAsia="Arial" w:hAnsi="Arial"/>
          <w:sz w:val="18"/>
          <w:szCs w:val="18"/>
          <w:b w:val="1"/>
          <w:bCs w:val="1"/>
          <w:color w:val="00B2A9"/>
        </w:rPr>
        <w:t>Commitments and Contingencies</w:t>
      </w:r>
    </w:p>
    <w:p>
      <w:pPr>
        <w:spacing w:after="0" w:line="227" w:lineRule="exact"/>
        <w:rPr>
          <w:sz w:val="20"/>
          <w:szCs w:val="20"/>
          <w:color w:val="auto"/>
        </w:rPr>
      </w:pPr>
    </w:p>
    <w:p>
      <w:pPr>
        <w:ind w:firstLine="445"/>
        <w:spacing w:after="0" w:line="271"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We do not believe that we are currently party to any pending legal action that could reasonably be expected to have a material adverse effect on our business or operating results.</w:t>
      </w:r>
    </w:p>
    <w:p>
      <w:pPr>
        <w:spacing w:after="0" w:line="35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00B2A9"/>
        </w:rPr>
      </w:pPr>
      <w:r>
        <w:rPr>
          <w:rFonts w:ascii="Arial" w:cs="Arial" w:eastAsia="Arial" w:hAnsi="Arial"/>
          <w:sz w:val="18"/>
          <w:szCs w:val="18"/>
          <w:b w:val="1"/>
          <w:bCs w:val="1"/>
          <w:color w:val="00B2A9"/>
        </w:rPr>
        <w:t>Capitalization</w:t>
      </w:r>
    </w:p>
    <w:p>
      <w:pPr>
        <w:spacing w:after="0" w:line="173" w:lineRule="exact"/>
        <w:rPr>
          <w:sz w:val="20"/>
          <w:szCs w:val="20"/>
          <w:color w:val="auto"/>
        </w:rPr>
      </w:pPr>
    </w:p>
    <w:p>
      <w:pPr>
        <w:ind w:right="140" w:firstLine="445"/>
        <w:spacing w:after="0" w:line="271" w:lineRule="auto"/>
        <w:rPr>
          <w:sz w:val="20"/>
          <w:szCs w:val="20"/>
          <w:color w:val="auto"/>
        </w:rPr>
      </w:pPr>
      <w:r>
        <w:rPr>
          <w:rFonts w:ascii="Arial" w:cs="Arial" w:eastAsia="Arial" w:hAnsi="Arial"/>
          <w:sz w:val="18"/>
          <w:szCs w:val="18"/>
          <w:color w:val="auto"/>
        </w:rPr>
        <w:t>During the three months ended December 31, 2020, we repurchased $33.1 million of common stock (700,694 shares). There were no repurchases of common stock during the first half of fiscal year 2021. As of December 31, 2020, $166,868 remained in our current stock repurchase authorization which expires on March 31, 2022.</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Subsequent event</w:t>
      </w:r>
    </w:p>
    <w:p>
      <w:pPr>
        <w:spacing w:after="0" w:line="169" w:lineRule="exact"/>
        <w:rPr>
          <w:sz w:val="20"/>
          <w:szCs w:val="20"/>
          <w:color w:val="auto"/>
        </w:rPr>
      </w:pPr>
    </w:p>
    <w:p>
      <w:pPr>
        <w:ind w:right="280" w:firstLine="445"/>
        <w:spacing w:after="0" w:line="271" w:lineRule="auto"/>
        <w:rPr>
          <w:sz w:val="20"/>
          <w:szCs w:val="20"/>
          <w:color w:val="auto"/>
        </w:rPr>
      </w:pPr>
      <w:r>
        <w:rPr>
          <w:rFonts w:ascii="Arial" w:cs="Arial" w:eastAsia="Arial" w:hAnsi="Arial"/>
          <w:sz w:val="18"/>
          <w:szCs w:val="18"/>
          <w:color w:val="auto"/>
        </w:rPr>
        <w:t>Our Board has approved, and we intend to execute, a capital allocation policy that provides for the repurchase of $200,000 of our common stock for the period from February 1, 2021 through the end of our 2022 fiscal year, plus the use of approximately 75% of our free cash flow for additional repurchases during fiscal year 2022.</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00B2A9"/>
        </w:rPr>
      </w:pPr>
      <w:r>
        <w:rPr>
          <w:rFonts w:ascii="Arial" w:cs="Arial" w:eastAsia="Arial" w:hAnsi="Arial"/>
          <w:sz w:val="18"/>
          <w:szCs w:val="18"/>
          <w:b w:val="1"/>
          <w:bCs w:val="1"/>
          <w:color w:val="00B2A9"/>
        </w:rPr>
        <w:t>Stock Plans</w:t>
      </w:r>
    </w:p>
    <w:p>
      <w:pPr>
        <w:spacing w:after="0" w:line="173" w:lineRule="exact"/>
        <w:rPr>
          <w:sz w:val="20"/>
          <w:szCs w:val="20"/>
          <w:color w:val="auto"/>
        </w:rPr>
      </w:pPr>
    </w:p>
    <w:p>
      <w:pPr>
        <w:ind w:right="60" w:firstLine="445"/>
        <w:spacing w:after="0" w:line="264"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General and administrative expenses and Restructuring expenses for the three and nine months ended December 31, 2020 and 2019. Stock-based compensation is attributable to stock options, restricted stock units, performance based awards and the employee stock purchase plan.</w:t>
      </w:r>
    </w:p>
    <w:p>
      <w:pPr>
        <w:spacing w:after="0" w:line="238"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520" w:type="dxa"/>
            <w:vAlign w:val="bottom"/>
            <w:gridSpan w:val="7"/>
          </w:tcPr>
          <w:p>
            <w:pPr>
              <w:ind w:left="20"/>
              <w:spacing w:after="0"/>
              <w:rPr>
                <w:sz w:val="20"/>
                <w:szCs w:val="20"/>
                <w:color w:val="auto"/>
              </w:rPr>
            </w:pPr>
            <w:r>
              <w:rPr>
                <w:rFonts w:ascii="Arial" w:cs="Arial" w:eastAsia="Arial" w:hAnsi="Arial"/>
                <w:sz w:val="16"/>
                <w:szCs w:val="16"/>
                <w:b w:val="1"/>
                <w:bCs w:val="1"/>
                <w:color w:val="auto"/>
              </w:rPr>
              <w:t>Nine Months Ended December</w:t>
            </w:r>
          </w:p>
        </w:tc>
      </w:tr>
      <w:tr>
        <w:trPr>
          <w:trHeight w:val="223"/>
        </w:trPr>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9"/>
              </w:rPr>
              <w:t>December 31,</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31,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25,906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24,133</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11,517</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00" w:type="dxa"/>
            <w:vAlign w:val="bottom"/>
            <w:tcBorders>
              <w:bottom w:val="single" w:sz="8" w:color="auto"/>
            </w:tcBorders>
            <w:shd w:val="clear" w:color="auto" w:fill="CCEEFF"/>
          </w:tcPr>
          <w:p>
            <w:pPr>
              <w:spacing w:after="0"/>
              <w:rPr>
                <w:sz w:val="18"/>
                <w:szCs w:val="18"/>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22,037</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18,974</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61,572</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48,581</w:t>
            </w:r>
          </w:p>
        </w:tc>
        <w:tc>
          <w:tcPr>
            <w:tcW w:w="100" w:type="dxa"/>
            <w:vAlign w:val="bottom"/>
            <w:tcBorders>
              <w:bottom w:val="single" w:sz="8" w:color="auto"/>
            </w:tcBorders>
          </w:tcPr>
          <w:p>
            <w:pPr>
              <w:spacing w:after="0"/>
              <w:rPr>
                <w:sz w:val="18"/>
                <w:szCs w:val="18"/>
                <w:color w:val="auto"/>
              </w:rPr>
            </w:pPr>
          </w:p>
        </w:tc>
      </w:tr>
      <w:tr>
        <w:trPr>
          <w:trHeight w:val="21"/>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340" w:firstLine="445"/>
        <w:spacing w:after="0" w:line="271" w:lineRule="auto"/>
        <w:rPr>
          <w:sz w:val="20"/>
          <w:szCs w:val="20"/>
          <w:color w:val="auto"/>
        </w:rPr>
      </w:pPr>
      <w:r>
        <w:rPr>
          <w:rFonts w:ascii="Arial" w:cs="Arial" w:eastAsia="Arial" w:hAnsi="Arial"/>
          <w:sz w:val="18"/>
          <w:szCs w:val="18"/>
          <w:color w:val="auto"/>
        </w:rPr>
        <w:t>As of December 31, 2020, there was $137,420 of unrecognized stock-based compensation expense related to restricted stock unit awards that is expected to be recognized over a weighted-average period of 2.05 years. We account for forfeitures as they occur. To the extent that awards are forfeited, stock-based compensation will be different from our current estimate.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was not significant in the nine months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activity for the nine months ended December 31, 2020 is as follows:</w:t>
      </w:r>
    </w:p>
    <w:p>
      <w:pPr>
        <w:spacing w:after="0" w:line="280"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7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Non-vested Restricted Stock Units</w:t>
            </w: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89"/>
        </w:trPr>
        <w:tc>
          <w:tcPr>
            <w:tcW w:w="5700" w:type="dxa"/>
            <w:vAlign w:val="bottom"/>
            <w:gridSpan w:val="3"/>
            <w:vMerge w:val="continue"/>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6"/>
                <w:szCs w:val="16"/>
                <w:color w:val="auto"/>
              </w:rPr>
            </w:pPr>
          </w:p>
        </w:tc>
        <w:tc>
          <w:tcPr>
            <w:tcW w:w="1500" w:type="dxa"/>
            <w:vAlign w:val="bottom"/>
          </w:tcPr>
          <w:p>
            <w:pPr>
              <w:jc w:val="center"/>
              <w:ind w:right="99"/>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Non-vested as of March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340"/>
              <w:spacing w:after="0"/>
              <w:rPr>
                <w:sz w:val="20"/>
                <w:szCs w:val="20"/>
                <w:color w:val="auto"/>
              </w:rPr>
            </w:pPr>
            <w:r>
              <w:rPr>
                <w:rFonts w:ascii="Arial" w:cs="Arial" w:eastAsia="Arial" w:hAnsi="Arial"/>
                <w:sz w:val="16"/>
                <w:szCs w:val="16"/>
                <w:color w:val="auto"/>
              </w:rPr>
              <w:t>Awarded</w:t>
            </w:r>
          </w:p>
        </w:tc>
        <w:tc>
          <w:tcPr>
            <w:tcW w:w="1240" w:type="dxa"/>
            <w:vAlign w:val="bottom"/>
          </w:tcPr>
          <w:p>
            <w:pPr>
              <w:jc w:val="right"/>
              <w:spacing w:after="0"/>
              <w:rPr>
                <w:sz w:val="20"/>
                <w:szCs w:val="20"/>
                <w:color w:val="auto"/>
              </w:rPr>
            </w:pPr>
            <w:r>
              <w:rPr>
                <w:rFonts w:ascii="Arial" w:cs="Arial" w:eastAsia="Arial" w:hAnsi="Arial"/>
                <w:sz w:val="16"/>
                <w:szCs w:val="16"/>
                <w:color w:val="auto"/>
              </w:rPr>
              <w:t>2,005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w:t>
            </w:r>
          </w:p>
        </w:tc>
        <w:tc>
          <w:tcPr>
            <w:tcW w:w="0" w:type="dxa"/>
            <w:vAlign w:val="bottom"/>
          </w:tcPr>
          <w:p>
            <w:pPr>
              <w:spacing w:after="0"/>
              <w:rPr>
                <w:sz w:val="1"/>
                <w:szCs w:val="1"/>
                <w:color w:val="auto"/>
              </w:rPr>
            </w:pPr>
          </w:p>
        </w:tc>
      </w:tr>
      <w:tr>
        <w:trPr>
          <w:trHeight w:val="235"/>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Non-vested as of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right="240" w:firstLine="445"/>
        <w:spacing w:after="0" w:line="271" w:lineRule="auto"/>
        <w:rPr>
          <w:sz w:val="20"/>
          <w:szCs w:val="20"/>
          <w:color w:val="auto"/>
        </w:rPr>
      </w:pPr>
      <w:r>
        <w:rPr>
          <w:rFonts w:ascii="Arial" w:cs="Arial" w:eastAsia="Arial" w:hAnsi="Arial"/>
          <w:sz w:val="18"/>
          <w:szCs w:val="18"/>
          <w:color w:val="auto"/>
        </w:rPr>
        <w:t>The weighted-average fair value of restricted stock units awarded was $43.70 and $41.01 per unit during the three and nine months ended December 31, 2020, and $46.21 and $46.60 per unit during the three and nine months ended December 31, 2019. The weighted-average fair value of awards includes the awards with a market condition described below.</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the nine months ended December 31, 2020, we granted 299 market performance stock units to certain executives. The vesting of these awards is contingent upon us meeting certain total shareholder return ("TSR") levels as compared to the Russell 3000 market index over the next three years. The awards vest in three annual tranches and have a maximum potential to vest at 200% (598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nine months ended December 31, 2020 was $36.76 per unit. The awards are included in the restricted stock unit table above.</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Employee Stock Purchase Plan (the "Purchase Plan") is a shareholder approved plan under which substantially all employees may purchase Commvault’s common stock through payroll deductions at a price equal to 85% of the lower of the fair market values of the stock as of the beginning or the end of the six-month offering periods. An employee’s payroll deductions under the Purchase Plan are limited to 10% of the employee’s salary and employees may not purchase more than $25 of stock during any calendar year. Employees purchased 129 shares in exchange for $4,652 of proceeds in the nine months ended December 31, 2020 and 136 shares in exchange for $4,833 in the nine months ended December 31, 2019. The total expense associated with the Purchase Plan was $2,528 for the nine months ended December 31, 2020 and $2,243 for the nine months ended December 31, 2019.</w:t>
      </w:r>
    </w:p>
    <w:p>
      <w:pPr>
        <w:spacing w:after="0" w:line="12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00B2A9"/>
        </w:rPr>
      </w:pPr>
      <w:r>
        <w:rPr>
          <w:rFonts w:ascii="Arial" w:cs="Arial" w:eastAsia="Arial" w:hAnsi="Arial"/>
          <w:sz w:val="18"/>
          <w:szCs w:val="18"/>
          <w:b w:val="1"/>
          <w:bCs w:val="1"/>
          <w:color w:val="00B2A9"/>
        </w:rPr>
        <w:t>Income Taxes</w:t>
      </w:r>
    </w:p>
    <w:p>
      <w:pPr>
        <w:spacing w:after="0" w:line="173"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Income tax expense was $5,373 in the nine months ended December 31, 2020 compared to expense of $3,528 in the nine months ended December 31, 2019. In the fourth quarter of fiscal 2020, we recorded a current tax benefit of approximately $10,000 which represented our estimate of the net operating loss carryback resulting from the CARES Act. In the first quarter of fiscal 2021, we recorded an adjustment of $3,200 to reduce the current benefit of the net operating loss carryback benefit we will realize from the CARES Act. In fiscal 2018, we determined that it was more likely than not that we will not realize the benefits of our gross deferred tax assets and therefore recorded a valuation allowance to reduce the carrying value of these gross deferred tax assets, net of the impact of the reversal of taxable temporary differences, to zero. Our position remains unchanged with respect to the realizability of our deferred tax assets as of December 31, 2020.</w:t>
      </w:r>
    </w:p>
    <w:p>
      <w:pPr>
        <w:spacing w:after="0" w:line="36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00B2A9"/>
        </w:rPr>
      </w:pPr>
      <w:r>
        <w:rPr>
          <w:rFonts w:ascii="Arial" w:cs="Arial" w:eastAsia="Arial" w:hAnsi="Arial"/>
          <w:sz w:val="18"/>
          <w:szCs w:val="18"/>
          <w:b w:val="1"/>
          <w:bCs w:val="1"/>
          <w:color w:val="00B2A9"/>
        </w:rPr>
        <w:t>Restructuring</w:t>
      </w:r>
    </w:p>
    <w:p>
      <w:pPr>
        <w:spacing w:after="0" w:line="173" w:lineRule="exact"/>
        <w:rPr>
          <w:sz w:val="20"/>
          <w:szCs w:val="20"/>
          <w:color w:val="auto"/>
        </w:rPr>
      </w:pPr>
    </w:p>
    <w:p>
      <w:pPr>
        <w:ind w:right="140" w:firstLine="445"/>
        <w:spacing w:after="0" w:line="264" w:lineRule="auto"/>
        <w:rPr>
          <w:sz w:val="20"/>
          <w:szCs w:val="20"/>
          <w:color w:val="auto"/>
        </w:rPr>
      </w:pPr>
      <w:r>
        <w:rPr>
          <w:rFonts w:ascii="Arial" w:cs="Arial" w:eastAsia="Arial" w:hAnsi="Arial"/>
          <w:sz w:val="18"/>
          <w:szCs w:val="18"/>
          <w:color w:val="auto"/>
        </w:rPr>
        <w:t>Our restructuring plan, initiated in the first quarter of fiscal 2019, is aimed to increase efficiency in our sales, marketing and distribution functions as well as reduce costs across all functional areas. These restructuring charges relate primarily to severance and related costs associated with headcount reductions, stock-based compensation related to modifications of existing unvested awards granted to certain employees impacted by the restructuring plan and lease abandonment charges.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and nine months ended December 31, 2020 and 2019, restructuring charges were comprised of the following:</w:t>
      </w:r>
    </w:p>
    <w:p>
      <w:pPr>
        <w:spacing w:after="0" w:line="295" w:lineRule="exact"/>
        <w:rPr>
          <w:sz w:val="20"/>
          <w:szCs w:val="20"/>
          <w:color w:val="auto"/>
        </w:rPr>
      </w:pPr>
    </w:p>
    <w:tbl>
      <w:tblPr>
        <w:tblLayout w:type="fixed"/>
        <w:tblInd w:w="840" w:type="dxa"/>
        <w:tblCellMar>
          <w:top w:w="0" w:type="dxa"/>
          <w:left w:w="0" w:type="dxa"/>
          <w:bottom w:w="0" w:type="dxa"/>
          <w:right w:w="0" w:type="dxa"/>
        </w:tblCellMar>
      </w:tblPr>
      <w:tr>
        <w:trPr>
          <w:trHeight w:val="223"/>
        </w:trPr>
        <w:tc>
          <w:tcPr>
            <w:tcW w:w="3740" w:type="dxa"/>
            <w:vAlign w:val="bottom"/>
          </w:tcPr>
          <w:p>
            <w:pPr>
              <w:spacing w:after="0"/>
              <w:rPr>
                <w:sz w:val="19"/>
                <w:szCs w:val="19"/>
                <w:color w:val="auto"/>
              </w:rPr>
            </w:pPr>
          </w:p>
        </w:tc>
        <w:tc>
          <w:tcPr>
            <w:tcW w:w="296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20" w:type="dxa"/>
            <w:vAlign w:val="bottom"/>
          </w:tcPr>
          <w:p>
            <w:pPr>
              <w:spacing w:after="0"/>
              <w:rPr>
                <w:sz w:val="19"/>
                <w:szCs w:val="19"/>
                <w:color w:val="auto"/>
              </w:rPr>
            </w:pPr>
          </w:p>
        </w:tc>
        <w:tc>
          <w:tcPr>
            <w:tcW w:w="27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Nine Months Ended December 31,</w:t>
            </w:r>
          </w:p>
        </w:tc>
      </w:tr>
      <w:tr>
        <w:trPr>
          <w:trHeight w:val="210"/>
        </w:trPr>
        <w:tc>
          <w:tcPr>
            <w:tcW w:w="37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Employee severance and related costs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15,074</w:t>
            </w:r>
          </w:p>
        </w:tc>
      </w:tr>
      <w:tr>
        <w:trPr>
          <w:trHeight w:val="216"/>
        </w:trPr>
        <w:tc>
          <w:tcPr>
            <w:tcW w:w="3740" w:type="dxa"/>
            <w:vAlign w:val="bottom"/>
          </w:tcPr>
          <w:p>
            <w:pPr>
              <w:spacing w:after="0" w:line="216" w:lineRule="exact"/>
              <w:rPr>
                <w:sz w:val="20"/>
                <w:szCs w:val="20"/>
                <w:color w:val="auto"/>
              </w:rPr>
            </w:pPr>
            <w:r>
              <w:rPr>
                <w:rFonts w:ascii="Arial" w:cs="Arial" w:eastAsia="Arial" w:hAnsi="Arial"/>
                <w:sz w:val="16"/>
                <w:szCs w:val="16"/>
                <w:color w:val="auto"/>
              </w:rPr>
              <w:t xml:space="preserve">Lease impairments and related costs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w:t>
            </w:r>
          </w:p>
        </w:tc>
      </w:tr>
      <w:tr>
        <w:trPr>
          <w:trHeight w:val="209"/>
        </w:trPr>
        <w:tc>
          <w:tcPr>
            <w:tcW w:w="3740" w:type="dxa"/>
            <w:vAlign w:val="bottom"/>
          </w:tcPr>
          <w:p>
            <w:pPr>
              <w:spacing w:after="0"/>
              <w:rPr>
                <w:sz w:val="20"/>
                <w:szCs w:val="20"/>
                <w:color w:val="auto"/>
              </w:rPr>
            </w:pPr>
            <w:r>
              <w:rPr>
                <w:rFonts w:ascii="Arial" w:cs="Arial" w:eastAsia="Arial" w:hAnsi="Arial"/>
                <w:sz w:val="16"/>
                <w:szCs w:val="16"/>
                <w:color w:val="auto"/>
              </w:rPr>
              <w:t>Total restructuring charges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19,709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18,951</w:t>
            </w:r>
          </w:p>
        </w:tc>
      </w:tr>
      <w:tr>
        <w:trPr>
          <w:trHeight w:val="21"/>
        </w:trPr>
        <w:tc>
          <w:tcPr>
            <w:tcW w:w="3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660" w:right="380" w:hanging="4"/>
        <w:spacing w:after="0" w:line="283" w:lineRule="auto"/>
        <w:tabs>
          <w:tab w:leader="none" w:pos="835"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Lease impairment charges for the three and nine months ended December 31, 2020 relate to one and six offices, respectively. Lease impairment charges for the three and nine months ended December 31, 2019 relate to two and five offices, respectively.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accruals</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in our restructuring accruals for the nine months ended December 31, 2020 is as follows:</w:t>
      </w:r>
    </w:p>
    <w:p>
      <w:pPr>
        <w:spacing w:after="0" w:line="147" w:lineRule="exact"/>
        <w:rPr>
          <w:sz w:val="20"/>
          <w:szCs w:val="20"/>
          <w:color w:val="auto"/>
        </w:rPr>
      </w:pPr>
    </w:p>
    <w:tbl>
      <w:tblPr>
        <w:tblLayout w:type="fixed"/>
        <w:tblInd w:w="2380" w:type="dxa"/>
        <w:tblCellMar>
          <w:top w:w="0" w:type="dxa"/>
          <w:left w:w="0" w:type="dxa"/>
          <w:bottom w:w="0" w:type="dxa"/>
          <w:right w:w="0" w:type="dxa"/>
        </w:tblCellMar>
      </w:tblPr>
      <w:tr>
        <w:trPr>
          <w:trHeight w:val="223"/>
        </w:trPr>
        <w:tc>
          <w:tcPr>
            <w:tcW w:w="5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r>
      <w:tr>
        <w:trPr>
          <w:trHeight w:val="216"/>
        </w:trPr>
        <w:tc>
          <w:tcPr>
            <w:tcW w:w="5720" w:type="dxa"/>
            <w:vAlign w:val="bottom"/>
          </w:tcPr>
          <w:p>
            <w:pPr>
              <w:ind w:left="20"/>
              <w:spacing w:after="0"/>
              <w:rPr>
                <w:sz w:val="20"/>
                <w:szCs w:val="20"/>
                <w:color w:val="auto"/>
              </w:rPr>
            </w:pPr>
            <w:r>
              <w:rPr>
                <w:rFonts w:ascii="Arial" w:cs="Arial" w:eastAsia="Arial" w:hAnsi="Arial"/>
                <w:sz w:val="16"/>
                <w:szCs w:val="16"/>
                <w:color w:val="auto"/>
              </w:rPr>
              <w:t>Employee severance and related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16,547</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(13,243)</w:t>
            </w:r>
          </w:p>
        </w:tc>
      </w:tr>
      <w:tr>
        <w:trPr>
          <w:trHeight w:val="209"/>
        </w:trPr>
        <w:tc>
          <w:tcPr>
            <w:tcW w:w="5720" w:type="dxa"/>
            <w:vAlign w:val="bottom"/>
          </w:tcPr>
          <w:p>
            <w:pPr>
              <w:ind w:left="20"/>
              <w:spacing w:after="0"/>
              <w:rPr>
                <w:sz w:val="20"/>
                <w:szCs w:val="20"/>
                <w:color w:val="auto"/>
              </w:rPr>
            </w:pPr>
            <w:r>
              <w:rPr>
                <w:rFonts w:ascii="Arial" w:cs="Arial" w:eastAsia="Arial" w:hAnsi="Arial"/>
                <w:sz w:val="16"/>
                <w:szCs w:val="16"/>
                <w:color w:val="auto"/>
              </w:rPr>
              <w:t>Balance as of December 31, 2020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5,835</w:t>
            </w: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B2A9"/>
        </w:rPr>
        <w:t>Item 2 - Management’s Discussion and Analysis of Financial Condition and Results of Operations</w:t>
      </w:r>
    </w:p>
    <w:p>
      <w:pPr>
        <w:spacing w:after="0" w:line="121" w:lineRule="exact"/>
        <w:rPr>
          <w:sz w:val="20"/>
          <w:szCs w:val="20"/>
          <w:color w:val="auto"/>
        </w:rPr>
      </w:pPr>
    </w:p>
    <w:p>
      <w:pPr>
        <w:ind w:right="140" w:firstLine="445"/>
        <w:spacing w:after="0" w:line="258"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2020. Our actual results may differ materially from those contained in or implied by any forward-looking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Overview</w:t>
      </w:r>
    </w:p>
    <w:p>
      <w:pPr>
        <w:spacing w:after="0" w:line="254"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Commvault is a leading provider of data protection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We also sell appliances that integrate the Commvault software with hardware and address a wide-range of business needs and use cases, ranging from support for remote or branch offices with limited IT staff up to large corporate data centers. Commvault also provides customers with a broad range of professional services that are delivered by our worldwide support and field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Sources of Revenues</w:t>
      </w:r>
    </w:p>
    <w:p>
      <w:pPr>
        <w:spacing w:after="0" w:line="104" w:lineRule="exact"/>
        <w:rPr>
          <w:sz w:val="20"/>
          <w:szCs w:val="20"/>
          <w:color w:val="auto"/>
        </w:rPr>
      </w:pPr>
    </w:p>
    <w:p>
      <w:pPr>
        <w:ind w:right="80" w:firstLine="445"/>
        <w:spacing w:after="0" w:line="260"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and related appliance products. We do not customize our software or products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45% and 41% of our total revenues for the nine months ended December 31, 2020 and 2019, respectively.</w:t>
      </w:r>
    </w:p>
    <w:p>
      <w:pPr>
        <w:spacing w:after="0" w:line="121"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8"/>
          <w:szCs w:val="18"/>
          <w:color w:val="auto"/>
        </w:rPr>
        <w:t>Our total software and products revenue in any particular period is, to a certain extent, dependent upon our ability to generate revenues from large customer software and products deals. Larger deals (transactions greater than $0.1 million) represented 69% and 64% of our total software and products revenue in the nine months ended December 31, 2020 and 2019, respectively.</w:t>
      </w:r>
    </w:p>
    <w:p>
      <w:pPr>
        <w:spacing w:after="0" w:line="10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Software and products revenue generated through indirect distribution channels accounted for over 90% of total software and products revenue in both the nine months ended December 31, 2020 and 2019. Software and products revenue generated through direct distribution channels accounted for less than 10% of total software and products revenue in both the nine months ended December 31, 2020 and 2019. The dollar value of software and products revenue generated through indirect distribution channels increased $28.4 million in the nine months ended December 31, 2020 compared to the nine months ended December 31, 2019. The dollar value of software and products revenue generated through direct distribution channels increased $0.1 million in the nine months ended December 31, 2020 compared to the nine months ended December 31, 2019.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31"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We also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36% and 37% of our total revenues through Arrow in the nine months ended December 31, 2020 and 2019, respectively. If Arrow were to discontinue or reduce the sales of our products,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19" w:name="page20"/>
    <w:bookmarkEnd w:id="19"/>
    <w:p>
      <w:pPr>
        <w:ind w:right="200"/>
        <w:spacing w:after="0" w:line="292" w:lineRule="auto"/>
        <w:rPr>
          <w:sz w:val="20"/>
          <w:szCs w:val="20"/>
          <w:color w:val="auto"/>
        </w:rPr>
      </w:pPr>
      <w:r>
        <w:rPr>
          <w:rFonts w:ascii="Arial" w:cs="Arial" w:eastAsia="Arial" w:hAnsi="Arial"/>
          <w:sz w:val="18"/>
          <w:szCs w:val="18"/>
          <w:color w:val="auto"/>
        </w:rPr>
        <w:t>or if our agreement with Arrow was terminated, and if we were unable to take back the management of our reseller channel or find another North American distributor to replace Arrow, then it would have a material adverse effect on our future business.</w:t>
      </w:r>
    </w:p>
    <w:p>
      <w:pPr>
        <w:spacing w:after="0" w:line="90"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Our services revenue was 55% of our total revenues for the nine months ended December 31, 2020 and 59% of our total revenues for the nine months ended December 31, 2019.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newly launched software-as-a-service solution, branded Metallic, is also included in services revenue. Revenue from Metallic is recognized ratably over the contract period.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Foreign Currency Exchange Rates’ Impact on Results of Operations</w:t>
      </w:r>
    </w:p>
    <w:p>
      <w:pPr>
        <w:spacing w:after="0" w:line="173" w:lineRule="exact"/>
        <w:rPr>
          <w:sz w:val="20"/>
          <w:szCs w:val="20"/>
          <w:color w:val="auto"/>
        </w:rPr>
      </w:pPr>
    </w:p>
    <w:p>
      <w:pPr>
        <w:ind w:right="80" w:firstLine="445"/>
        <w:spacing w:after="0" w:line="258" w:lineRule="auto"/>
        <w:rPr>
          <w:sz w:val="20"/>
          <w:szCs w:val="20"/>
          <w:color w:val="auto"/>
        </w:rPr>
      </w:pPr>
      <w:r>
        <w:rPr>
          <w:rFonts w:ascii="Arial" w:cs="Arial" w:eastAsia="Arial" w:hAnsi="Arial"/>
          <w:sz w:val="18"/>
          <w:szCs w:val="18"/>
          <w:color w:val="auto"/>
        </w:rPr>
        <w:t>Sales outside the United States were 48% of our total revenue for the nine months ended December 31, 2020 and 49% of our total revenue for the nine months ended December 31, 2019.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23"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Using the average foreign currency exchange rates from the three months ended December 31, 2019, our software and products revenue would have been lower by $2.8 million, our services revenue would have been lower by $2.5 million, our cost of sales would have been lower by $0.6 million and our operating expenses would have been lower by $1.7 million from non-U.S. operations for the three months ended December 31, 2020. Using the average foreign currency exchange rates for the nine months ended December 31, 2019, our software and products revenue would have been lower by $3.5 million, our services revenue would have been lower by $2.9 million, our cost of sales would have been lower by $0.8 million and our operating expenses would have been lower by $1.5 million from non-U.S. operations for the nine months ended December 31, 2020.</w:t>
      </w:r>
    </w:p>
    <w:p>
      <w:pPr>
        <w:spacing w:after="0" w:line="122" w:lineRule="exact"/>
        <w:rPr>
          <w:sz w:val="20"/>
          <w:szCs w:val="20"/>
          <w:color w:val="auto"/>
        </w:rPr>
      </w:pPr>
    </w:p>
    <w:p>
      <w:pPr>
        <w:ind w:right="40" w:firstLine="445"/>
        <w:spacing w:after="0" w:line="260"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$0.5 million and $ 1.7 million for the three and nine months ended December 31, 2020, respectively. We recognized net foreign currency transaction losses of $0.1 million and $0.2 million for the three and nine months ended December 31, 2019, respectively.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B2A9"/>
        </w:rPr>
        <w:t>Critical Accounting Policies</w:t>
      </w:r>
    </w:p>
    <w:p>
      <w:pPr>
        <w:spacing w:after="0" w:line="173"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460" w:firstLine="445"/>
        <w:spacing w:after="0" w:line="264"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15" w:lineRule="exact"/>
        <w:rPr>
          <w:sz w:val="20"/>
          <w:szCs w:val="20"/>
          <w:color w:val="auto"/>
        </w:rPr>
      </w:pPr>
    </w:p>
    <w:p>
      <w:pPr>
        <w:ind w:left="1940" w:hanging="231"/>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1940" w:hanging="231"/>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71" w:lineRule="exact"/>
        <w:rPr>
          <w:rFonts w:ascii="Arial" w:cs="Arial" w:eastAsia="Arial" w:hAnsi="Arial"/>
          <w:sz w:val="18"/>
          <w:szCs w:val="18"/>
          <w:color w:val="auto"/>
        </w:rPr>
      </w:pPr>
    </w:p>
    <w:p>
      <w:pPr>
        <w:ind w:left="1940" w:hanging="231"/>
        <w:spacing w:after="0"/>
        <w:tabs>
          <w:tab w:leader="none" w:pos="1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 and Purchased Intangible Assets</w:t>
      </w:r>
    </w:p>
    <w:p>
      <w:pPr>
        <w:spacing w:after="0" w:line="171" w:lineRule="exact"/>
        <w:rPr>
          <w:sz w:val="20"/>
          <w:szCs w:val="20"/>
          <w:color w:val="auto"/>
        </w:rPr>
      </w:pPr>
    </w:p>
    <w:p>
      <w:pPr>
        <w:ind w:right="220" w:firstLine="445"/>
        <w:spacing w:after="0" w:line="271" w:lineRule="auto"/>
        <w:rPr>
          <w:sz w:val="20"/>
          <w:szCs w:val="20"/>
          <w:color w:val="auto"/>
        </w:rPr>
      </w:pPr>
      <w:r>
        <w:rPr>
          <w:rFonts w:ascii="Arial" w:cs="Arial" w:eastAsia="Arial" w:hAnsi="Arial"/>
          <w:sz w:val="18"/>
          <w:szCs w:val="18"/>
          <w:color w:val="auto"/>
        </w:rPr>
        <w:t>There have been no significant changes in our critical accounting policies during the nine months ended December 31, 2020 as compared to the critical accounting policies and estimates disclosed in “Management’s Discussion and Analysis of Financial Condition and Results of Operations - Critical Accounting Policies” included in our Annual Report on Form 10-K for the year ended March 31, 2020.</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B2A9"/>
        </w:rPr>
        <w:t>Results of Operations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2020 compared to three months ended December 31, 2019</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70485</wp:posOffset>
            </wp:positionV>
            <wp:extent cx="5657850" cy="1499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revenues increased $11.6 million, or 7%.</w:t>
      </w:r>
    </w:p>
    <w:p>
      <w:pPr>
        <w:spacing w:after="0" w:line="90" w:lineRule="exact"/>
        <w:rPr>
          <w:sz w:val="20"/>
          <w:szCs w:val="20"/>
          <w:color w:val="auto"/>
        </w:rPr>
      </w:pPr>
    </w:p>
    <w:p>
      <w:pPr>
        <w:ind w:left="1300" w:right="260" w:hanging="118"/>
        <w:spacing w:after="0" w:line="292" w:lineRule="auto"/>
        <w:tabs>
          <w:tab w:leader="none" w:pos="1295"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Software and products revenue represented 47% of our total revenue in the three months ended December 31, 2020 and 43% of our total revenue in the three months ended December 31, 2019.</w:t>
      </w:r>
    </w:p>
    <w:p>
      <w:pPr>
        <w:spacing w:after="0" w:line="22" w:lineRule="exact"/>
        <w:rPr>
          <w:rFonts w:ascii="Arial" w:cs="Arial" w:eastAsia="Arial" w:hAnsi="Arial"/>
          <w:sz w:val="18"/>
          <w:szCs w:val="18"/>
          <w:i w:val="1"/>
          <w:iCs w:val="1"/>
          <w:color w:val="auto"/>
        </w:rPr>
      </w:pPr>
    </w:p>
    <w:p>
      <w:pPr>
        <w:ind w:left="1300" w:right="20" w:hanging="118"/>
        <w:spacing w:after="0" w:line="271" w:lineRule="auto"/>
        <w:tabs>
          <w:tab w:leader="none" w:pos="1295"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Larger deal revenue (deals greater than $0.1 million) represented 68% of our software and products revenue in the three months ended December 31, 2020 and 66% of our software and products revenue in the three months ended December 31, 2019.</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–Software and products revenue increased $12.0 million, or 16%, as a result of the following:</w:t>
      </w:r>
    </w:p>
    <w:p>
      <w:pPr>
        <w:spacing w:after="0" w:line="90" w:lineRule="exact"/>
        <w:rPr>
          <w:sz w:val="20"/>
          <w:szCs w:val="20"/>
          <w:color w:val="auto"/>
        </w:rPr>
      </w:pPr>
    </w:p>
    <w:p>
      <w:pPr>
        <w:ind w:left="1300" w:hanging="118"/>
        <w:spacing w:after="0"/>
        <w:tabs>
          <w:tab w:leader="none" w:pos="1300" w:val="left"/>
        </w:tabs>
        <w:numPr>
          <w:ilvl w:val="2"/>
          <w:numId w:val="13"/>
        </w:numPr>
        <w:rPr>
          <w:rFonts w:ascii="Arial" w:cs="Arial" w:eastAsia="Arial" w:hAnsi="Arial"/>
          <w:sz w:val="18"/>
          <w:szCs w:val="18"/>
          <w:i w:val="1"/>
          <w:iCs w:val="1"/>
          <w:color w:val="auto"/>
        </w:rPr>
      </w:pPr>
      <w:r>
        <w:rPr>
          <w:rFonts w:ascii="Arial" w:cs="Arial" w:eastAsia="Arial" w:hAnsi="Arial"/>
          <w:sz w:val="18"/>
          <w:szCs w:val="18"/>
          <w:color w:val="auto"/>
        </w:rPr>
        <w:t>An increase of $9.5 million, or 19%, in larger deal revenue.</w:t>
      </w:r>
    </w:p>
    <w:p>
      <w:pPr>
        <w:spacing w:after="0" w:line="103" w:lineRule="exact"/>
        <w:rPr>
          <w:rFonts w:ascii="Arial" w:cs="Arial" w:eastAsia="Arial" w:hAnsi="Arial"/>
          <w:sz w:val="18"/>
          <w:szCs w:val="18"/>
          <w:i w:val="1"/>
          <w:iCs w:val="1"/>
          <w:color w:val="auto"/>
        </w:rPr>
      </w:pPr>
    </w:p>
    <w:p>
      <w:pPr>
        <w:ind w:left="1300" w:right="1040" w:hanging="118"/>
        <w:spacing w:after="0" w:line="292" w:lineRule="auto"/>
        <w:tabs>
          <w:tab w:leader="none" w:pos="1295" w:val="left"/>
        </w:tabs>
        <w:numPr>
          <w:ilvl w:val="2"/>
          <w:numId w:val="13"/>
        </w:numPr>
        <w:rPr>
          <w:rFonts w:ascii="Arial" w:cs="Arial" w:eastAsia="Arial" w:hAnsi="Arial"/>
          <w:sz w:val="18"/>
          <w:szCs w:val="18"/>
          <w:i w:val="1"/>
          <w:iCs w:val="1"/>
          <w:color w:val="auto"/>
        </w:rPr>
      </w:pPr>
      <w:r>
        <w:rPr>
          <w:rFonts w:ascii="Arial" w:cs="Arial" w:eastAsia="Arial" w:hAnsi="Arial"/>
          <w:sz w:val="18"/>
          <w:szCs w:val="18"/>
          <w:color w:val="auto"/>
        </w:rPr>
        <w:t>An increase of 3% in the volume of larger deal revenue transactions from 182 deals for the three months ended December 31, 2019 to 187 deals for the three months ended December 31, 2020.</w:t>
      </w:r>
    </w:p>
    <w:p>
      <w:pPr>
        <w:spacing w:after="0" w:line="22" w:lineRule="exact"/>
        <w:rPr>
          <w:rFonts w:ascii="Arial" w:cs="Arial" w:eastAsia="Arial" w:hAnsi="Arial"/>
          <w:sz w:val="18"/>
          <w:szCs w:val="18"/>
          <w:i w:val="1"/>
          <w:iCs w:val="1"/>
          <w:color w:val="auto"/>
        </w:rPr>
      </w:pPr>
    </w:p>
    <w:p>
      <w:pPr>
        <w:ind w:left="1300" w:hanging="118"/>
        <w:spacing w:after="0" w:line="292" w:lineRule="auto"/>
        <w:tabs>
          <w:tab w:leader="none" w:pos="1295" w:val="left"/>
        </w:tabs>
        <w:numPr>
          <w:ilvl w:val="2"/>
          <w:numId w:val="13"/>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$322 thousand and $279 thousand for the three months ended December 31, 2020 and 2019, representing a 15% increase respectively.</w:t>
      </w:r>
    </w:p>
    <w:p>
      <w:pPr>
        <w:spacing w:after="0" w:line="9" w:lineRule="exact"/>
        <w:rPr>
          <w:rFonts w:ascii="Arial" w:cs="Arial" w:eastAsia="Arial" w:hAnsi="Arial"/>
          <w:sz w:val="18"/>
          <w:szCs w:val="18"/>
          <w:i w:val="1"/>
          <w:iCs w:val="1"/>
          <w:color w:val="auto"/>
        </w:rPr>
      </w:pPr>
    </w:p>
    <w:p>
      <w:pPr>
        <w:ind w:left="1300" w:hanging="118"/>
        <w:spacing w:after="0"/>
        <w:tabs>
          <w:tab w:leader="none" w:pos="13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 increase of $2.5 million in transactions less than $0.1 million.</w:t>
      </w:r>
    </w:p>
    <w:p>
      <w:pPr>
        <w:spacing w:after="0" w:line="103" w:lineRule="exact"/>
        <w:rPr>
          <w:rFonts w:ascii="Arial" w:cs="Arial" w:eastAsia="Arial" w:hAnsi="Arial"/>
          <w:sz w:val="18"/>
          <w:szCs w:val="18"/>
          <w:color w:val="auto"/>
        </w:rPr>
      </w:pPr>
    </w:p>
    <w:p>
      <w:pPr>
        <w:ind w:left="660" w:hanging="162"/>
        <w:spacing w:after="0" w:line="292" w:lineRule="auto"/>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represented 53% of our total revenue in the three months ended December 31, 2020 and 57% of our total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three months ended December 31, 2019. Services revenue decreased $0.3 million primarily due to the following:</w:t>
      </w:r>
    </w:p>
    <w:p>
      <w:pPr>
        <w:spacing w:after="0" w:line="22" w:lineRule="exact"/>
        <w:rPr>
          <w:rFonts w:ascii="Arial" w:cs="Arial" w:eastAsia="Arial" w:hAnsi="Arial"/>
          <w:sz w:val="18"/>
          <w:szCs w:val="18"/>
          <w:color w:val="auto"/>
        </w:rPr>
      </w:pPr>
    </w:p>
    <w:p>
      <w:pPr>
        <w:ind w:left="1300" w:hanging="158"/>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decrease of $0.8 million in revenue from customer support agreements.</w:t>
      </w:r>
    </w:p>
    <w:p>
      <w:pPr>
        <w:spacing w:after="0" w:line="90" w:lineRule="exact"/>
        <w:rPr>
          <w:rFonts w:ascii="Arial" w:cs="Arial" w:eastAsia="Arial" w:hAnsi="Arial"/>
          <w:sz w:val="18"/>
          <w:szCs w:val="18"/>
          <w:color w:val="auto"/>
        </w:rPr>
      </w:pPr>
    </w:p>
    <w:p>
      <w:pPr>
        <w:ind w:left="1300" w:hanging="158"/>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Partially offset by an increase of $0.5 million of revenue from Metallic, our SaaS based offering</w:t>
      </w:r>
    </w:p>
    <w:p>
      <w:pPr>
        <w:spacing w:after="0" w:line="104" w:lineRule="exact"/>
        <w:rPr>
          <w:sz w:val="20"/>
          <w:szCs w:val="20"/>
          <w:color w:val="auto"/>
        </w:rPr>
      </w:pPr>
    </w:p>
    <w:p>
      <w:pPr>
        <w:ind w:right="60" w:firstLine="445"/>
        <w:spacing w:after="0" w:line="284"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APJ (Australia, New Zealand, Southeast Asia, China, Japan). Americas, EMEA and APJ represented 49%, 38% and 13% of total software and products revenue, respectively, for the three months ended December 31, 2020. Software and products revenue increased year over year by 8% in the Americas, 15% in EMEA and 61% in APJ.</w:t>
      </w:r>
    </w:p>
    <w:p>
      <w:pPr>
        <w:spacing w:after="0" w:line="101" w:lineRule="exact"/>
        <w:rPr>
          <w:sz w:val="20"/>
          <w:szCs w:val="20"/>
          <w:color w:val="auto"/>
        </w:rPr>
      </w:pPr>
    </w:p>
    <w:p>
      <w:pPr>
        <w:ind w:left="660" w:right="500" w:hanging="328"/>
        <w:spacing w:after="0" w:line="292"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primarily the result of a 10% increase in larger deal transactions revenue driven by an increase in the volume of larger deal transactions.</w:t>
      </w:r>
    </w:p>
    <w:p>
      <w:pPr>
        <w:spacing w:after="0" w:line="90" w:lineRule="exact"/>
        <w:rPr>
          <w:rFonts w:ascii="Arial" w:cs="Arial" w:eastAsia="Arial" w:hAnsi="Arial"/>
          <w:sz w:val="18"/>
          <w:szCs w:val="18"/>
          <w:color w:val="auto"/>
        </w:rPr>
      </w:pPr>
    </w:p>
    <w:p>
      <w:pPr>
        <w:ind w:left="660" w:right="660" w:hanging="328"/>
        <w:spacing w:after="0" w:line="292"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EMEA software and products revenue increased as a result of a 23% increase in revenue on deals under $0.1 million. Using exchange rates from the prior year, the increase in software and products revenue would have been 8%.</w:t>
      </w:r>
    </w:p>
    <w:p>
      <w:pPr>
        <w:spacing w:after="0" w:line="90" w:lineRule="exact"/>
        <w:rPr>
          <w:rFonts w:ascii="Arial" w:cs="Arial" w:eastAsia="Arial" w:hAnsi="Arial"/>
          <w:sz w:val="18"/>
          <w:szCs w:val="18"/>
          <w:color w:val="auto"/>
        </w:rPr>
      </w:pPr>
    </w:p>
    <w:p>
      <w:pPr>
        <w:jc w:val="both"/>
        <w:ind w:left="660" w:right="340" w:hanging="328"/>
        <w:spacing w:after="0" w:line="271"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APJ was the result of larger deal transactions increasing more than two times over the prior year period, partially offset by a decrease in deals under $0.1 million. Using exchange rates from the prior year, the increase in software and products revenue would have been 52%.</w:t>
      </w:r>
    </w:p>
    <w:p>
      <w:pPr>
        <w:spacing w:after="0" w:line="190" w:lineRule="exact"/>
        <w:rPr>
          <w:sz w:val="20"/>
          <w:szCs w:val="20"/>
          <w:color w:val="auto"/>
        </w:rPr>
      </w:pPr>
    </w:p>
    <w:p>
      <w:pPr>
        <w:ind w:firstLine="445"/>
        <w:spacing w:after="0" w:line="292"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ectPr>
          <w:pgSz w:w="11900" w:h="16838" w:orient="portrait"/>
          <w:cols w:equalWidth="0" w:num="1">
            <w:col w:w="11200"/>
          </w:cols>
          <w:pgMar w:left="320" w:top="1046" w:right="37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6" w:right="3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233045</wp:posOffset>
            </wp:positionV>
            <wp:extent cx="5726430" cy="3051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2643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hanging="324"/>
        <w:spacing w:after="0" w:line="292" w:lineRule="auto"/>
        <w:rPr>
          <w:sz w:val="20"/>
          <w:szCs w:val="20"/>
          <w:color w:val="auto"/>
        </w:rPr>
      </w:pPr>
      <w:r>
        <w:rPr>
          <w:rFonts w:ascii="Arial" w:cs="Arial" w:eastAsia="Arial" w:hAnsi="Arial"/>
          <w:sz w:val="18"/>
          <w:szCs w:val="18"/>
          <w:color w:val="auto"/>
        </w:rPr>
        <w:t>– Total cost of revenues decreased $2.1 million, and represented 15% of our total revenues for the three months ended December 31, 2020 compared to 17% for the three months ended December 31, 2019.</w:t>
      </w:r>
    </w:p>
    <w:p>
      <w:pPr>
        <w:spacing w:after="0" w:line="9" w:lineRule="exact"/>
        <w:rPr>
          <w:sz w:val="20"/>
          <w:szCs w:val="20"/>
          <w:color w:val="auto"/>
        </w:rPr>
      </w:pPr>
    </w:p>
    <w:p>
      <w:pPr>
        <w:ind w:left="660" w:hanging="324"/>
        <w:spacing w:after="0" w:line="260" w:lineRule="auto"/>
        <w:rPr>
          <w:sz w:val="20"/>
          <w:szCs w:val="20"/>
          <w:color w:val="auto"/>
        </w:rPr>
      </w:pPr>
      <w:r>
        <w:rPr>
          <w:rFonts w:ascii="Arial" w:cs="Arial" w:eastAsia="Arial" w:hAnsi="Arial"/>
          <w:sz w:val="18"/>
          <w:szCs w:val="18"/>
          <w:color w:val="auto"/>
        </w:rPr>
        <w:t>– Cost of software and products revenue decreased $1.2 million, and represented 8% of our total software and products revenue for the three months ended December 31, 2020 compared to 11% for the three months ended December 31, 2019. The decrease is the result of reduced sales of hardware associated with our appliance as well as reduced software royalties associated with sales of HyperScale appliances and software. Beginning with the launch of HyperScale X, we will transition to a software only model. HyperScale X also has reduced software royalties relative to prior versions of HyperScale.</w:t>
      </w:r>
    </w:p>
    <w:p>
      <w:pPr>
        <w:spacing w:after="0" w:line="53" w:lineRule="exact"/>
        <w:rPr>
          <w:sz w:val="20"/>
          <w:szCs w:val="20"/>
          <w:color w:val="auto"/>
        </w:rPr>
      </w:pPr>
    </w:p>
    <w:p>
      <w:pPr>
        <w:ind w:left="660" w:right="240" w:hanging="324"/>
        <w:spacing w:after="0" w:line="271" w:lineRule="auto"/>
        <w:rPr>
          <w:sz w:val="20"/>
          <w:szCs w:val="20"/>
          <w:color w:val="auto"/>
        </w:rPr>
      </w:pPr>
      <w:r>
        <w:rPr>
          <w:rFonts w:ascii="Arial" w:cs="Arial" w:eastAsia="Arial" w:hAnsi="Arial"/>
          <w:sz w:val="18"/>
          <w:szCs w:val="18"/>
          <w:color w:val="auto"/>
        </w:rPr>
        <w:t>– Cost of services revenue decreased $0.9 million, representing 22% of our total services revenue for the three months ended December 31, 2020 compared to 23% for the three months ended December 31, 2019. The decline in cost of services revenue is primarily related to a decrease in employee-related expenses attributable to our restructuring and reorganization initiatives.</w:t>
      </w:r>
    </w:p>
    <w:p>
      <w:pPr>
        <w:sectPr>
          <w:pgSz w:w="11900" w:h="16838" w:orient="portrait"/>
          <w:cols w:equalWidth="0" w:num="1">
            <w:col w:w="11160"/>
          </w:cols>
          <w:pgMar w:left="320" w:top="113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31" w:right="4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78740</wp:posOffset>
            </wp:positionV>
            <wp:extent cx="5657850" cy="32658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Sales and marketing expenses remained relatively flat with a slight decrease of $0.1 million driven by:</w:t>
      </w:r>
    </w:p>
    <w:p>
      <w:pPr>
        <w:spacing w:after="0" w:line="90" w:lineRule="exact"/>
        <w:rPr>
          <w:sz w:val="20"/>
          <w:szCs w:val="20"/>
          <w:color w:val="auto"/>
        </w:rPr>
      </w:pPr>
    </w:p>
    <w:p>
      <w:pPr>
        <w:ind w:left="1080" w:right="280" w:hanging="118"/>
        <w:spacing w:after="0" w:line="292" w:lineRule="auto"/>
        <w:tabs>
          <w:tab w:leader="none" w:pos="10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Decrease in travel and related expenses as a result of COVID-19, partially offset by an increase in variable compensation associated with increased revenue.</w:t>
      </w:r>
    </w:p>
    <w:p>
      <w:pPr>
        <w:spacing w:after="0" w:line="22" w:lineRule="exact"/>
        <w:rPr>
          <w:rFonts w:ascii="Arial" w:cs="Arial" w:eastAsia="Arial" w:hAnsi="Arial"/>
          <w:sz w:val="18"/>
          <w:szCs w:val="18"/>
          <w:color w:val="auto"/>
        </w:rPr>
      </w:pPr>
    </w:p>
    <w:p>
      <w:pPr>
        <w:ind w:left="440" w:right="400" w:hanging="122"/>
        <w:spacing w:after="0" w:line="292" w:lineRule="auto"/>
        <w:rPr>
          <w:rFonts w:ascii="Arial" w:cs="Arial" w:eastAsia="Arial" w:hAnsi="Arial"/>
          <w:sz w:val="18"/>
          <w:szCs w:val="18"/>
          <w:color w:val="auto"/>
        </w:rPr>
      </w:pPr>
      <w:r>
        <w:rPr>
          <w:rFonts w:ascii="Arial" w:cs="Arial" w:eastAsia="Arial" w:hAnsi="Arial"/>
          <w:sz w:val="18"/>
          <w:szCs w:val="18"/>
          <w:color w:val="auto"/>
        </w:rPr>
        <w:t>– Research and development expenses increased $5.2 million, or 17%, as a result of an increase in employee compensation and related expenses attributable to the expansion of our engineering group.</w:t>
      </w:r>
    </w:p>
    <w:p>
      <w:pPr>
        <w:spacing w:after="0" w:line="22" w:lineRule="exact"/>
        <w:rPr>
          <w:rFonts w:ascii="Arial" w:cs="Arial" w:eastAsia="Arial" w:hAnsi="Arial"/>
          <w:sz w:val="18"/>
          <w:szCs w:val="18"/>
          <w:color w:val="auto"/>
        </w:rPr>
      </w:pPr>
    </w:p>
    <w:p>
      <w:pPr>
        <w:ind w:left="1080" w:hanging="118"/>
        <w:spacing w:after="0"/>
        <w:tabs>
          <w:tab w:leader="none" w:pos="1080" w:val="left"/>
        </w:tabs>
        <w:numPr>
          <w:ilvl w:val="1"/>
          <w:numId w:val="16"/>
        </w:numPr>
        <w:rPr>
          <w:rFonts w:ascii="Arial" w:cs="Arial" w:eastAsia="Arial" w:hAnsi="Arial"/>
          <w:sz w:val="18"/>
          <w:szCs w:val="18"/>
          <w:color w:val="auto"/>
          <w:strike w:val="1"/>
        </w:rPr>
      </w:pPr>
      <w:r>
        <w:rPr>
          <w:rFonts w:ascii="Arial" w:cs="Arial" w:eastAsia="Arial" w:hAnsi="Arial"/>
          <w:sz w:val="18"/>
          <w:szCs w:val="18"/>
          <w:color w:val="auto"/>
        </w:rPr>
        <w:t>Stock-based compensation increased $1.2 million compared to prior year.</w:t>
      </w:r>
    </w:p>
    <w:p>
      <w:pPr>
        <w:spacing w:after="0" w:line="90" w:lineRule="exact"/>
        <w:rPr>
          <w:rFonts w:ascii="Arial" w:cs="Arial" w:eastAsia="Arial" w:hAnsi="Arial"/>
          <w:sz w:val="18"/>
          <w:szCs w:val="18"/>
          <w:color w:val="auto"/>
          <w:strike w:val="1"/>
        </w:rPr>
      </w:pPr>
    </w:p>
    <w:p>
      <w:pPr>
        <w:ind w:left="1080" w:right="180" w:hanging="118"/>
        <w:spacing w:after="0" w:line="292" w:lineRule="auto"/>
        <w:tabs>
          <w:tab w:leader="none" w:pos="1075" w:val="left"/>
        </w:tabs>
        <w:numPr>
          <w:ilvl w:val="1"/>
          <w:numId w:val="16"/>
        </w:numPr>
        <w:rPr>
          <w:rFonts w:ascii="Arial" w:cs="Arial" w:eastAsia="Arial" w:hAnsi="Arial"/>
          <w:sz w:val="18"/>
          <w:szCs w:val="18"/>
          <w:color w:val="auto"/>
          <w:strike w:val="1"/>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22" w:lineRule="exact"/>
        <w:rPr>
          <w:rFonts w:ascii="Arial" w:cs="Arial" w:eastAsia="Arial" w:hAnsi="Arial"/>
          <w:sz w:val="18"/>
          <w:szCs w:val="18"/>
          <w:color w:val="auto"/>
          <w:strike w:val="1"/>
        </w:rPr>
      </w:pPr>
    </w:p>
    <w:p>
      <w:pPr>
        <w:ind w:left="320"/>
        <w:spacing w:after="0"/>
        <w:rPr>
          <w:rFonts w:ascii="Arial" w:cs="Arial" w:eastAsia="Arial" w:hAnsi="Arial"/>
          <w:sz w:val="18"/>
          <w:szCs w:val="18"/>
          <w:color w:val="auto"/>
          <w:strike w:val="1"/>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decreased $1.2 million, or 5%, primarily due to the following:</w:t>
      </w:r>
    </w:p>
    <w:p>
      <w:pPr>
        <w:spacing w:after="0" w:line="103" w:lineRule="exact"/>
        <w:rPr>
          <w:rFonts w:ascii="Arial" w:cs="Arial" w:eastAsia="Arial" w:hAnsi="Arial"/>
          <w:sz w:val="18"/>
          <w:szCs w:val="18"/>
          <w:color w:val="auto"/>
          <w:strike w:val="1"/>
        </w:rPr>
      </w:pPr>
    </w:p>
    <w:p>
      <w:pPr>
        <w:ind w:left="1080" w:hanging="118"/>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Reduction related to non-recurring prior year expenses associated with Hedvig acquisition costs.</w:t>
      </w:r>
    </w:p>
    <w:p>
      <w:pPr>
        <w:spacing w:after="0" w:line="90" w:lineRule="exact"/>
        <w:rPr>
          <w:rFonts w:ascii="Arial" w:cs="Arial" w:eastAsia="Arial" w:hAnsi="Arial"/>
          <w:sz w:val="18"/>
          <w:szCs w:val="18"/>
          <w:color w:val="auto"/>
        </w:rPr>
      </w:pPr>
    </w:p>
    <w:p>
      <w:pPr>
        <w:ind w:left="440" w:hanging="122"/>
        <w:spacing w:after="0" w:line="247" w:lineRule="auto"/>
        <w:rPr>
          <w:rFonts w:ascii="Arial" w:cs="Arial" w:eastAsia="Arial" w:hAnsi="Arial"/>
          <w:sz w:val="18"/>
          <w:szCs w:val="18"/>
          <w:color w:val="auto"/>
        </w:rPr>
      </w:pP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Restructuring: Our restructuring plan is intended to increase efficiency in our sales, marketing and distribution functions as well as reduce costs across all functional areas. Restructuring expenses were $11.6 million and $2.0 million in the three months ended December 31, 2020 and 2019, respectively. These restructuring charges relate primarily to severance and related costs associated with headcount reductions as well as lease abandonment charges related to the closure of one office in the third quarter of fiscal year 2021 and two offices in the third quarter of fiscal 2020. These charges include $1.2 million and $0.7 million in the three months ended December 31, 2020 and 2019, respectively,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65" w:lineRule="exact"/>
        <w:rPr>
          <w:sz w:val="20"/>
          <w:szCs w:val="20"/>
          <w:color w:val="auto"/>
        </w:rPr>
      </w:pPr>
    </w:p>
    <w:p>
      <w:pPr>
        <w:ind w:left="440" w:right="40" w:hanging="121"/>
        <w:spacing w:after="0" w:line="271" w:lineRule="auto"/>
        <w:rPr>
          <w:sz w:val="20"/>
          <w:szCs w:val="20"/>
          <w:color w:val="auto"/>
        </w:rPr>
      </w:pPr>
      <w:r>
        <w:rPr>
          <w:rFonts w:ascii="Arial" w:cs="Arial" w:eastAsia="Arial" w:hAnsi="Arial"/>
          <w:sz w:val="18"/>
          <w:szCs w:val="18"/>
          <w:color w:val="auto"/>
        </w:rPr>
        <w:t>–Depreciation and amortization expense decreased $3.1 million, from $5.4 million in the three months ended December 31, 2019 to $2.3 million in the three months ended December 31, 2020, driven by the reduced amortization of intangible assets related to Hedvig due to their impairment in the second quarter of fiscal 2021.</w:t>
      </w:r>
    </w:p>
    <w:p>
      <w:pPr>
        <w:sectPr>
          <w:pgSz w:w="11900" w:h="16838" w:orient="portrait"/>
          <w:cols w:equalWidth="0" w:num="1">
            <w:col w:w="11020"/>
          </w:cols>
          <w:pgMar w:left="540" w:top="13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95885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540" w:top="1307" w:right="339" w:bottom="1440" w:gutter="0" w:footer="0" w:header="0"/>
          <w:type w:val="continuous"/>
        </w:sectPr>
      </w:pPr>
    </w:p>
    <w:bookmarkStart w:id="24" w:name="page25"/>
    <w:bookmarkEnd w:id="24"/>
    <w:p>
      <w:pPr>
        <w:ind w:left="220"/>
        <w:spacing w:after="0"/>
        <w:rPr>
          <w:sz w:val="20"/>
          <w:szCs w:val="20"/>
          <w:color w:val="auto"/>
        </w:rPr>
      </w:pPr>
      <w:r>
        <w:rPr>
          <w:rFonts w:ascii="Arial" w:cs="Arial" w:eastAsia="Arial" w:hAnsi="Arial"/>
          <w:sz w:val="18"/>
          <w:szCs w:val="18"/>
          <w:i w:val="1"/>
          <w:iCs w:val="1"/>
          <w:color w:val="00B2A9"/>
        </w:rPr>
        <w:t>Income Tax Expense</w:t>
      </w:r>
    </w:p>
    <w:p>
      <w:pPr>
        <w:spacing w:after="0" w:line="102" w:lineRule="exact"/>
        <w:rPr>
          <w:sz w:val="20"/>
          <w:szCs w:val="20"/>
          <w:color w:val="auto"/>
        </w:rPr>
      </w:pPr>
    </w:p>
    <w:p>
      <w:pPr>
        <w:ind w:right="140" w:firstLine="445"/>
        <w:spacing w:after="0" w:line="271" w:lineRule="auto"/>
        <w:rPr>
          <w:sz w:val="20"/>
          <w:szCs w:val="20"/>
          <w:color w:val="auto"/>
        </w:rPr>
      </w:pPr>
      <w:r>
        <w:rPr>
          <w:rFonts w:ascii="Arial" w:cs="Arial" w:eastAsia="Arial" w:hAnsi="Arial"/>
          <w:sz w:val="18"/>
          <w:szCs w:val="18"/>
          <w:color w:val="auto"/>
        </w:rPr>
        <w:t>Income tax expense was $1.2 million in the three months ended December 31, 2020 compared to expense of $ 1.0 million in the three months ended December 31, 2019. The income tax expense for the three months ended December 31, 2020 relates primarily to current federal and foreign taxes.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2020 compared to nine months ended December 31, 2019</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78740</wp:posOffset>
            </wp:positionV>
            <wp:extent cx="5657850" cy="15005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revenues increased $26.0 million, or 5%.</w:t>
      </w:r>
    </w:p>
    <w:p>
      <w:pPr>
        <w:spacing w:after="0" w:line="104" w:lineRule="exact"/>
        <w:rPr>
          <w:sz w:val="20"/>
          <w:szCs w:val="20"/>
          <w:color w:val="auto"/>
        </w:rPr>
      </w:pPr>
    </w:p>
    <w:p>
      <w:pPr>
        <w:ind w:left="1300" w:right="320" w:hanging="118"/>
        <w:spacing w:after="0" w:line="292"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Software and products revenue represented 45% of our total revenue in the nine months ended December 31, 2020 and 41% of our total revenue in the nine months ended December 31, 2019.</w:t>
      </w:r>
    </w:p>
    <w:p>
      <w:pPr>
        <w:spacing w:after="0" w:line="9" w:lineRule="exact"/>
        <w:rPr>
          <w:rFonts w:ascii="Arial" w:cs="Arial" w:eastAsia="Arial" w:hAnsi="Arial"/>
          <w:sz w:val="18"/>
          <w:szCs w:val="18"/>
          <w:i w:val="1"/>
          <w:iCs w:val="1"/>
          <w:color w:val="auto"/>
        </w:rPr>
      </w:pPr>
    </w:p>
    <w:p>
      <w:pPr>
        <w:ind w:left="1300" w:right="80" w:hanging="118"/>
        <w:spacing w:after="0" w:line="271" w:lineRule="auto"/>
        <w:tabs>
          <w:tab w:leader="none" w:pos="1295"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Larger deal revenue (deals greater than $0.1 million) represented approximately 69% of our software and products revenue in the nine months ended December 31, 2020 and 64% of our software and products revenue in the nine months ended December 31, 2019.</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–Software and products revenue increased $28.6 million, or 14%, as a result of the following:</w:t>
      </w:r>
    </w:p>
    <w:p>
      <w:pPr>
        <w:spacing w:after="0" w:line="104" w:lineRule="exact"/>
        <w:rPr>
          <w:sz w:val="20"/>
          <w:szCs w:val="20"/>
          <w:color w:val="auto"/>
        </w:rPr>
      </w:pPr>
    </w:p>
    <w:p>
      <w:pPr>
        <w:ind w:left="1300" w:hanging="118"/>
        <w:spacing w:after="0"/>
        <w:tabs>
          <w:tab w:leader="none" w:pos="13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 increase of $29.3 million, or 22%, in larger deal revenue.</w:t>
      </w:r>
    </w:p>
    <w:p>
      <w:pPr>
        <w:spacing w:after="0" w:line="90" w:lineRule="exact"/>
        <w:rPr>
          <w:rFonts w:ascii="Arial" w:cs="Arial" w:eastAsia="Arial" w:hAnsi="Arial"/>
          <w:sz w:val="18"/>
          <w:szCs w:val="18"/>
          <w:color w:val="auto"/>
        </w:rPr>
      </w:pPr>
    </w:p>
    <w:p>
      <w:pPr>
        <w:ind w:left="1300" w:hanging="118"/>
        <w:spacing w:after="0" w:line="292" w:lineRule="auto"/>
        <w:tabs>
          <w:tab w:leader="none" w:pos="1295"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 increase of 6% in the number of larger deal revenue transactions and an increase of 15% in the average dollar amount of such transactions.</w:t>
      </w:r>
    </w:p>
    <w:p>
      <w:pPr>
        <w:spacing w:after="0" w:line="22" w:lineRule="exact"/>
        <w:rPr>
          <w:rFonts w:ascii="Arial" w:cs="Arial" w:eastAsia="Arial" w:hAnsi="Arial"/>
          <w:sz w:val="18"/>
          <w:szCs w:val="18"/>
          <w:color w:val="auto"/>
        </w:rPr>
      </w:pPr>
    </w:p>
    <w:p>
      <w:pPr>
        <w:ind w:left="1300" w:hanging="118"/>
        <w:spacing w:after="0" w:line="292" w:lineRule="auto"/>
        <w:tabs>
          <w:tab w:leader="none" w:pos="1295" w:val="left"/>
        </w:tabs>
        <w:numPr>
          <w:ilvl w:val="2"/>
          <w:numId w:val="18"/>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$344 thousand and $299 thousand for the nine months ended December 31, 2020 and 2019, respectively.</w:t>
      </w:r>
    </w:p>
    <w:p>
      <w:pPr>
        <w:spacing w:after="0" w:line="22" w:lineRule="exact"/>
        <w:rPr>
          <w:rFonts w:ascii="Arial" w:cs="Arial" w:eastAsia="Arial" w:hAnsi="Arial"/>
          <w:sz w:val="18"/>
          <w:szCs w:val="18"/>
          <w:i w:val="1"/>
          <w:iCs w:val="1"/>
          <w:color w:val="auto"/>
        </w:rPr>
      </w:pPr>
    </w:p>
    <w:p>
      <w:pPr>
        <w:ind w:left="660" w:right="80" w:hanging="162"/>
        <w:spacing w:after="0" w:line="314" w:lineRule="auto"/>
        <w:rPr>
          <w:rFonts w:ascii="Arial" w:cs="Arial" w:eastAsia="Arial" w:hAnsi="Arial"/>
          <w:sz w:val="18"/>
          <w:szCs w:val="18"/>
          <w:i w:val="1"/>
          <w:iCs w:val="1"/>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Services revenue represented 55% of our total revenue in the nine months ended December 31, 2020 and 59% of our total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nine months ended December 31, 2019. Services revenue decreased $2.6 million, or 1%, primarily due to the following:</w:t>
      </w:r>
    </w:p>
    <w:p>
      <w:pPr>
        <w:spacing w:after="0" w:line="1" w:lineRule="exact"/>
        <w:rPr>
          <w:rFonts w:ascii="Arial" w:cs="Arial" w:eastAsia="Arial" w:hAnsi="Arial"/>
          <w:sz w:val="18"/>
          <w:szCs w:val="18"/>
          <w:i w:val="1"/>
          <w:iCs w:val="1"/>
          <w:color w:val="auto"/>
        </w:rPr>
      </w:pPr>
    </w:p>
    <w:p>
      <w:pPr>
        <w:ind w:left="1300" w:hanging="158"/>
        <w:spacing w:after="0"/>
        <w:tabs>
          <w:tab w:leader="none" w:pos="1300" w:val="left"/>
        </w:tabs>
        <w:numPr>
          <w:ilvl w:val="1"/>
          <w:numId w:val="18"/>
        </w:numPr>
        <w:rPr>
          <w:rFonts w:ascii="Arial" w:cs="Arial" w:eastAsia="Arial" w:hAnsi="Arial"/>
          <w:sz w:val="18"/>
          <w:szCs w:val="18"/>
          <w:i w:val="1"/>
          <w:iCs w:val="1"/>
          <w:color w:val="auto"/>
        </w:rPr>
      </w:pPr>
      <w:r>
        <w:rPr>
          <w:rFonts w:ascii="Arial" w:cs="Arial" w:eastAsia="Arial" w:hAnsi="Arial"/>
          <w:sz w:val="18"/>
          <w:szCs w:val="18"/>
          <w:color w:val="auto"/>
        </w:rPr>
        <w:t>A decrease of $2.2 million in revenue from customer support agreements.</w:t>
      </w:r>
    </w:p>
    <w:p>
      <w:pPr>
        <w:spacing w:after="0" w:line="103" w:lineRule="exact"/>
        <w:rPr>
          <w:rFonts w:ascii="Arial" w:cs="Arial" w:eastAsia="Arial" w:hAnsi="Arial"/>
          <w:sz w:val="18"/>
          <w:szCs w:val="18"/>
          <w:i w:val="1"/>
          <w:iCs w:val="1"/>
          <w:color w:val="auto"/>
        </w:rPr>
      </w:pPr>
    </w:p>
    <w:p>
      <w:pPr>
        <w:ind w:left="1340" w:hanging="198"/>
        <w:spacing w:after="0"/>
        <w:tabs>
          <w:tab w:leader="none" w:pos="1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decrease of $0.4 million in training and consulting services.</w:t>
      </w:r>
    </w:p>
    <w:p>
      <w:pPr>
        <w:spacing w:after="0" w:line="333" w:lineRule="exact"/>
        <w:rPr>
          <w:sz w:val="20"/>
          <w:szCs w:val="20"/>
          <w:color w:val="auto"/>
        </w:rPr>
      </w:pPr>
    </w:p>
    <w:p>
      <w:pPr>
        <w:ind w:right="120" w:firstLine="445"/>
        <w:spacing w:after="0" w:line="260"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APJ (Australia, New Zealand, Southeast Asia, China, Japan). Americas, EMEA and APJ represented 56%, 31% and 13% of total software and products revenue, respectively, for the nine months ended December 31, 2020. Software and products revenue increased year over year by 24% in the Americas and 3% in EMEA; whereas APJ remained flat.</w:t>
      </w:r>
    </w:p>
    <w:p>
      <w:pPr>
        <w:spacing w:after="0" w:line="121" w:lineRule="exact"/>
        <w:rPr>
          <w:sz w:val="20"/>
          <w:szCs w:val="20"/>
          <w:color w:val="auto"/>
        </w:rPr>
      </w:pPr>
    </w:p>
    <w:p>
      <w:pPr>
        <w:ind w:left="660" w:right="420" w:hanging="328"/>
        <w:spacing w:after="0" w:line="292" w:lineRule="auto"/>
        <w:tabs>
          <w:tab w:leader="none" w:pos="656"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The increase in Americas software and products revenue was primarily the result of a 32% increase in revenue from larger deal transactions compared to the nine months ended December 31, 2019.</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EMEA software and products revenue increased as a result of a 6% increase in revenue on deals under $0.1 million.</w:t>
      </w:r>
    </w:p>
    <w:p>
      <w:pPr>
        <w:spacing w:after="0" w:line="171" w:lineRule="exact"/>
        <w:rPr>
          <w:rFonts w:ascii="Arial" w:cs="Arial" w:eastAsia="Arial" w:hAnsi="Arial"/>
          <w:sz w:val="18"/>
          <w:szCs w:val="18"/>
          <w:color w:val="auto"/>
        </w:rPr>
      </w:pPr>
    </w:p>
    <w:p>
      <w:pPr>
        <w:ind w:left="660" w:right="100" w:hanging="328"/>
        <w:spacing w:after="0" w:line="292" w:lineRule="auto"/>
        <w:tabs>
          <w:tab w:leader="none" w:pos="6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from larger deal transactions in APJ increased by $2.9 million; whereas transactions under $0.1 million decreased by $2.7 million resulting in nominal growth.</w:t>
      </w:r>
    </w:p>
    <w:p>
      <w:pPr>
        <w:sectPr>
          <w:pgSz w:w="11900" w:h="16838" w:orient="portrait"/>
          <w:cols w:equalWidth="0" w:num="1">
            <w:col w:w="11200"/>
          </w:cols>
          <w:pgMar w:left="320" w:top="13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type w:val="continuous"/>
        </w:sectPr>
      </w:pPr>
    </w:p>
    <w:bookmarkStart w:id="25" w:name="page26"/>
    <w:bookmarkEnd w:id="25"/>
    <w:p>
      <w:pPr>
        <w:ind w:firstLine="445"/>
        <w:spacing w:after="0" w:line="292"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233045</wp:posOffset>
            </wp:positionV>
            <wp:extent cx="5726430" cy="3051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2643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right="20" w:hanging="324"/>
        <w:spacing w:after="0" w:line="260" w:lineRule="auto"/>
        <w:rPr>
          <w:sz w:val="20"/>
          <w:szCs w:val="20"/>
          <w:color w:val="auto"/>
        </w:rPr>
      </w:pPr>
      <w:r>
        <w:rPr>
          <w:rFonts w:ascii="Arial" w:cs="Arial" w:eastAsia="Arial" w:hAnsi="Arial"/>
          <w:sz w:val="18"/>
          <w:szCs w:val="18"/>
          <w:color w:val="auto"/>
        </w:rPr>
        <w:t>– Total cost of revenues decreased $10.6 million, and represented 15% of our total revenues for the nine months ended December 31, 2020 compared to 18% for the nine months ended December 31, 2019. Temporary salary cuts during the first half of fiscal year 2021 related to COVID-19 resulted in savings of $1.1 million in cost of revenues. The remaining decrease is primarily due to a decrease in employee-related expenses attributable to our restructuring and reorganization initiatives and a decrease in cost of sales associated with our appliance.</w:t>
      </w:r>
    </w:p>
    <w:p>
      <w:pPr>
        <w:spacing w:after="0" w:line="39" w:lineRule="exact"/>
        <w:rPr>
          <w:sz w:val="20"/>
          <w:szCs w:val="20"/>
          <w:color w:val="auto"/>
        </w:rPr>
      </w:pPr>
    </w:p>
    <w:p>
      <w:pPr>
        <w:ind w:left="660" w:right="180" w:hanging="324"/>
        <w:spacing w:after="0" w:line="271" w:lineRule="auto"/>
        <w:rPr>
          <w:sz w:val="20"/>
          <w:szCs w:val="20"/>
          <w:color w:val="auto"/>
        </w:rPr>
      </w:pPr>
      <w:r>
        <w:rPr>
          <w:rFonts w:ascii="Arial" w:cs="Arial" w:eastAsia="Arial" w:hAnsi="Arial"/>
          <w:sz w:val="18"/>
          <w:szCs w:val="18"/>
          <w:color w:val="auto"/>
        </w:rPr>
        <w:t>– Cost of software and products revenue decreased $2.2 million, and represented 9% of our total software and products revenue for the nine months ended December 31, 2020 compared to 11% for the nine months ended December 31, 2019. The decrease is the result of lower cost of sales associated with our appliance compared to the same period in the prior year.</w:t>
      </w:r>
    </w:p>
    <w:p>
      <w:pPr>
        <w:spacing w:after="0" w:line="41" w:lineRule="exact"/>
        <w:rPr>
          <w:sz w:val="20"/>
          <w:szCs w:val="20"/>
          <w:color w:val="auto"/>
        </w:rPr>
      </w:pPr>
    </w:p>
    <w:p>
      <w:pPr>
        <w:ind w:left="660" w:right="220" w:hanging="324"/>
        <w:spacing w:after="0" w:line="260" w:lineRule="auto"/>
        <w:rPr>
          <w:sz w:val="20"/>
          <w:szCs w:val="20"/>
          <w:color w:val="auto"/>
        </w:rPr>
      </w:pPr>
      <w:r>
        <w:rPr>
          <w:rFonts w:ascii="Arial" w:cs="Arial" w:eastAsia="Arial" w:hAnsi="Arial"/>
          <w:sz w:val="18"/>
          <w:szCs w:val="18"/>
          <w:color w:val="auto"/>
        </w:rPr>
        <w:t>– Cost of services revenue decreased $8.4 million, representing 20% of our total services revenue for the nine months ended December 31, 2020 compared to 23% for the nine months ended December 31, 2019. The decline in cost of services revenue is primarily related to a decrease in employee-related expenses attributable to our restructuring and reorganization initiatives. Additionally, there was a decrease in expenses associated with the delivery of professional services revenue as well as temporary salary cuts during the first half of fiscal year 2021 related to COVID-19.</w:t>
      </w:r>
    </w:p>
    <w:p>
      <w:pPr>
        <w:sectPr>
          <w:pgSz w:w="11900" w:h="16838" w:orient="portrait"/>
          <w:cols w:equalWidth="0" w:num="1">
            <w:col w:w="11200"/>
          </w:cols>
          <w:pgMar w:left="320" w:top="88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70485</wp:posOffset>
            </wp:positionV>
            <wp:extent cx="5657850" cy="3274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Sales and marketing expenses decreased $7.6 million, or 3%, primarily due to the following:</w:t>
      </w:r>
    </w:p>
    <w:p>
      <w:pPr>
        <w:spacing w:after="0" w:line="103" w:lineRule="exact"/>
        <w:rPr>
          <w:sz w:val="20"/>
          <w:szCs w:val="20"/>
          <w:color w:val="auto"/>
        </w:rPr>
      </w:pPr>
    </w:p>
    <w:p>
      <w:pPr>
        <w:ind w:left="1080" w:hanging="118"/>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Decreases related to the decline of travel and related expenses as a result of COVID-19.</w:t>
      </w:r>
    </w:p>
    <w:p>
      <w:pPr>
        <w:spacing w:after="0" w:line="90" w:lineRule="exact"/>
        <w:rPr>
          <w:rFonts w:ascii="Arial" w:cs="Arial" w:eastAsia="Arial" w:hAnsi="Arial"/>
          <w:sz w:val="18"/>
          <w:szCs w:val="18"/>
          <w:color w:val="auto"/>
        </w:rPr>
      </w:pPr>
    </w:p>
    <w:p>
      <w:pPr>
        <w:ind w:left="1080" w:hanging="118"/>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Temporary salary cuts during the first half of fiscal year 2021 related to COVID-19</w:t>
      </w:r>
    </w:p>
    <w:p>
      <w:pPr>
        <w:spacing w:after="0" w:line="103" w:lineRule="exact"/>
        <w:rPr>
          <w:rFonts w:ascii="Arial" w:cs="Arial" w:eastAsia="Arial" w:hAnsi="Arial"/>
          <w:sz w:val="18"/>
          <w:szCs w:val="18"/>
          <w:color w:val="auto"/>
        </w:rPr>
      </w:pPr>
    </w:p>
    <w:p>
      <w:pPr>
        <w:ind w:left="1080" w:hanging="118"/>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These declines were partially offset by an increase in variable compensation associated with increased revenue.</w:t>
      </w:r>
    </w:p>
    <w:p>
      <w:pPr>
        <w:spacing w:after="0" w:line="103" w:lineRule="exact"/>
        <w:rPr>
          <w:rFonts w:ascii="Arial" w:cs="Arial" w:eastAsia="Arial" w:hAnsi="Arial"/>
          <w:sz w:val="18"/>
          <w:szCs w:val="18"/>
          <w:color w:val="auto"/>
        </w:rPr>
      </w:pPr>
    </w:p>
    <w:p>
      <w:pPr>
        <w:ind w:left="440" w:right="280" w:hanging="122"/>
        <w:spacing w:after="0" w:line="292" w:lineRule="auto"/>
        <w:rPr>
          <w:rFonts w:ascii="Arial" w:cs="Arial" w:eastAsia="Arial" w:hAnsi="Arial"/>
          <w:sz w:val="18"/>
          <w:szCs w:val="18"/>
          <w:color w:val="auto"/>
        </w:rPr>
      </w:pPr>
      <w:r>
        <w:rPr>
          <w:rFonts w:ascii="Arial" w:cs="Arial" w:eastAsia="Arial" w:hAnsi="Arial"/>
          <w:sz w:val="18"/>
          <w:szCs w:val="18"/>
          <w:color w:val="auto"/>
        </w:rPr>
        <w:t>– Research and development expenses increased $20.5 million, or 27%, as a result of an increase in employee compensation and related expenses attributable to the expansion of our engineering group.</w:t>
      </w:r>
    </w:p>
    <w:p>
      <w:pPr>
        <w:spacing w:after="0" w:line="9" w:lineRule="exact"/>
        <w:rPr>
          <w:rFonts w:ascii="Arial" w:cs="Arial" w:eastAsia="Arial" w:hAnsi="Arial"/>
          <w:sz w:val="18"/>
          <w:szCs w:val="18"/>
          <w:color w:val="auto"/>
        </w:rPr>
      </w:pPr>
    </w:p>
    <w:p>
      <w:pPr>
        <w:ind w:left="1080" w:right="440" w:hanging="118"/>
        <w:spacing w:after="0" w:line="271" w:lineRule="auto"/>
        <w:tabs>
          <w:tab w:leader="none" w:pos="10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increase is the result of additional headcount related to the acquisition of Hedvig including the stock-based compensation issued in connection with the transaction. Hedvig was acquired in October 2019; therefore, the prior year period includes only three months of such expenses compared to nine months during this period.</w:t>
      </w:r>
    </w:p>
    <w:p>
      <w:pPr>
        <w:spacing w:after="0" w:line="41" w:lineRule="exact"/>
        <w:rPr>
          <w:rFonts w:ascii="Arial" w:cs="Arial" w:eastAsia="Arial" w:hAnsi="Arial"/>
          <w:sz w:val="18"/>
          <w:szCs w:val="18"/>
          <w:color w:val="auto"/>
        </w:rPr>
      </w:pPr>
    </w:p>
    <w:p>
      <w:pPr>
        <w:ind w:left="1080" w:hanging="118"/>
        <w:spacing w:after="0" w:line="258" w:lineRule="auto"/>
        <w:tabs>
          <w:tab w:leader="none" w:pos="10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Additionally, certain Hedvig shareholders will receive cash payments totaling $14.1 million over the course of the 30 months following the date of acquisition, subject to their continued employment with the Company. While these payments are proportionate to these shareholders' ownership of Hedvig, under GAAP they are accounted for as compensation expense over the course of the 30 month service period. Research and development expenses in the nine months ended December 31, 2020 includes $4.2 million of expense related to this arrangement compared to $1.4 million in the nine months ended December 31, 2019.</w:t>
      </w:r>
    </w:p>
    <w:p>
      <w:pPr>
        <w:spacing w:after="0" w:line="55" w:lineRule="exact"/>
        <w:rPr>
          <w:rFonts w:ascii="Arial" w:cs="Arial" w:eastAsia="Arial" w:hAnsi="Arial"/>
          <w:sz w:val="18"/>
          <w:szCs w:val="18"/>
          <w:color w:val="auto"/>
        </w:rPr>
      </w:pPr>
    </w:p>
    <w:p>
      <w:pPr>
        <w:ind w:left="1080" w:right="340" w:hanging="118"/>
        <w:spacing w:after="0" w:line="292" w:lineRule="auto"/>
        <w:tabs>
          <w:tab w:leader="none" w:pos="10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These increases were partially offset by $1.7 million in savings related to temporary pay cuts in the first half of fiscal year 2021.</w:t>
      </w:r>
    </w:p>
    <w:p>
      <w:pPr>
        <w:spacing w:after="0" w:line="9" w:lineRule="exact"/>
        <w:rPr>
          <w:rFonts w:ascii="Arial" w:cs="Arial" w:eastAsia="Arial" w:hAnsi="Arial"/>
          <w:sz w:val="18"/>
          <w:szCs w:val="18"/>
          <w:color w:val="auto"/>
        </w:rPr>
      </w:pPr>
    </w:p>
    <w:p>
      <w:pPr>
        <w:ind w:left="1080" w:right="160" w:hanging="118"/>
        <w:spacing w:after="0" w:line="292" w:lineRule="auto"/>
        <w:tabs>
          <w:tab w:leader="none" w:pos="10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22"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decreased $2.1 million, or 3%, primarily due to the following:</w:t>
      </w:r>
    </w:p>
    <w:p>
      <w:pPr>
        <w:spacing w:after="0" w:line="103" w:lineRule="exact"/>
        <w:rPr>
          <w:rFonts w:ascii="Arial" w:cs="Arial" w:eastAsia="Arial" w:hAnsi="Arial"/>
          <w:sz w:val="18"/>
          <w:szCs w:val="18"/>
          <w:color w:val="auto"/>
        </w:rPr>
      </w:pPr>
    </w:p>
    <w:p>
      <w:pPr>
        <w:ind w:left="1080" w:right="340" w:hanging="118"/>
        <w:spacing w:after="0" w:line="292" w:lineRule="auto"/>
        <w:tabs>
          <w:tab w:leader="none" w:pos="10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Reduction of non-recurring prior year expenses associated with a non-routine shareholder matter and Hedvig acquisition costs.</w:t>
      </w:r>
    </w:p>
    <w:p>
      <w:pPr>
        <w:spacing w:after="0" w:line="9" w:lineRule="exact"/>
        <w:rPr>
          <w:rFonts w:ascii="Arial" w:cs="Arial" w:eastAsia="Arial" w:hAnsi="Arial"/>
          <w:sz w:val="18"/>
          <w:szCs w:val="18"/>
          <w:color w:val="auto"/>
        </w:rPr>
      </w:pPr>
    </w:p>
    <w:p>
      <w:pPr>
        <w:ind w:left="1080" w:hanging="118"/>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Temporary salary cuts during the first half of fiscal year 2021 related to COVID-19.</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540" w:top="983" w:right="359" w:bottom="1440" w:gutter="0" w:footer="0" w:header="0"/>
        </w:sectPr>
      </w:pPr>
    </w:p>
    <w:bookmarkStart w:id="27" w:name="page28"/>
    <w:bookmarkEnd w:id="27"/>
    <w:p>
      <w:pPr>
        <w:ind w:left="1300" w:right="80" w:hanging="118"/>
        <w:spacing w:after="0" w:line="292" w:lineRule="auto"/>
        <w:tabs>
          <w:tab w:leader="none" w:pos="12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Partially offset by increases in legal expenses for intellectual property associated with ongoing litigation and foreign currency losses due to the weakening of the US dollar.</w:t>
      </w:r>
    </w:p>
    <w:p>
      <w:pPr>
        <w:spacing w:after="0" w:line="9" w:lineRule="exact"/>
        <w:rPr>
          <w:rFonts w:ascii="Arial" w:cs="Arial" w:eastAsia="Arial" w:hAnsi="Arial"/>
          <w:sz w:val="18"/>
          <w:szCs w:val="18"/>
          <w:color w:val="auto"/>
        </w:rPr>
      </w:pPr>
    </w:p>
    <w:p>
      <w:pPr>
        <w:ind w:left="660" w:right="120" w:hanging="122"/>
        <w:spacing w:after="0" w:line="255" w:lineRule="auto"/>
        <w:rPr>
          <w:rFonts w:ascii="Arial" w:cs="Arial" w:eastAsia="Arial" w:hAnsi="Arial"/>
          <w:sz w:val="18"/>
          <w:szCs w:val="18"/>
          <w:color w:val="auto"/>
        </w:rPr>
      </w:pPr>
      <w:r>
        <w:rPr>
          <w:rFonts w:ascii="Arial" w:cs="Arial" w:eastAsia="Arial" w:hAnsi="Arial"/>
          <w:sz w:val="18"/>
          <w:szCs w:val="18"/>
          <w:color w:val="auto"/>
        </w:rPr>
        <w:t>– Restructuring: Our restructuring plan is intended to increase efficiency in our sales, marketing and distribution functions as well as reduce costs across all functional areas. Restructuring expenses were $19.7 million and $19.0 million in the nine months ended December 31, 2020 and 2019, respectively. These restructuring charges relate primarily to severance and related costs associated with headcount reductions as well as lease abandonment charges related to the closure of six offices for the nine months ended December 31, 2020 and five offices in the nine months ended December 31, 2019. These charges include $1.9 million for the nine months ended December 31, 2020 and $1.7 million for the nine months ended December 31, 2019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55" w:lineRule="exact"/>
        <w:rPr>
          <w:sz w:val="20"/>
          <w:szCs w:val="20"/>
          <w:color w:val="auto"/>
        </w:rPr>
      </w:pPr>
    </w:p>
    <w:p>
      <w:pPr>
        <w:ind w:left="660" w:right="20" w:hanging="121"/>
        <w:spacing w:after="0" w:line="271" w:lineRule="auto"/>
        <w:rPr>
          <w:sz w:val="20"/>
          <w:szCs w:val="20"/>
          <w:color w:val="auto"/>
        </w:rPr>
      </w:pPr>
      <w:r>
        <w:rPr>
          <w:rFonts w:ascii="Arial" w:cs="Arial" w:eastAsia="Arial" w:hAnsi="Arial"/>
          <w:sz w:val="18"/>
          <w:szCs w:val="18"/>
          <w:color w:val="auto"/>
        </w:rPr>
        <w:t>–Impairment of intangible assets: In the second quarter of fiscal year 2021, we recorded non-cash impairment charges of $40.7 million on the intangible assets (developed technology and customer relationships) acquired in connection with Hedvig, Inc. The charges were the result of a moderated view of acquisition assumptions.</w:t>
      </w:r>
    </w:p>
    <w:p>
      <w:pPr>
        <w:spacing w:after="0" w:line="41" w:lineRule="exact"/>
        <w:rPr>
          <w:sz w:val="20"/>
          <w:szCs w:val="20"/>
          <w:color w:val="auto"/>
        </w:rPr>
      </w:pPr>
    </w:p>
    <w:p>
      <w:pPr>
        <w:ind w:left="660" w:hanging="122"/>
        <w:spacing w:after="0" w:line="264"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Depreciation and amortization expense increased $1.7 million, from $10.7 million in the nine months ended December 31,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$12.4 million in the nine months ended December 31, 2020, driven by the amortization of intangible assets acquired as a result of the Hedvig business combination in October 2019. The current year includes six months of amortization of these intangible assets as they were impaired in the second quarter of fiscal 2021; whereas prior year includes three months.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Income Tax Expense</w:t>
      </w:r>
    </w:p>
    <w:p>
      <w:pPr>
        <w:spacing w:after="0" w:line="102" w:lineRule="exact"/>
        <w:rPr>
          <w:sz w:val="20"/>
          <w:szCs w:val="20"/>
          <w:color w:val="auto"/>
        </w:rPr>
      </w:pPr>
    </w:p>
    <w:p>
      <w:pPr>
        <w:ind w:firstLine="445"/>
        <w:spacing w:after="0" w:line="264" w:lineRule="auto"/>
        <w:rPr>
          <w:sz w:val="20"/>
          <w:szCs w:val="20"/>
          <w:color w:val="auto"/>
        </w:rPr>
      </w:pPr>
      <w:r>
        <w:rPr>
          <w:rFonts w:ascii="Arial" w:cs="Arial" w:eastAsia="Arial" w:hAnsi="Arial"/>
          <w:sz w:val="18"/>
          <w:szCs w:val="18"/>
          <w:color w:val="auto"/>
        </w:rPr>
        <w:t>Income tax expense was $5.4 million in the nine months ended December 31, 2020 compared to expense of $3.5 million in the nine months ended December 31, 2019. In the fourth quarter of fiscal 2020, we recorded a current tax benefit of approximately $10.0 million which represented our estimate of the net operating loss carryback resulting from the CARES Act. In the first quarter of fiscal 2021, we recorded an adjustment of $3.2 million to reduce the current benefit of the net operating loss carryback benefit we will realize from the CARES Act.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Liquidity and Capital Resources</w:t>
      </w:r>
    </w:p>
    <w:p>
      <w:pPr>
        <w:spacing w:after="0" w:line="92" w:lineRule="exact"/>
        <w:rPr>
          <w:sz w:val="20"/>
          <w:szCs w:val="20"/>
          <w:color w:val="auto"/>
        </w:rPr>
      </w:pPr>
    </w:p>
    <w:p>
      <w:pPr>
        <w:jc w:val="both"/>
        <w:ind w:right="260" w:firstLine="445"/>
        <w:spacing w:after="0" w:line="271" w:lineRule="auto"/>
        <w:rPr>
          <w:sz w:val="20"/>
          <w:szCs w:val="20"/>
          <w:color w:val="auto"/>
        </w:rPr>
      </w:pPr>
      <w:r>
        <w:rPr>
          <w:rFonts w:ascii="Arial" w:cs="Arial" w:eastAsia="Arial" w:hAnsi="Arial"/>
          <w:sz w:val="18"/>
          <w:szCs w:val="18"/>
          <w:color w:val="auto"/>
        </w:rPr>
        <w:t>As of December 31, 2020, our cash and cash equivalents balance of $377.6 million primarily consisted of cash. In addition, we have approximately $10.8 million of short-term investments invested in U.S. Treasury Bills. In recent fiscal years, our principal source of liquidity has been cash provided by operations.</w:t>
      </w:r>
    </w:p>
    <w:p>
      <w:pPr>
        <w:spacing w:after="0" w:line="109" w:lineRule="exact"/>
        <w:rPr>
          <w:sz w:val="20"/>
          <w:szCs w:val="20"/>
          <w:color w:val="auto"/>
        </w:rPr>
      </w:pPr>
    </w:p>
    <w:p>
      <w:pPr>
        <w:ind w:right="160" w:firstLine="445"/>
        <w:spacing w:after="0" w:line="260" w:lineRule="auto"/>
        <w:rPr>
          <w:sz w:val="20"/>
          <w:szCs w:val="20"/>
          <w:color w:val="auto"/>
        </w:rPr>
      </w:pPr>
      <w:r>
        <w:rPr>
          <w:rFonts w:ascii="Arial" w:cs="Arial" w:eastAsia="Arial" w:hAnsi="Arial"/>
          <w:sz w:val="18"/>
          <w:szCs w:val="18"/>
          <w:color w:val="auto"/>
        </w:rPr>
        <w:t>As of December 31, 2020, the amount of cash and cash equivalents held outside of the United States by our foreign legal entities was approximately $176.5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121" w:lineRule="exact"/>
        <w:rPr>
          <w:sz w:val="20"/>
          <w:szCs w:val="20"/>
          <w:color w:val="auto"/>
        </w:rPr>
      </w:pPr>
    </w:p>
    <w:p>
      <w:pPr>
        <w:ind w:right="120" w:firstLine="445"/>
        <w:spacing w:after="0" w:line="258" w:lineRule="auto"/>
        <w:rPr>
          <w:sz w:val="20"/>
          <w:szCs w:val="20"/>
          <w:color w:val="auto"/>
        </w:rPr>
      </w:pPr>
      <w:r>
        <w:rPr>
          <w:rFonts w:ascii="Arial" w:cs="Arial" w:eastAsia="Arial" w:hAnsi="Arial"/>
          <w:sz w:val="18"/>
          <w:szCs w:val="18"/>
          <w:color w:val="auto"/>
        </w:rPr>
        <w:t>During the nine months ended December 31, 2020, we repurchased $33.1 million shares of our common stock under our share repurchase program. Under our stock repurchase program, repurchased shares are constructively retired and returned to unissued status. Our stock repurchase program has been funded by our existing cash and cash equivalent balances as well as cash flows provided by our operations. Our Board has approved, and we intend to execute, a capital allocation policy that provides for the repurchase of $200 million of our common stock for the period from February 1, 2021 through the end of our 2022 fiscal year, plus the use of approximately 75% of our free cash flow for additional repurchases during fiscal year 2022.</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right="60" w:firstLine="445"/>
        <w:spacing w:after="0" w:line="264"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09" w:lineRule="exact"/>
        <w:rPr>
          <w:sz w:val="20"/>
          <w:szCs w:val="20"/>
          <w:color w:val="auto"/>
        </w:rPr>
      </w:pPr>
    </w:p>
    <w:tbl>
      <w:tblPr>
        <w:tblLayout w:type="fixed"/>
        <w:tblInd w:w="720" w:type="dxa"/>
        <w:tblCellMar>
          <w:top w:w="0" w:type="dxa"/>
          <w:left w:w="0" w:type="dxa"/>
          <w:bottom w:w="0" w:type="dxa"/>
          <w:right w:w="0" w:type="dxa"/>
        </w:tblCellMar>
      </w:tblPr>
      <w:tr>
        <w:trPr>
          <w:trHeight w:val="223"/>
        </w:trPr>
        <w:tc>
          <w:tcPr>
            <w:tcW w:w="6260" w:type="dxa"/>
            <w:vAlign w:val="bottom"/>
          </w:tcPr>
          <w:p>
            <w:pPr>
              <w:spacing w:after="0"/>
              <w:rPr>
                <w:sz w:val="19"/>
                <w:szCs w:val="19"/>
                <w:color w:val="auto"/>
              </w:rPr>
            </w:pPr>
          </w:p>
        </w:tc>
        <w:tc>
          <w:tcPr>
            <w:tcW w:w="3560" w:type="dxa"/>
            <w:vAlign w:val="bottom"/>
            <w:tcBorders>
              <w:bottom w:val="single" w:sz="8" w:color="auto"/>
            </w:tcBorders>
            <w:gridSpan w:val="5"/>
          </w:tcPr>
          <w:p>
            <w:pPr>
              <w:jc w:val="right"/>
              <w:ind w:right="399"/>
              <w:spacing w:after="0"/>
              <w:rPr>
                <w:sz w:val="20"/>
                <w:szCs w:val="20"/>
                <w:color w:val="auto"/>
              </w:rPr>
            </w:pPr>
            <w:r>
              <w:rPr>
                <w:rFonts w:ascii="Arial" w:cs="Arial" w:eastAsia="Arial" w:hAnsi="Arial"/>
                <w:sz w:val="16"/>
                <w:szCs w:val="16"/>
                <w:b w:val="1"/>
                <w:bCs w:val="1"/>
                <w:color w:val="auto"/>
              </w:rPr>
              <w:t>Nine Months Ended December 31,</w:t>
            </w:r>
          </w:p>
        </w:tc>
      </w:tr>
      <w:tr>
        <w:trPr>
          <w:trHeight w:val="210"/>
        </w:trPr>
        <w:tc>
          <w:tcPr>
            <w:tcW w:w="6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59,247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56,008</w:t>
            </w:r>
          </w:p>
        </w:tc>
      </w:tr>
      <w:tr>
        <w:trPr>
          <w:trHeight w:val="216"/>
        </w:trPr>
        <w:tc>
          <w:tcPr>
            <w:tcW w:w="62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rPr>
              <w:t>26,806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(94,056)</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(26,129)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(9,082)</w:t>
            </w:r>
          </w:p>
        </w:tc>
      </w:tr>
      <w:tr>
        <w:trPr>
          <w:trHeight w:val="21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rate-changes in cash</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21,563</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r>
      <w:tr>
        <w:trPr>
          <w:trHeight w:val="23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81,487</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(47,967)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265430</wp:posOffset>
            </wp:positionV>
            <wp:extent cx="5657850" cy="1714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right="480" w:hanging="122"/>
        <w:spacing w:after="0" w:line="292" w:lineRule="auto"/>
        <w:rPr>
          <w:sz w:val="20"/>
          <w:szCs w:val="20"/>
          <w:color w:val="auto"/>
        </w:rPr>
      </w:pPr>
      <w:r>
        <w:rPr>
          <w:rFonts w:ascii="Arial" w:cs="Arial" w:eastAsia="Arial" w:hAnsi="Arial"/>
          <w:sz w:val="18"/>
          <w:szCs w:val="18"/>
          <w:color w:val="auto"/>
        </w:rPr>
        <w:t>– Net cash provided by operating activities was impacted by net loss adjusted for the impact of non-cash charges, an increase in deferred revenue and partially offset by an increase in accounts receivable.</w:t>
      </w:r>
    </w:p>
    <w:p>
      <w:pPr>
        <w:spacing w:after="0" w:line="22" w:lineRule="exact"/>
        <w:rPr>
          <w:sz w:val="20"/>
          <w:szCs w:val="20"/>
          <w:color w:val="auto"/>
        </w:rPr>
      </w:pPr>
    </w:p>
    <w:p>
      <w:pPr>
        <w:ind w:left="660" w:right="360" w:hanging="122"/>
        <w:spacing w:after="0" w:line="292" w:lineRule="auto"/>
        <w:rPr>
          <w:sz w:val="20"/>
          <w:szCs w:val="20"/>
          <w:color w:val="auto"/>
        </w:rPr>
      </w:pPr>
      <w:r>
        <w:rPr>
          <w:rFonts w:ascii="Arial" w:cs="Arial" w:eastAsia="Arial" w:hAnsi="Arial"/>
          <w:sz w:val="18"/>
          <w:szCs w:val="18"/>
          <w:color w:val="auto"/>
        </w:rPr>
        <w:t>– Net cash provided by investing activities was related to net proceeds from the maturity of short-term investments of $32.8 million partially offset by $6.0 million of capital expenditures.</w:t>
      </w:r>
    </w:p>
    <w:p>
      <w:pPr>
        <w:spacing w:after="0" w:line="9" w:lineRule="exact"/>
        <w:rPr>
          <w:sz w:val="20"/>
          <w:szCs w:val="20"/>
          <w:color w:val="auto"/>
        </w:rPr>
      </w:pPr>
    </w:p>
    <w:p>
      <w:pPr>
        <w:ind w:left="660" w:right="140" w:hanging="122"/>
        <w:spacing w:after="0" w:line="292" w:lineRule="auto"/>
        <w:rPr>
          <w:sz w:val="20"/>
          <w:szCs w:val="20"/>
          <w:color w:val="auto"/>
        </w:rPr>
      </w:pPr>
      <w:r>
        <w:rPr>
          <w:rFonts w:ascii="Arial" w:cs="Arial" w:eastAsia="Arial" w:hAnsi="Arial"/>
          <w:sz w:val="18"/>
          <w:szCs w:val="18"/>
          <w:color w:val="auto"/>
        </w:rPr>
        <w:t>– Net cash used in financing activities was the result of $33.1 million of repurchases of common shares partially offset by $7.0 million of proceeds from the exercise of stock options and purchases of our stock under the Employee Stock Purchase Plan.</w:t>
      </w:r>
    </w:p>
    <w:p>
      <w:pPr>
        <w:spacing w:after="0" w:line="131" w:lineRule="exact"/>
        <w:rPr>
          <w:sz w:val="20"/>
          <w:szCs w:val="20"/>
          <w:color w:val="auto"/>
        </w:rPr>
      </w:pPr>
    </w:p>
    <w:p>
      <w:pPr>
        <w:ind w:right="220" w:firstLine="445"/>
        <w:spacing w:after="0" w:line="292" w:lineRule="auto"/>
        <w:rPr>
          <w:sz w:val="20"/>
          <w:szCs w:val="20"/>
          <w:color w:val="auto"/>
        </w:rPr>
      </w:pPr>
      <w:r>
        <w:rPr>
          <w:rFonts w:ascii="Arial" w:cs="Arial" w:eastAsia="Arial" w:hAnsi="Arial"/>
          <w:sz w:val="18"/>
          <w:szCs w:val="18"/>
          <w:color w:val="auto"/>
        </w:rPr>
        <w:t>Working capital increased $62.1 million from $185.1 million as of March 31, 2020 to $247.2 million as of December 31, 2020. The net increase in working capital is primarily the result of cash flow from operations.</w:t>
      </w:r>
    </w:p>
    <w:p>
      <w:pPr>
        <w:spacing w:after="0" w:line="90"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00B2A9"/>
        </w:rPr>
        <w:t>Off-Balance Sheet Arrangements</w:t>
      </w:r>
    </w:p>
    <w:p>
      <w:pPr>
        <w:spacing w:after="0" w:line="106" w:lineRule="exact"/>
        <w:rPr>
          <w:sz w:val="20"/>
          <w:szCs w:val="20"/>
          <w:color w:val="auto"/>
        </w:rPr>
      </w:pPr>
    </w:p>
    <w:p>
      <w:pPr>
        <w:ind w:right="160" w:firstLine="445"/>
        <w:spacing w:after="0" w:line="292" w:lineRule="auto"/>
        <w:rPr>
          <w:sz w:val="20"/>
          <w:szCs w:val="20"/>
          <w:color w:val="auto"/>
        </w:rPr>
      </w:pPr>
      <w:r>
        <w:rPr>
          <w:rFonts w:ascii="Arial" w:cs="Arial" w:eastAsia="Arial" w:hAnsi="Arial"/>
          <w:sz w:val="18"/>
          <w:szCs w:val="18"/>
          <w:color w:val="auto"/>
        </w:rPr>
        <w:t>As of December 31, 2020, we did not have off-balance sheet financing arrangements, including any relationships with unconsolidated entities or financial partnerships, such as entities often referred to as structured finance or special purpose entities.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Indemnifications</w:t>
      </w:r>
    </w:p>
    <w:p>
      <w:pPr>
        <w:spacing w:after="0" w:line="92" w:lineRule="exact"/>
        <w:rPr>
          <w:sz w:val="20"/>
          <w:szCs w:val="20"/>
          <w:color w:val="auto"/>
        </w:rPr>
      </w:pPr>
    </w:p>
    <w:p>
      <w:pPr>
        <w:ind w:firstLine="445"/>
        <w:spacing w:after="0" w:line="260" w:lineRule="auto"/>
        <w:rPr>
          <w:sz w:val="20"/>
          <w:szCs w:val="20"/>
          <w:color w:val="auto"/>
        </w:rPr>
      </w:pPr>
      <w:r>
        <w:rPr>
          <w:rFonts w:ascii="Arial" w:cs="Arial" w:eastAsia="Arial" w:hAnsi="Arial"/>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Impact of Recently Issued Accounting Standards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 Quantitative and Qualitative Disclosures about Market Risk</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Interest Rate Risk</w:t>
      </w:r>
    </w:p>
    <w:p>
      <w:pPr>
        <w:spacing w:after="0" w:line="117" w:lineRule="exact"/>
        <w:rPr>
          <w:sz w:val="20"/>
          <w:szCs w:val="20"/>
          <w:color w:val="auto"/>
        </w:rPr>
      </w:pPr>
    </w:p>
    <w:p>
      <w:pPr>
        <w:ind w:right="300" w:firstLine="445"/>
        <w:spacing w:after="0" w:line="292" w:lineRule="auto"/>
        <w:rPr>
          <w:sz w:val="20"/>
          <w:szCs w:val="20"/>
          <w:color w:val="auto"/>
        </w:rPr>
      </w:pPr>
      <w:r>
        <w:rPr>
          <w:rFonts w:ascii="Arial" w:cs="Arial" w:eastAsia="Arial" w:hAnsi="Arial"/>
          <w:sz w:val="18"/>
          <w:szCs w:val="18"/>
          <w:color w:val="auto"/>
        </w:rPr>
        <w:t>As of December 31, 2020, our cash and cash equivalents and short-term investments consisted primarily of cash and U.S. Treasury Bills. Due to the short-term nature of these investments, we are not subject to any material interest rate risk on these balances.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Foreign Currency Risk</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Economic Exposure</w:t>
      </w:r>
    </w:p>
    <w:p>
      <w:pPr>
        <w:spacing w:after="0" w:line="102"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48% of our sales were outside the United States for the nine months ended December 31, 2020.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 Exposure</w:t>
      </w:r>
    </w:p>
    <w:p>
      <w:pPr>
        <w:spacing w:after="0" w:line="88" w:lineRule="exact"/>
        <w:rPr>
          <w:sz w:val="20"/>
          <w:szCs w:val="20"/>
          <w:color w:val="auto"/>
        </w:rPr>
      </w:pPr>
    </w:p>
    <w:p>
      <w:pPr>
        <w:jc w:val="both"/>
        <w:ind w:right="320" w:firstLine="445"/>
        <w:spacing w:after="0" w:line="294" w:lineRule="auto"/>
        <w:rPr>
          <w:sz w:val="20"/>
          <w:szCs w:val="20"/>
          <w:color w:val="auto"/>
        </w:rPr>
      </w:pPr>
      <w:r>
        <w:rPr>
          <w:rFonts w:ascii="Arial" w:cs="Arial" w:eastAsia="Arial" w:hAnsi="Arial"/>
          <w:sz w:val="17"/>
          <w:szCs w:val="17"/>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92" w:lineRule="exact"/>
        <w:rPr>
          <w:sz w:val="20"/>
          <w:szCs w:val="20"/>
          <w:color w:val="auto"/>
        </w:rPr>
      </w:pPr>
    </w:p>
    <w:p>
      <w:pPr>
        <w:ind w:right="40" w:firstLine="445"/>
        <w:spacing w:after="0" w:line="264"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net foreign currency transaction losses of $0.5 million and $1.7 million for the three and nine months ended December 31, 2020, respectively. We recognized net foreign transaction losses of $0.1 million and $0.2 million for the three and nine months ended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00B2A9"/>
        </w:rPr>
        <w:t>Item 4 - Controls and Procedures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45"/>
        <w:spacing w:after="0" w:line="264"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December 31, 2020. Based on that evaluation, the Chief Executive Officer and Chief Financial Officer concluded that our disclosure controls and procedures were effective as of December 31, 2020.</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580" w:firstLine="445"/>
        <w:spacing w:after="0" w:line="292" w:lineRule="auto"/>
        <w:rPr>
          <w:sz w:val="20"/>
          <w:szCs w:val="20"/>
          <w:color w:val="auto"/>
        </w:rPr>
      </w:pPr>
      <w:r>
        <w:rPr>
          <w:rFonts w:ascii="Arial" w:cs="Arial" w:eastAsia="Arial" w:hAnsi="Arial"/>
          <w:sz w:val="18"/>
          <w:szCs w:val="18"/>
          <w:color w:val="auto"/>
        </w:rPr>
        <w:t>There was no change in our internal control over financial reporting that occurred during the third quarter of fiscal 2021 that has materially affected, or is reasonably likely to materially affect, our internal control over financial reporting.</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104"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Our management, including our Chief Executive Officer and Chief Financial Officer, do not expect that our disclosure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46" w:right="4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00B2A9"/>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 Legal Proceedings</w:t>
      </w:r>
    </w:p>
    <w:p>
      <w:pPr>
        <w:spacing w:after="0" w:line="106" w:lineRule="exact"/>
        <w:rPr>
          <w:sz w:val="20"/>
          <w:szCs w:val="20"/>
          <w:color w:val="auto"/>
        </w:rPr>
      </w:pPr>
    </w:p>
    <w:p>
      <w:pPr>
        <w:ind w:right="20" w:firstLine="445"/>
        <w:spacing w:after="0" w:line="271"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We do not believe that we are currently party to any pending legal action that could reasonably be expected to have a material adverse effect on our business or operating results.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1A. Risk Factors</w:t>
      </w:r>
    </w:p>
    <w:p>
      <w:pPr>
        <w:spacing w:after="0" w:line="92" w:lineRule="exact"/>
        <w:rPr>
          <w:sz w:val="20"/>
          <w:szCs w:val="20"/>
          <w:color w:val="auto"/>
        </w:rPr>
      </w:pPr>
    </w:p>
    <w:p>
      <w:pPr>
        <w:ind w:right="140" w:firstLine="445"/>
        <w:spacing w:after="0" w:line="25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March 31, 2020,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2. Unregistered Sale of Equity Securities and Use of Proceeds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right="400" w:firstLine="445"/>
        <w:spacing w:after="0" w:line="292" w:lineRule="auto"/>
        <w:rPr>
          <w:sz w:val="20"/>
          <w:szCs w:val="20"/>
          <w:color w:val="auto"/>
        </w:rPr>
      </w:pPr>
      <w:r>
        <w:rPr>
          <w:rFonts w:ascii="Arial" w:cs="Arial" w:eastAsia="Arial" w:hAnsi="Arial"/>
          <w:sz w:val="18"/>
          <w:szCs w:val="18"/>
          <w:color w:val="auto"/>
        </w:rPr>
        <w:t>During the three months ended December 31, 2020, we repurchased $33.1 million of common stock, or 700,694 shares, under our share repurchase program. A summary of our repurchases of common stock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Total number of</w:t>
            </w: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ind w:left="40"/>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shares purchased as</w:t>
            </w:r>
          </w:p>
        </w:tc>
        <w:tc>
          <w:tcPr>
            <w:tcW w:w="140" w:type="dxa"/>
            <w:vAlign w:val="bottom"/>
          </w:tcPr>
          <w:p>
            <w:pPr>
              <w:spacing w:after="0"/>
              <w:rPr>
                <w:sz w:val="14"/>
                <w:szCs w:val="14"/>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Average price paid</w:t>
            </w:r>
          </w:p>
        </w:tc>
        <w:tc>
          <w:tcPr>
            <w:tcW w:w="120" w:type="dxa"/>
            <w:vAlign w:val="bottom"/>
          </w:tcPr>
          <w:p>
            <w:pPr>
              <w:spacing w:after="0"/>
              <w:rPr>
                <w:sz w:val="14"/>
                <w:szCs w:val="14"/>
                <w:color w:val="auto"/>
              </w:rPr>
            </w:pPr>
          </w:p>
        </w:tc>
        <w:tc>
          <w:tcPr>
            <w:tcW w:w="16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Total dollar value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3940" w:type="dxa"/>
            <w:vAlign w:val="bottom"/>
            <w:gridSpan w:val="2"/>
            <w:vMerge w:val="restart"/>
          </w:tcPr>
          <w:p>
            <w:pPr>
              <w:ind w:left="1680"/>
              <w:spacing w:after="0"/>
              <w:rPr>
                <w:sz w:val="20"/>
                <w:szCs w:val="20"/>
                <w:color w:val="auto"/>
              </w:rPr>
            </w:pPr>
            <w:r>
              <w:rPr>
                <w:rFonts w:ascii="Arial" w:cs="Arial" w:eastAsia="Arial" w:hAnsi="Arial"/>
                <w:sz w:val="16"/>
                <w:szCs w:val="16"/>
                <w:b w:val="1"/>
                <w:bCs w:val="1"/>
                <w:color w:val="auto"/>
              </w:rPr>
              <w:t>Period</w:t>
            </w:r>
          </w:p>
        </w:tc>
        <w:tc>
          <w:tcPr>
            <w:tcW w:w="18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part of publicly</w:t>
            </w: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216"/>
        </w:trPr>
        <w:tc>
          <w:tcPr>
            <w:tcW w:w="3940" w:type="dxa"/>
            <w:vAlign w:val="bottom"/>
            <w:gridSpan w:val="2"/>
            <w:vMerge w:val="continue"/>
          </w:tcPr>
          <w:p>
            <w:pPr>
              <w:spacing w:after="0"/>
              <w:rPr>
                <w:sz w:val="18"/>
                <w:szCs w:val="18"/>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announced programs</w:t>
            </w:r>
          </w:p>
        </w:tc>
        <w:tc>
          <w:tcPr>
            <w:tcW w:w="14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per share</w:t>
            </w:r>
          </w:p>
        </w:tc>
        <w:tc>
          <w:tcPr>
            <w:tcW w:w="12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purchases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ind w:left="60"/>
              <w:spacing w:after="0"/>
              <w:rPr>
                <w:sz w:val="20"/>
                <w:szCs w:val="20"/>
                <w:color w:val="auto"/>
              </w:rPr>
            </w:pPr>
            <w:r>
              <w:rPr>
                <w:rFonts w:ascii="Arial" w:cs="Arial" w:eastAsia="Arial" w:hAnsi="Arial"/>
                <w:sz w:val="16"/>
                <w:szCs w:val="16"/>
                <w:b w:val="1"/>
                <w:bCs w:val="1"/>
                <w:color w:val="auto"/>
              </w:rPr>
              <w:t>under the program</w:t>
            </w:r>
          </w:p>
        </w:tc>
        <w:tc>
          <w:tcPr>
            <w:tcW w:w="0" w:type="dxa"/>
            <w:vAlign w:val="bottom"/>
          </w:tcPr>
          <w:p>
            <w:pPr>
              <w:spacing w:after="0"/>
              <w:rPr>
                <w:sz w:val="1"/>
                <w:szCs w:val="1"/>
                <w:color w:val="auto"/>
              </w:rPr>
            </w:pPr>
          </w:p>
        </w:tc>
      </w:tr>
      <w:tr>
        <w:trPr>
          <w:trHeight w:val="210"/>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October 2020</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199,074,780</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November 2020</w:t>
            </w:r>
          </w:p>
        </w:tc>
        <w:tc>
          <w:tcPr>
            <w:tcW w:w="1760" w:type="dxa"/>
            <w:vAlign w:val="bottom"/>
          </w:tcPr>
          <w:p>
            <w:pPr>
              <w:jc w:val="right"/>
              <w:spacing w:after="0"/>
              <w:rPr>
                <w:sz w:val="20"/>
                <w:szCs w:val="20"/>
                <w:color w:val="auto"/>
              </w:rPr>
            </w:pPr>
            <w:r>
              <w:rPr>
                <w:rFonts w:ascii="Arial" w:cs="Arial" w:eastAsia="Arial" w:hAnsi="Arial"/>
                <w:sz w:val="16"/>
                <w:szCs w:val="16"/>
                <w:color w:val="auto"/>
              </w:rPr>
              <w:t>398,700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18,009,092</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181,065,688</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2020</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278,694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14,197,246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166,868,442</w:t>
            </w:r>
          </w:p>
        </w:tc>
        <w:tc>
          <w:tcPr>
            <w:tcW w:w="0" w:type="dxa"/>
            <w:vAlign w:val="bottom"/>
          </w:tcPr>
          <w:p>
            <w:pPr>
              <w:spacing w:after="0"/>
              <w:rPr>
                <w:sz w:val="1"/>
                <w:szCs w:val="1"/>
                <w:color w:val="auto"/>
              </w:rPr>
            </w:pPr>
          </w:p>
        </w:tc>
      </w:tr>
      <w:tr>
        <w:trPr>
          <w:trHeight w:val="210"/>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Three months ended December 31, 2020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700,694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33,131,558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Defaults upon Senior Securities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Mine Safety Disclosures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5. Other Information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00B2A9"/>
        </w:rPr>
        <w:t>Item 6. Exhibits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32"/>
        </w:trPr>
        <w:tc>
          <w:tcPr>
            <w:tcW w:w="1000" w:type="dxa"/>
            <w:vAlign w:val="bottom"/>
            <w:gridSpan w:val="2"/>
          </w:tcPr>
          <w:p>
            <w:pPr>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31.1</w:t>
              </w:r>
            </w:hyperlink>
          </w:p>
        </w:tc>
        <w:tc>
          <w:tcPr>
            <w:tcW w:w="80" w:type="dxa"/>
            <w:vAlign w:val="bottom"/>
          </w:tcPr>
          <w:p>
            <w:pPr>
              <w:spacing w:after="0"/>
              <w:rPr>
                <w:sz w:val="20"/>
                <w:szCs w:val="20"/>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216"/>
        </w:trPr>
        <w:tc>
          <w:tcPr>
            <w:tcW w:w="1000" w:type="dxa"/>
            <w:vAlign w:val="bottom"/>
            <w:gridSpan w:val="2"/>
          </w:tcPr>
          <w:p>
            <w:pPr>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31.2</w:t>
              </w:r>
            </w:hyperlink>
          </w:p>
        </w:tc>
        <w:tc>
          <w:tcPr>
            <w:tcW w:w="80" w:type="dxa"/>
            <w:vAlign w:val="bottom"/>
          </w:tcPr>
          <w:p>
            <w:pPr>
              <w:spacing w:after="0"/>
              <w:rPr>
                <w:sz w:val="18"/>
                <w:szCs w:val="18"/>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216"/>
        </w:trPr>
        <w:tc>
          <w:tcPr>
            <w:tcW w:w="1000" w:type="dxa"/>
            <w:vAlign w:val="bottom"/>
            <w:gridSpan w:val="2"/>
          </w:tcPr>
          <w:p>
            <w:pPr>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32.1</w:t>
              </w:r>
            </w:hyperlink>
          </w:p>
        </w:tc>
        <w:tc>
          <w:tcPr>
            <w:tcW w:w="80" w:type="dxa"/>
            <w:vAlign w:val="bottom"/>
          </w:tcPr>
          <w:p>
            <w:pPr>
              <w:spacing w:after="0"/>
              <w:rPr>
                <w:sz w:val="18"/>
                <w:szCs w:val="18"/>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216"/>
        </w:trPr>
        <w:tc>
          <w:tcPr>
            <w:tcW w:w="1000" w:type="dxa"/>
            <w:vAlign w:val="bottom"/>
            <w:gridSpan w:val="2"/>
          </w:tcPr>
          <w:p>
            <w:pPr>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32.2</w:t>
              </w:r>
            </w:hyperlink>
          </w:p>
        </w:tc>
        <w:tc>
          <w:tcPr>
            <w:tcW w:w="80" w:type="dxa"/>
            <w:vAlign w:val="bottom"/>
          </w:tcPr>
          <w:p>
            <w:pPr>
              <w:spacing w:after="0"/>
              <w:rPr>
                <w:sz w:val="18"/>
                <w:szCs w:val="18"/>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167"/>
        </w:trPr>
        <w:tc>
          <w:tcPr>
            <w:tcW w:w="1080" w:type="dxa"/>
            <w:vAlign w:val="bottom"/>
            <w:gridSpan w:val="3"/>
          </w:tcPr>
          <w:p>
            <w:pPr>
              <w:spacing w:after="0" w:line="167" w:lineRule="exact"/>
              <w:rPr>
                <w:sz w:val="20"/>
                <w:szCs w:val="20"/>
                <w:color w:val="auto"/>
              </w:rPr>
            </w:pPr>
            <w:r>
              <w:rPr>
                <w:rFonts w:ascii="Arial" w:cs="Arial" w:eastAsia="Arial" w:hAnsi="Arial"/>
                <w:sz w:val="16"/>
                <w:szCs w:val="16"/>
                <w:color w:val="auto"/>
              </w:rPr>
              <w:t>101.INS</w:t>
            </w:r>
          </w:p>
        </w:tc>
        <w:tc>
          <w:tcPr>
            <w:tcW w:w="10100" w:type="dxa"/>
            <w:vAlign w:val="bottom"/>
            <w:gridSpan w:val="3"/>
          </w:tcPr>
          <w:p>
            <w:pPr>
              <w:ind w:left="80"/>
              <w:spacing w:after="0" w:line="167"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1"/>
        </w:trPr>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the Inline XBRL document.</w:t>
            </w:r>
          </w:p>
        </w:tc>
      </w:tr>
      <w:tr>
        <w:trPr>
          <w:trHeight w:val="216"/>
        </w:trPr>
        <w:tc>
          <w:tcPr>
            <w:tcW w:w="1080" w:type="dxa"/>
            <w:vAlign w:val="bottom"/>
            <w:gridSpan w:val="3"/>
          </w:tcPr>
          <w:p>
            <w:pPr>
              <w:spacing w:after="0"/>
              <w:rPr>
                <w:sz w:val="20"/>
                <w:szCs w:val="20"/>
                <w:color w:val="auto"/>
              </w:rPr>
            </w:pPr>
            <w:r>
              <w:rPr>
                <w:rFonts w:ascii="Arial" w:cs="Arial" w:eastAsia="Arial" w:hAnsi="Arial"/>
                <w:sz w:val="16"/>
                <w:szCs w:val="16"/>
                <w:color w:val="auto"/>
              </w:rPr>
              <w:t>101.SCH</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080" w:type="dxa"/>
            <w:vAlign w:val="bottom"/>
            <w:gridSpan w:val="3"/>
          </w:tcPr>
          <w:p>
            <w:pPr>
              <w:spacing w:after="0"/>
              <w:rPr>
                <w:sz w:val="20"/>
                <w:szCs w:val="20"/>
                <w:color w:val="auto"/>
              </w:rPr>
            </w:pPr>
            <w:r>
              <w:rPr>
                <w:rFonts w:ascii="Arial" w:cs="Arial" w:eastAsia="Arial" w:hAnsi="Arial"/>
                <w:sz w:val="16"/>
                <w:szCs w:val="16"/>
                <w:color w:val="auto"/>
              </w:rPr>
              <w:t>101.CAL</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080" w:type="dxa"/>
            <w:vAlign w:val="bottom"/>
            <w:gridSpan w:val="3"/>
          </w:tcPr>
          <w:p>
            <w:pPr>
              <w:spacing w:after="0"/>
              <w:rPr>
                <w:sz w:val="20"/>
                <w:szCs w:val="20"/>
                <w:color w:val="auto"/>
              </w:rPr>
            </w:pPr>
            <w:r>
              <w:rPr>
                <w:rFonts w:ascii="Arial" w:cs="Arial" w:eastAsia="Arial" w:hAnsi="Arial"/>
                <w:sz w:val="16"/>
                <w:szCs w:val="16"/>
                <w:color w:val="auto"/>
              </w:rPr>
              <w:t>101.DEF</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080" w:type="dxa"/>
            <w:vAlign w:val="bottom"/>
            <w:gridSpan w:val="3"/>
          </w:tcPr>
          <w:p>
            <w:pPr>
              <w:spacing w:after="0"/>
              <w:rPr>
                <w:sz w:val="20"/>
                <w:szCs w:val="20"/>
                <w:color w:val="auto"/>
              </w:rPr>
            </w:pPr>
            <w:r>
              <w:rPr>
                <w:rFonts w:ascii="Arial" w:cs="Arial" w:eastAsia="Arial" w:hAnsi="Arial"/>
                <w:sz w:val="16"/>
                <w:szCs w:val="16"/>
                <w:color w:val="auto"/>
              </w:rPr>
              <w:t>101.LAB</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Label Linkbase Document</w:t>
            </w:r>
          </w:p>
        </w:tc>
      </w:tr>
      <w:tr>
        <w:trPr>
          <w:trHeight w:val="219"/>
        </w:trPr>
        <w:tc>
          <w:tcPr>
            <w:tcW w:w="1080" w:type="dxa"/>
            <w:vAlign w:val="bottom"/>
            <w:gridSpan w:val="3"/>
          </w:tcPr>
          <w:p>
            <w:pPr>
              <w:spacing w:after="0"/>
              <w:rPr>
                <w:sz w:val="20"/>
                <w:szCs w:val="20"/>
                <w:color w:val="auto"/>
              </w:rPr>
            </w:pPr>
            <w:r>
              <w:rPr>
                <w:rFonts w:ascii="Arial" w:cs="Arial" w:eastAsia="Arial" w:hAnsi="Arial"/>
                <w:sz w:val="16"/>
                <w:szCs w:val="16"/>
                <w:color w:val="auto"/>
              </w:rPr>
              <w:t>101.PRE</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Presentation Linkbase Document</w:t>
            </w:r>
          </w:p>
        </w:tc>
      </w:tr>
    </w:tbl>
    <w:p>
      <w:pPr>
        <w:ind w:left="1180" w:hanging="1154"/>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222222"/>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6"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Signatures</w:t>
      </w:r>
    </w:p>
    <w:p>
      <w:pPr>
        <w:spacing w:after="0" w:line="106" w:lineRule="exact"/>
        <w:rPr>
          <w:sz w:val="20"/>
          <w:szCs w:val="20"/>
          <w:color w:val="auto"/>
        </w:rPr>
      </w:pPr>
    </w:p>
    <w:p>
      <w:pPr>
        <w:ind w:right="180" w:firstLine="445"/>
        <w:spacing w:after="0" w:line="292"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000" w:type="dxa"/>
            <w:vAlign w:val="bottom"/>
          </w:tcPr>
          <w:p>
            <w:pPr>
              <w:ind w:left="680"/>
              <w:spacing w:after="0"/>
              <w:rPr>
                <w:sz w:val="20"/>
                <w:szCs w:val="20"/>
                <w:color w:val="auto"/>
              </w:rPr>
            </w:pPr>
            <w:r>
              <w:rPr>
                <w:rFonts w:ascii="Arial" w:cs="Arial" w:eastAsia="Arial" w:hAnsi="Arial"/>
                <w:sz w:val="18"/>
                <w:szCs w:val="18"/>
                <w:color w:val="auto"/>
              </w:rPr>
              <w:t>Commvault Systems, Inc.</w:t>
            </w:r>
          </w:p>
        </w:tc>
      </w:tr>
      <w:tr>
        <w:trPr>
          <w:trHeight w:val="495"/>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180"/>
              <w:spacing w:after="0"/>
              <w:rPr>
                <w:sz w:val="20"/>
                <w:szCs w:val="20"/>
                <w:color w:val="auto"/>
              </w:rPr>
            </w:pPr>
            <w:r>
              <w:rPr>
                <w:rFonts w:ascii="Arial" w:cs="Arial" w:eastAsia="Arial" w:hAnsi="Arial"/>
                <w:sz w:val="18"/>
                <w:szCs w:val="18"/>
                <w:color w:val="auto"/>
              </w:rPr>
              <w:t>January 28, 2021</w:t>
            </w:r>
          </w:p>
        </w:tc>
        <w:tc>
          <w:tcPr>
            <w:tcW w:w="3300" w:type="dxa"/>
            <w:vAlign w:val="bottom"/>
          </w:tcPr>
          <w:p>
            <w:pPr>
              <w:ind w:left="27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Mirchandani</w:t>
            </w:r>
          </w:p>
        </w:tc>
      </w:tr>
      <w:tr>
        <w:trPr>
          <w:trHeight w:val="200"/>
        </w:trPr>
        <w:tc>
          <w:tcPr>
            <w:tcW w:w="7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300" w:type="dxa"/>
            <w:vAlign w:val="bottom"/>
          </w:tcPr>
          <w:p>
            <w:pPr>
              <w:ind w:left="2720"/>
              <w:spacing w:after="0" w:line="201" w:lineRule="exact"/>
              <w:rPr>
                <w:sz w:val="20"/>
                <w:szCs w:val="20"/>
                <w:color w:val="auto"/>
              </w:rPr>
            </w:pPr>
            <w:r>
              <w:rPr>
                <w:rFonts w:ascii="Arial" w:cs="Arial" w:eastAsia="Arial" w:hAnsi="Arial"/>
                <w:sz w:val="18"/>
                <w:szCs w:val="18"/>
                <w:color w:val="auto"/>
              </w:rPr>
              <w:t>Sanjay</w:t>
            </w:r>
          </w:p>
        </w:tc>
        <w:tc>
          <w:tcPr>
            <w:tcW w:w="4000" w:type="dxa"/>
            <w:vAlign w:val="bottom"/>
          </w:tcPr>
          <w:p>
            <w:pPr>
              <w:ind w:left="20"/>
              <w:spacing w:after="0" w:line="201" w:lineRule="exact"/>
              <w:rPr>
                <w:sz w:val="20"/>
                <w:szCs w:val="20"/>
                <w:color w:val="auto"/>
              </w:rPr>
            </w:pPr>
            <w:r>
              <w:rPr>
                <w:rFonts w:ascii="Arial" w:cs="Arial" w:eastAsia="Arial" w:hAnsi="Arial"/>
                <w:sz w:val="18"/>
                <w:szCs w:val="18"/>
                <w:color w:val="auto"/>
              </w:rPr>
              <w:t>Mirchandani</w:t>
            </w:r>
          </w:p>
        </w:tc>
      </w:tr>
      <w:tr>
        <w:trPr>
          <w:trHeight w:val="243"/>
        </w:trPr>
        <w:tc>
          <w:tcPr>
            <w:tcW w:w="7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7300" w:type="dxa"/>
            <w:vAlign w:val="bottom"/>
            <w:gridSpan w:val="2"/>
          </w:tcPr>
          <w:p>
            <w:pPr>
              <w:ind w:left="2720"/>
              <w:spacing w:after="0"/>
              <w:rPr>
                <w:sz w:val="20"/>
                <w:szCs w:val="20"/>
                <w:color w:val="auto"/>
              </w:rPr>
            </w:pPr>
            <w:r>
              <w:rPr>
                <w:rFonts w:ascii="Arial" w:cs="Arial" w:eastAsia="Arial" w:hAnsi="Arial"/>
                <w:sz w:val="18"/>
                <w:szCs w:val="18"/>
                <w:color w:val="auto"/>
              </w:rPr>
              <w:t>Director, President and Chief Executive Officer</w:t>
            </w:r>
          </w:p>
        </w:tc>
      </w:tr>
      <w:tr>
        <w:trPr>
          <w:trHeight w:val="496"/>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180"/>
              <w:spacing w:after="0"/>
              <w:rPr>
                <w:sz w:val="20"/>
                <w:szCs w:val="20"/>
                <w:color w:val="auto"/>
              </w:rPr>
            </w:pPr>
            <w:r>
              <w:rPr>
                <w:rFonts w:ascii="Arial" w:cs="Arial" w:eastAsia="Arial" w:hAnsi="Arial"/>
                <w:sz w:val="18"/>
                <w:szCs w:val="18"/>
                <w:color w:val="auto"/>
              </w:rPr>
              <w:t>January 28, 2021</w:t>
            </w:r>
          </w:p>
        </w:tc>
        <w:tc>
          <w:tcPr>
            <w:tcW w:w="3300" w:type="dxa"/>
            <w:vAlign w:val="bottom"/>
          </w:tcPr>
          <w:p>
            <w:pPr>
              <w:ind w:left="27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Carolan</w:t>
            </w:r>
          </w:p>
        </w:tc>
      </w:tr>
      <w:tr>
        <w:trPr>
          <w:trHeight w:val="200"/>
        </w:trPr>
        <w:tc>
          <w:tcPr>
            <w:tcW w:w="7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300" w:type="dxa"/>
            <w:vAlign w:val="bottom"/>
          </w:tcPr>
          <w:p>
            <w:pPr>
              <w:ind w:left="2720"/>
              <w:spacing w:after="0" w:line="201" w:lineRule="exact"/>
              <w:rPr>
                <w:sz w:val="20"/>
                <w:szCs w:val="20"/>
                <w:color w:val="auto"/>
              </w:rPr>
            </w:pPr>
            <w:r>
              <w:rPr>
                <w:rFonts w:ascii="Arial" w:cs="Arial" w:eastAsia="Arial" w:hAnsi="Arial"/>
                <w:sz w:val="18"/>
                <w:szCs w:val="18"/>
                <w:color w:val="auto"/>
              </w:rPr>
              <w:t>Brian</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Carolan</w:t>
            </w:r>
          </w:p>
        </w:tc>
      </w:tr>
      <w:tr>
        <w:trPr>
          <w:trHeight w:val="243"/>
        </w:trPr>
        <w:tc>
          <w:tcPr>
            <w:tcW w:w="7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7300" w:type="dxa"/>
            <w:vAlign w:val="bottom"/>
            <w:gridSpan w:val="2"/>
          </w:tcPr>
          <w:p>
            <w:pPr>
              <w:ind w:left="2720"/>
              <w:spacing w:after="0"/>
              <w:rPr>
                <w:sz w:val="20"/>
                <w:szCs w:val="20"/>
                <w:color w:val="auto"/>
              </w:rPr>
            </w:pPr>
            <w:r>
              <w:rPr>
                <w:rFonts w:ascii="Arial" w:cs="Arial" w:eastAsia="Arial" w:hAnsi="Arial"/>
                <w:sz w:val="18"/>
                <w:szCs w:val="18"/>
                <w:color w:val="auto"/>
              </w:rPr>
              <w:t>Vice President and Chief Financial Officer</w:t>
            </w:r>
          </w:p>
        </w:tc>
      </w:tr>
      <w:tr>
        <w:trPr>
          <w:trHeight w:val="864"/>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00" w:type="dxa"/>
            <w:vAlign w:val="bottom"/>
          </w:tcPr>
          <w:p>
            <w:pPr>
              <w:ind w:left="1620"/>
              <w:spacing w:after="0"/>
              <w:rPr>
                <w:sz w:val="20"/>
                <w:szCs w:val="20"/>
                <w:color w:val="auto"/>
              </w:rPr>
            </w:pPr>
            <w:r>
              <w:rPr>
                <w:rFonts w:ascii="Arial" w:cs="Arial" w:eastAsia="Arial" w:hAnsi="Arial"/>
                <w:sz w:val="18"/>
                <w:szCs w:val="18"/>
                <w:color w:val="auto"/>
              </w:rPr>
              <w:t>32</w:t>
            </w:r>
          </w:p>
        </w:tc>
        <w:tc>
          <w:tcPr>
            <w:tcW w:w="4000" w:type="dxa"/>
            <w:vAlign w:val="bottom"/>
          </w:tcPr>
          <w:p>
            <w:pPr>
              <w:spacing w:after="0"/>
              <w:rPr>
                <w:sz w:val="24"/>
                <w:szCs w:val="24"/>
                <w:color w:val="auto"/>
              </w:rPr>
            </w:pPr>
          </w:p>
        </w:tc>
      </w:tr>
    </w:tbl>
    <w:p>
      <w:pPr>
        <w:sectPr>
          <w:pgSz w:w="11900" w:h="16838" w:orient="portrait"/>
          <w:cols w:equalWidth="0" w:num="1">
            <w:col w:w="11200"/>
          </w:cols>
          <w:pgMar w:left="320" w:top="1046"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25"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ind w:left="660" w:right="80" w:hanging="652"/>
        <w:spacing w:after="0" w:line="271"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660" w:right="140" w:hanging="652"/>
        <w:spacing w:after="0" w:line="271"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660" w:right="140" w:hanging="652"/>
        <w:spacing w:after="0" w:line="271"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ind w:left="1300" w:right="20" w:hanging="320"/>
        <w:spacing w:after="0" w:line="258"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300" w:right="540" w:hanging="320"/>
        <w:spacing w:after="0" w:line="265" w:lineRule="auto"/>
        <w:tabs>
          <w:tab w:leader="none" w:pos="129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300" w:hanging="320"/>
        <w:spacing w:after="0" w:line="250"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60" w:hanging="320"/>
        <w:spacing w:after="0" w:line="258"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660" w:right="120" w:hanging="652"/>
        <w:spacing w:after="0" w:line="271"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68" w:lineRule="exact"/>
        <w:rPr>
          <w:rFonts w:ascii="Arial" w:cs="Arial" w:eastAsia="Arial" w:hAnsi="Arial"/>
          <w:sz w:val="18"/>
          <w:szCs w:val="18"/>
          <w:color w:val="auto"/>
        </w:rPr>
      </w:pPr>
    </w:p>
    <w:p>
      <w:pPr>
        <w:jc w:val="both"/>
        <w:ind w:left="1300" w:right="440" w:hanging="320"/>
        <w:spacing w:after="0" w:line="258"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300" w:right="780" w:hanging="320"/>
        <w:spacing w:after="0" w:line="266" w:lineRule="auto"/>
        <w:tabs>
          <w:tab w:leader="none" w:pos="12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4029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2021</w:t>
      </w:r>
    </w:p>
    <w:p>
      <w:pPr>
        <w:sectPr>
          <w:pgSz w:w="11900" w:h="16838" w:orient="portrait"/>
          <w:cols w:equalWidth="0" w:num="1">
            <w:col w:w="11240"/>
          </w:cols>
          <w:pgMar w:left="320" w:top="88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ind w:left="660" w:right="80" w:hanging="652"/>
        <w:spacing w:after="0" w:line="271"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660" w:right="140" w:hanging="652"/>
        <w:spacing w:after="0" w:line="271"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660" w:right="140" w:hanging="652"/>
        <w:spacing w:after="0" w:line="271"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ind w:left="1300" w:right="20" w:hanging="320"/>
        <w:spacing w:after="0" w:line="258"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300" w:right="540" w:hanging="320"/>
        <w:spacing w:after="0" w:line="265" w:lineRule="auto"/>
        <w:tabs>
          <w:tab w:leader="none" w:pos="129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300" w:hanging="320"/>
        <w:spacing w:after="0" w:line="250"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60" w:hanging="320"/>
        <w:spacing w:after="0" w:line="258"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120" w:hanging="652"/>
        <w:spacing w:after="0" w:line="271"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68" w:lineRule="exact"/>
        <w:rPr>
          <w:rFonts w:ascii="Arial" w:cs="Arial" w:eastAsia="Arial" w:hAnsi="Arial"/>
          <w:sz w:val="18"/>
          <w:szCs w:val="18"/>
          <w:color w:val="auto"/>
        </w:rPr>
      </w:pPr>
    </w:p>
    <w:p>
      <w:pPr>
        <w:jc w:val="both"/>
        <w:ind w:left="1300" w:right="440" w:hanging="320"/>
        <w:spacing w:after="0" w:line="258"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300" w:right="780" w:hanging="320"/>
        <w:spacing w:after="0" w:line="266" w:lineRule="auto"/>
        <w:tabs>
          <w:tab w:leader="none" w:pos="12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4029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Carolan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2021</w:t>
      </w:r>
    </w:p>
    <w:p>
      <w:pPr>
        <w:sectPr>
          <w:pgSz w:w="11900" w:h="16838" w:orient="portrait"/>
          <w:cols w:equalWidth="0" w:num="1">
            <w:col w:w="11240"/>
          </w:cols>
          <w:pgMar w:left="320" w:top="88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Quarterly Report of Commvault Systems, Inc. (the “Company”) on Form 10-Q for the period ended December 31,</w:t>
      </w:r>
    </w:p>
    <w:p>
      <w:pPr>
        <w:spacing w:after="0" w:line="43" w:lineRule="exact"/>
        <w:rPr>
          <w:sz w:val="20"/>
          <w:szCs w:val="20"/>
          <w:color w:val="auto"/>
        </w:rPr>
      </w:pPr>
    </w:p>
    <w:p>
      <w:pPr>
        <w:ind w:right="280"/>
        <w:spacing w:after="0" w:line="296" w:lineRule="auto"/>
        <w:rPr>
          <w:sz w:val="20"/>
          <w:szCs w:val="20"/>
          <w:color w:val="auto"/>
        </w:rPr>
      </w:pPr>
      <w:r>
        <w:rPr>
          <w:rFonts w:ascii="Arial" w:cs="Arial" w:eastAsia="Arial" w:hAnsi="Arial"/>
          <w:sz w:val="17"/>
          <w:szCs w:val="17"/>
          <w:color w:val="auto"/>
        </w:rPr>
        <w:t>2020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49" w:lineRule="exact"/>
        <w:rPr>
          <w:sz w:val="20"/>
          <w:szCs w:val="20"/>
          <w:color w:val="auto"/>
        </w:rPr>
      </w:pPr>
    </w:p>
    <w:p>
      <w:pPr>
        <w:ind w:left="560" w:hanging="309"/>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1" w:lineRule="exact"/>
        <w:rPr>
          <w:rFonts w:ascii="Arial" w:cs="Arial" w:eastAsia="Arial" w:hAnsi="Arial"/>
          <w:sz w:val="18"/>
          <w:szCs w:val="18"/>
          <w:color w:val="auto"/>
        </w:rPr>
      </w:pPr>
    </w:p>
    <w:p>
      <w:pPr>
        <w:ind w:left="580" w:right="100" w:hanging="329"/>
        <w:spacing w:after="0" w:line="266" w:lineRule="auto"/>
        <w:tabs>
          <w:tab w:leader="none" w:pos="5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4029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January 28, 2021</w:t>
      </w:r>
    </w:p>
    <w:p>
      <w:pPr>
        <w:sectPr>
          <w:pgSz w:w="11900" w:h="16838" w:orient="portrait"/>
          <w:cols w:equalWidth="0" w:num="1">
            <w:col w:w="11240"/>
          </w:cols>
          <w:pgMar w:left="320" w:top="88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Quarterly Report of Commvault Systems, Inc. (the “Company”) on Form 10-Q for the period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2020 as filed with the Securities and Exchange Commission (the “Report”), I, Brian Carolan, Vice President and Chief Financial Officer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18 U.S.C. § 1350, as adopted pursuant to § 906 of the Sarbanes-Oxley Act of 2002, that:</w:t>
      </w:r>
    </w:p>
    <w:p>
      <w:pPr>
        <w:spacing w:after="0" w:line="109" w:lineRule="exact"/>
        <w:rPr>
          <w:sz w:val="20"/>
          <w:szCs w:val="20"/>
          <w:color w:val="auto"/>
        </w:rPr>
      </w:pPr>
    </w:p>
    <w:p>
      <w:pPr>
        <w:ind w:left="560" w:hanging="309"/>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1" w:lineRule="exact"/>
        <w:rPr>
          <w:rFonts w:ascii="Arial" w:cs="Arial" w:eastAsia="Arial" w:hAnsi="Arial"/>
          <w:sz w:val="18"/>
          <w:szCs w:val="18"/>
          <w:color w:val="auto"/>
        </w:rPr>
      </w:pPr>
    </w:p>
    <w:p>
      <w:pPr>
        <w:ind w:left="580" w:right="100" w:hanging="329"/>
        <w:spacing w:after="0" w:line="266" w:lineRule="auto"/>
        <w:tabs>
          <w:tab w:leader="none" w:pos="5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4029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Carolan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January 28, 2021</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1."/>
      <w:numFmt w:val="decimal"/>
      <w:start w:val="6"/>
    </w:lvl>
  </w:abstractNum>
  <w:abstractNum w:abstractNumId="5">
    <w:nsid w:val="519B500D"/>
    <w:multiLevelType w:val="hybridMultilevel"/>
    <w:lvl w:ilvl="0">
      <w:lvlJc w:val="left"/>
      <w:lvlText w:val="%1."/>
      <w:numFmt w:val="decimal"/>
      <w:start w:val="7"/>
    </w:lvl>
  </w:abstractNum>
  <w:abstractNum w:abstractNumId="6">
    <w:nsid w:val="431BD7B7"/>
    <w:multiLevelType w:val="hybridMultilevel"/>
    <w:lvl w:ilvl="0">
      <w:lvlJc w:val="left"/>
      <w:lvlText w:val="%1."/>
      <w:numFmt w:val="decimal"/>
      <w:start w:val="8"/>
    </w:lvl>
  </w:abstractNum>
  <w:abstractNum w:abstractNumId="7">
    <w:nsid w:val="3F2DBA31"/>
    <w:multiLevelType w:val="hybridMultilevel"/>
    <w:lvl w:ilvl="0">
      <w:lvlJc w:val="left"/>
      <w:lvlText w:val="%1."/>
      <w:numFmt w:val="decimal"/>
      <w:start w:val="9"/>
    </w:lvl>
  </w:abstractNum>
  <w:abstractNum w:abstractNumId="8">
    <w:nsid w:val="7C83E458"/>
    <w:multiLevelType w:val="hybridMultilevel"/>
    <w:lvl w:ilvl="0">
      <w:lvlJc w:val="left"/>
      <w:lvlText w:val="%1."/>
      <w:numFmt w:val="decimal"/>
      <w:start w:val="10"/>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endash "/>
      <w:numFmt w:val="bullet"/>
      <w:start w:val="1"/>
    </w:lvl>
  </w:abstractNum>
  <w:abstractNum w:abstractNumId="15">
    <w:nsid w:val="2443A858"/>
    <w:multiLevelType w:val="hybridMultilevel"/>
    <w:lvl w:ilvl="0">
      <w:lvlJc w:val="left"/>
      <w:lvlText w:val="\endash "/>
      <w:numFmt w:val="bullet"/>
      <w:start w:val="1"/>
    </w:lvl>
    <w:lvl w:ilvl="1">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endash "/>
      <w:numFmt w:val="bullet"/>
      <w:start w:val="1"/>
    </w:lvl>
  </w:abstractNum>
  <w:abstractNum w:abstractNumId="20">
    <w:nsid w:val="79838CB2"/>
    <w:multiLevelType w:val="hybridMultilevel"/>
    <w:lvl w:ilvl="0">
      <w:lvlJc w:val="left"/>
      <w:lvlText w:val="\endash "/>
      <w:numFmt w:val="bullet"/>
      <w:start w:val="1"/>
    </w:lvl>
    <w:lvl w:ilvl="1">
      <w:lvlJc w:val="left"/>
      <w:lvlText w:val="•"/>
      <w:numFmt w:val="bullet"/>
      <w:start w:val="1"/>
    </w:lvl>
  </w:abstractNum>
  <w:abstractNum w:abstractNumId="21">
    <w:nsid w:val="4353D0CD"/>
    <w:multiLevelType w:val="hybridMultilevel"/>
    <w:lvl w:ilvl="0">
      <w:lvlJc w:val="left"/>
      <w:lvlText w:val="\endash "/>
      <w:numFmt w:val="bullet"/>
      <w:start w:val="1"/>
    </w:lvl>
    <w:lvl w:ilvl="1">
      <w:lvlJc w:val="left"/>
      <w:lvlText w:val="•"/>
      <w:numFmt w:val="bullet"/>
      <w:start w:val="1"/>
    </w:lvl>
  </w:abstractNum>
  <w:abstractNum w:abstractNumId="22">
    <w:nsid w:val="B03E0C6"/>
    <w:multiLevelType w:val="hybridMultilevel"/>
    <w:lvl w:ilvl="0">
      <w:lvlJc w:val="left"/>
      <w:lvlText w:val="\endash "/>
      <w:numFmt w:val="bullet"/>
      <w:start w:val="1"/>
    </w:lvl>
  </w:abstractNum>
  <w:abstractNum w:abstractNumId="23">
    <w:nsid w:val="189A769B"/>
    <w:multiLevelType w:val="hybridMultilevel"/>
    <w:lvl w:ilvl="0">
      <w:lvlJc w:val="left"/>
      <w:lvlText w:val="\endash "/>
      <w:numFmt w:val="bullet"/>
      <w:start w:val="1"/>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2021-01-28T13:06:38Z</dcterms:created>
  <dcterms:modified xsi:type="dcterms:W3CDTF">2021-01-28T13:06:38Z</dcterms:modified>
</cp:coreProperties>
</file>