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76200</wp:posOffset>
            </wp:positionV>
            <wp:extent cx="1943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242570</wp:posOffset>
            </wp:positionV>
            <wp:extent cx="1943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61" w:lineRule="exact"/>
        <w:rPr>
          <w:sz w:val="24"/>
          <w:szCs w:val="24"/>
          <w:color w:val="auto"/>
        </w:rPr>
      </w:pPr>
    </w:p>
    <w:p>
      <w:pPr>
        <w:ind w:left="220" w:hanging="214"/>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225425</wp:posOffset>
            </wp:positionV>
            <wp:extent cx="1943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Commvault Systems,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203835</wp:posOffset>
            </wp:positionV>
            <wp:extent cx="19437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90" w:type="dxa"/>
        <w:tblCellMar>
          <w:top w:w="0" w:type="dxa"/>
          <w:left w:w="0" w:type="dxa"/>
          <w:bottom w:w="0" w:type="dxa"/>
          <w:right w:w="0" w:type="dxa"/>
        </w:tblCellMar>
      </w:tblPr>
      <w:tr>
        <w:trPr>
          <w:trHeight w:val="208"/>
        </w:trPr>
        <w:tc>
          <w:tcPr>
            <w:tcW w:w="3580" w:type="dxa"/>
            <w:vAlign w:val="bottom"/>
          </w:tcPr>
          <w:p>
            <w:pPr>
              <w:jc w:val="center"/>
              <w:ind w:left="1748"/>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jc w:val="center"/>
              <w:ind w:right="1348"/>
              <w:spacing w:after="0"/>
              <w:rPr>
                <w:sz w:val="20"/>
                <w:szCs w:val="20"/>
                <w:color w:val="auto"/>
              </w:rPr>
            </w:pPr>
            <w:r>
              <w:rPr>
                <w:rFonts w:ascii="Arial" w:cs="Arial" w:eastAsia="Arial" w:hAnsi="Arial"/>
                <w:sz w:val="16"/>
                <w:szCs w:val="16"/>
                <w:b w:val="1"/>
                <w:bCs w:val="1"/>
                <w:color w:val="auto"/>
                <w:w w:val="88"/>
              </w:rPr>
              <w:t>22-3447504</w:t>
            </w:r>
          </w:p>
        </w:tc>
      </w:tr>
      <w:tr>
        <w:trPr>
          <w:trHeight w:val="138"/>
        </w:trPr>
        <w:tc>
          <w:tcPr>
            <w:tcW w:w="3580" w:type="dxa"/>
            <w:vAlign w:val="bottom"/>
          </w:tcPr>
          <w:p>
            <w:pPr>
              <w:jc w:val="center"/>
              <w:ind w:left="1768"/>
              <w:spacing w:after="0"/>
              <w:rPr>
                <w:sz w:val="20"/>
                <w:szCs w:val="20"/>
                <w:color w:val="auto"/>
              </w:rPr>
            </w:pPr>
            <w:r>
              <w:rPr>
                <w:rFonts w:ascii="Arial" w:cs="Arial" w:eastAsia="Arial" w:hAnsi="Arial"/>
                <w:sz w:val="12"/>
                <w:szCs w:val="12"/>
                <w:b w:val="1"/>
                <w:bCs w:val="1"/>
                <w:color w:val="auto"/>
                <w:w w:val="93"/>
              </w:rPr>
              <w:t>(State or other jurisdiction of</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20" w:type="dxa"/>
            <w:vAlign w:val="bottom"/>
          </w:tcPr>
          <w:p>
            <w:pPr>
              <w:jc w:val="center"/>
              <w:ind w:right="1348"/>
              <w:spacing w:after="0"/>
              <w:rPr>
                <w:sz w:val="20"/>
                <w:szCs w:val="20"/>
                <w:color w:val="auto"/>
              </w:rPr>
            </w:pPr>
            <w:r>
              <w:rPr>
                <w:rFonts w:ascii="Arial" w:cs="Arial" w:eastAsia="Arial" w:hAnsi="Arial"/>
                <w:sz w:val="12"/>
                <w:szCs w:val="12"/>
                <w:b w:val="1"/>
                <w:bCs w:val="1"/>
                <w:color w:val="auto"/>
                <w:w w:val="95"/>
              </w:rPr>
              <w:t>(I.R.S. Employer</w:t>
            </w:r>
          </w:p>
        </w:tc>
      </w:tr>
      <w:tr>
        <w:trPr>
          <w:trHeight w:val="160"/>
        </w:trPr>
        <w:tc>
          <w:tcPr>
            <w:tcW w:w="3580" w:type="dxa"/>
            <w:vAlign w:val="bottom"/>
          </w:tcPr>
          <w:p>
            <w:pPr>
              <w:jc w:val="center"/>
              <w:ind w:left="1768"/>
              <w:spacing w:after="0"/>
              <w:rPr>
                <w:sz w:val="20"/>
                <w:szCs w:val="20"/>
                <w:color w:val="auto"/>
              </w:rPr>
            </w:pPr>
            <w:r>
              <w:rPr>
                <w:rFonts w:ascii="Arial" w:cs="Arial" w:eastAsia="Arial" w:hAnsi="Arial"/>
                <w:sz w:val="12"/>
                <w:szCs w:val="12"/>
                <w:b w:val="1"/>
                <w:bCs w:val="1"/>
                <w:color w:val="auto"/>
                <w:w w:val="94"/>
              </w:rPr>
              <w:t>incorporation or organization)</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20" w:type="dxa"/>
            <w:vAlign w:val="bottom"/>
          </w:tcPr>
          <w:p>
            <w:pPr>
              <w:jc w:val="center"/>
              <w:ind w:right="1348"/>
              <w:spacing w:after="0"/>
              <w:rPr>
                <w:sz w:val="20"/>
                <w:szCs w:val="20"/>
                <w:color w:val="auto"/>
              </w:rPr>
            </w:pPr>
            <w:r>
              <w:rPr>
                <w:rFonts w:ascii="Arial" w:cs="Arial" w:eastAsia="Arial" w:hAnsi="Arial"/>
                <w:sz w:val="12"/>
                <w:szCs w:val="12"/>
                <w:b w:val="1"/>
                <w:bCs w:val="1"/>
                <w:color w:val="auto"/>
                <w:w w:val="94"/>
              </w:rPr>
              <w:t>Identification No.)</w:t>
            </w:r>
          </w:p>
        </w:tc>
      </w:tr>
      <w:tr>
        <w:trPr>
          <w:trHeight w:val="272"/>
        </w:trPr>
        <w:tc>
          <w:tcPr>
            <w:tcW w:w="3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7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2"/>
              </w:rPr>
              <w:t>1 Commvault Way</w:t>
            </w:r>
          </w:p>
        </w:tc>
        <w:tc>
          <w:tcPr>
            <w:tcW w:w="3820" w:type="dxa"/>
            <w:vAlign w:val="bottom"/>
          </w:tcPr>
          <w:p>
            <w:pPr>
              <w:spacing w:after="0"/>
              <w:rPr>
                <w:sz w:val="23"/>
                <w:szCs w:val="23"/>
                <w:color w:val="auto"/>
              </w:rPr>
            </w:pPr>
          </w:p>
        </w:tc>
      </w:tr>
      <w:tr>
        <w:trPr>
          <w:trHeight w:val="220"/>
        </w:trPr>
        <w:tc>
          <w:tcPr>
            <w:tcW w:w="3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 xml:space="preserve">Tinton Falls, New Jersey </w:t>
            </w:r>
            <w:r>
              <w:rPr>
                <w:rFonts w:ascii="Arial" w:cs="Arial" w:eastAsia="Arial" w:hAnsi="Arial"/>
                <w:sz w:val="17"/>
                <w:szCs w:val="17"/>
                <w:b w:val="1"/>
                <w:bCs w:val="1"/>
                <w:color w:val="auto"/>
                <w:w w:val="90"/>
              </w:rPr>
              <w:t>07724</w:t>
            </w:r>
          </w:p>
        </w:tc>
        <w:tc>
          <w:tcPr>
            <w:tcW w:w="3820" w:type="dxa"/>
            <w:vAlign w:val="bottom"/>
          </w:tcPr>
          <w:p>
            <w:pPr>
              <w:spacing w:after="0"/>
              <w:rPr>
                <w:sz w:val="19"/>
                <w:szCs w:val="19"/>
                <w:color w:val="auto"/>
              </w:rPr>
            </w:pPr>
          </w:p>
        </w:tc>
      </w:tr>
      <w:tr>
        <w:trPr>
          <w:trHeight w:val="204"/>
        </w:trPr>
        <w:tc>
          <w:tcPr>
            <w:tcW w:w="3580" w:type="dxa"/>
            <w:vAlign w:val="bottom"/>
          </w:tcPr>
          <w:p>
            <w:pPr>
              <w:spacing w:after="0"/>
              <w:rPr>
                <w:sz w:val="17"/>
                <w:szCs w:val="17"/>
                <w:color w:val="auto"/>
              </w:rPr>
            </w:pPr>
          </w:p>
        </w:tc>
        <w:tc>
          <w:tcPr>
            <w:tcW w:w="7520" w:type="dxa"/>
            <w:vAlign w:val="bottom"/>
            <w:gridSpan w:val="6"/>
          </w:tcPr>
          <w:p>
            <w:pPr>
              <w:jc w:val="center"/>
              <w:ind w:right="3508"/>
              <w:spacing w:after="0"/>
              <w:rPr>
                <w:sz w:val="20"/>
                <w:szCs w:val="20"/>
                <w:color w:val="auto"/>
              </w:rPr>
            </w:pPr>
            <w:r>
              <w:rPr>
                <w:rFonts w:ascii="Arial" w:cs="Arial" w:eastAsia="Arial" w:hAnsi="Arial"/>
                <w:sz w:val="16"/>
                <w:szCs w:val="16"/>
                <w:color w:val="auto"/>
                <w:w w:val="92"/>
              </w:rPr>
              <w:t>(Address of principal executive offices, including zip code)</w:t>
            </w:r>
          </w:p>
        </w:tc>
      </w:tr>
      <w:tr>
        <w:trPr>
          <w:trHeight w:val="424"/>
        </w:trPr>
        <w:tc>
          <w:tcPr>
            <w:tcW w:w="3580" w:type="dxa"/>
            <w:vAlign w:val="bottom"/>
          </w:tcPr>
          <w:p>
            <w:pPr>
              <w:spacing w:after="0"/>
              <w:rPr>
                <w:sz w:val="24"/>
                <w:szCs w:val="24"/>
                <w:color w:val="auto"/>
              </w:rPr>
            </w:pPr>
          </w:p>
        </w:tc>
        <w:tc>
          <w:tcPr>
            <w:tcW w:w="2880" w:type="dxa"/>
            <w:vAlign w:val="bottom"/>
            <w:gridSpan w:val="3"/>
          </w:tcPr>
          <w:p>
            <w:pPr>
              <w:jc w:val="center"/>
              <w:ind w:left="961"/>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b w:val="1"/>
                <w:bCs w:val="1"/>
                <w:color w:val="auto"/>
                <w:w w:val="96"/>
              </w:rPr>
              <w:t>732) 870-4000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60"/>
        </w:trPr>
        <w:tc>
          <w:tcPr>
            <w:tcW w:w="3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6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3820" w:type="dxa"/>
            <w:vAlign w:val="bottom"/>
          </w:tcPr>
          <w:p>
            <w:pPr>
              <w:spacing w:after="0"/>
              <w:rPr>
                <w:sz w:val="13"/>
                <w:szCs w:val="13"/>
                <w:color w:val="auto"/>
              </w:rPr>
            </w:pPr>
          </w:p>
        </w:tc>
      </w:tr>
      <w:tr>
        <w:trPr>
          <w:trHeight w:val="110"/>
        </w:trPr>
        <w:tc>
          <w:tcPr>
            <w:tcW w:w="3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20" w:type="dxa"/>
            <w:vAlign w:val="bottom"/>
          </w:tcPr>
          <w:p>
            <w:pPr>
              <w:spacing w:after="0"/>
              <w:rPr>
                <w:sz w:val="9"/>
                <w:szCs w:val="9"/>
                <w:color w:val="auto"/>
              </w:rPr>
            </w:pPr>
          </w:p>
        </w:tc>
      </w:tr>
      <w:tr>
        <w:trPr>
          <w:trHeight w:val="287"/>
        </w:trPr>
        <w:tc>
          <w:tcPr>
            <w:tcW w:w="3580" w:type="dxa"/>
            <w:vAlign w:val="bottom"/>
          </w:tcPr>
          <w:p>
            <w:pPr>
              <w:spacing w:after="0"/>
              <w:rPr>
                <w:sz w:val="24"/>
                <w:szCs w:val="24"/>
                <w:color w:val="auto"/>
              </w:rPr>
            </w:pPr>
          </w:p>
        </w:tc>
        <w:tc>
          <w:tcPr>
            <w:tcW w:w="370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820" w:type="dxa"/>
            <w:vAlign w:val="bottom"/>
          </w:tcPr>
          <w:p>
            <w:pPr>
              <w:spacing w:after="0"/>
              <w:rPr>
                <w:sz w:val="24"/>
                <w:szCs w:val="24"/>
                <w:color w:val="auto"/>
              </w:rPr>
            </w:pPr>
          </w:p>
        </w:tc>
      </w:tr>
      <w:tr>
        <w:trPr>
          <w:trHeight w:val="117"/>
        </w:trPr>
        <w:tc>
          <w:tcPr>
            <w:tcW w:w="3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r>
      <w:tr>
        <w:trPr>
          <w:trHeight w:val="203"/>
        </w:trPr>
        <w:tc>
          <w:tcPr>
            <w:tcW w:w="3580" w:type="dxa"/>
            <w:vAlign w:val="bottom"/>
            <w:tcBorders>
              <w:left w:val="single" w:sz="8" w:color="auto"/>
              <w:bottom w:val="single" w:sz="8" w:color="auto"/>
            </w:tcBorders>
          </w:tcPr>
          <w:p>
            <w:pPr>
              <w:jc w:val="center"/>
              <w:ind w:left="888"/>
              <w:spacing w:after="0"/>
              <w:rPr>
                <w:sz w:val="20"/>
                <w:szCs w:val="20"/>
                <w:color w:val="auto"/>
              </w:rPr>
            </w:pPr>
            <w:r>
              <w:rPr>
                <w:rFonts w:ascii="Arial" w:cs="Arial" w:eastAsia="Arial" w:hAnsi="Arial"/>
                <w:sz w:val="16"/>
                <w:szCs w:val="16"/>
                <w:b w:val="1"/>
                <w:bCs w:val="1"/>
                <w:color w:val="auto"/>
                <w:w w:val="85"/>
              </w:rPr>
              <w:t>Title of each class</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jc w:val="center"/>
              <w:ind w:right="788"/>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205"/>
        </w:trPr>
        <w:tc>
          <w:tcPr>
            <w:tcW w:w="3580" w:type="dxa"/>
            <w:vAlign w:val="bottom"/>
            <w:tcBorders>
              <w:left w:val="single" w:sz="8" w:color="auto"/>
              <w:bottom w:val="single" w:sz="8" w:color="auto"/>
            </w:tcBorders>
          </w:tcPr>
          <w:p>
            <w:pPr>
              <w:jc w:val="center"/>
              <w:ind w:left="888"/>
              <w:spacing w:after="0"/>
              <w:rPr>
                <w:sz w:val="20"/>
                <w:szCs w:val="20"/>
                <w:color w:val="auto"/>
              </w:rPr>
            </w:pPr>
            <w:r>
              <w:rPr>
                <w:rFonts w:ascii="Arial" w:cs="Arial" w:eastAsia="Arial" w:hAnsi="Arial"/>
                <w:sz w:val="16"/>
                <w:szCs w:val="16"/>
                <w:color w:val="auto"/>
                <w:w w:val="89"/>
              </w:rPr>
              <w:t>Common Stock</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820" w:type="dxa"/>
            <w:vAlign w:val="bottom"/>
            <w:tcBorders>
              <w:bottom w:val="single" w:sz="8" w:color="auto"/>
            </w:tcBorders>
            <w:gridSpan w:val="2"/>
          </w:tcPr>
          <w:p>
            <w:pPr>
              <w:spacing w:after="0"/>
              <w:rPr>
                <w:sz w:val="17"/>
                <w:szCs w:val="17"/>
                <w:color w:val="auto"/>
              </w:rPr>
            </w:pPr>
          </w:p>
        </w:tc>
        <w:tc>
          <w:tcPr>
            <w:tcW w:w="3820" w:type="dxa"/>
            <w:vAlign w:val="bottom"/>
            <w:tcBorders>
              <w:bottom w:val="single" w:sz="8" w:color="auto"/>
              <w:right w:val="single" w:sz="8" w:color="auto"/>
            </w:tcBorders>
          </w:tcPr>
          <w:p>
            <w:pPr>
              <w:jc w:val="center"/>
              <w:ind w:right="788"/>
              <w:spacing w:after="0"/>
              <w:rPr>
                <w:sz w:val="20"/>
                <w:szCs w:val="20"/>
                <w:color w:val="auto"/>
              </w:rPr>
            </w:pPr>
            <w:r>
              <w:rPr>
                <w:rFonts w:ascii="Arial" w:cs="Arial" w:eastAsia="Arial" w:hAnsi="Arial"/>
                <w:sz w:val="16"/>
                <w:szCs w:val="16"/>
                <w:color w:val="auto"/>
                <w:w w:val="93"/>
              </w:rPr>
              <w:t>The NASDAQ Stock Market</w:t>
            </w:r>
          </w:p>
        </w:tc>
      </w:tr>
    </w:tbl>
    <w:p>
      <w:pPr>
        <w:spacing w:after="0" w:line="193" w:lineRule="exact"/>
        <w:rPr>
          <w:sz w:val="24"/>
          <w:szCs w:val="24"/>
          <w:color w:val="auto"/>
        </w:rPr>
      </w:pPr>
    </w:p>
    <w:p>
      <w:pPr>
        <w:ind w:right="16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76" w:lineRule="exact"/>
        <w:rPr>
          <w:sz w:val="24"/>
          <w:szCs w:val="24"/>
          <w:color w:val="auto"/>
        </w:rPr>
      </w:pPr>
    </w:p>
    <w:p>
      <w:pPr>
        <w:ind w:right="24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202" w:lineRule="exact"/>
        <w:rPr>
          <w:sz w:val="24"/>
          <w:szCs w:val="24"/>
          <w:color w:val="auto"/>
        </w:rPr>
      </w:pPr>
    </w:p>
    <w:p>
      <w:pPr>
        <w:ind w:right="80"/>
        <w:spacing w:after="0" w:line="30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ectPr>
          <w:pgSz w:w="11900" w:h="16838" w:orient="portrait"/>
          <w:cols w:equalWidth="0" w:num="1">
            <w:col w:w="11180"/>
          </w:cols>
          <w:pgMar w:left="320" w:top="1053" w:right="399" w:bottom="1440" w:gutter="0" w:footer="0" w:header="0"/>
        </w:sectPr>
      </w:pPr>
    </w:p>
    <w:p>
      <w:pPr>
        <w:spacing w:after="0" w:line="101" w:lineRule="exact"/>
        <w:rPr>
          <w:sz w:val="24"/>
          <w:szCs w:val="24"/>
          <w:color w:val="auto"/>
        </w:rPr>
      </w:pPr>
    </w:p>
    <w:p>
      <w:pPr>
        <w:ind w:left="20"/>
        <w:spacing w:after="0" w:line="161" w:lineRule="exact"/>
        <w:tabs>
          <w:tab w:leader="none" w:pos="2720" w:val="left"/>
          <w:tab w:leader="none" w:pos="3060" w:val="left"/>
          <w:tab w:leader="none" w:pos="5060" w:val="left"/>
          <w:tab w:leader="none" w:pos="5360" w:val="left"/>
          <w:tab w:leader="none" w:pos="7360" w:val="left"/>
          <w:tab w:leader="none" w:pos="77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48" w:lineRule="exact"/>
        <w:rPr>
          <w:sz w:val="24"/>
          <w:szCs w:val="24"/>
          <w:color w:val="auto"/>
        </w:rPr>
      </w:pPr>
    </w:p>
    <w:p>
      <w:pPr>
        <w:ind w:left="20"/>
        <w:spacing w:after="0" w:line="161" w:lineRule="exact"/>
        <w:tabs>
          <w:tab w:leader="none" w:pos="27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5" w:lineRule="exact"/>
        <w:rPr>
          <w:sz w:val="24"/>
          <w:szCs w:val="24"/>
          <w:color w:val="auto"/>
        </w:rPr>
      </w:pPr>
    </w:p>
    <w:p>
      <w:pPr>
        <w:ind w:left="20"/>
        <w:spacing w:after="0" w:line="22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w:t>
      </w:r>
    </w:p>
    <w:p>
      <w:pPr>
        <w:spacing w:after="0" w:line="191" w:lineRule="exact"/>
        <w:rPr>
          <w:sz w:val="24"/>
          <w:szCs w:val="24"/>
          <w:color w:val="auto"/>
        </w:rPr>
      </w:pPr>
    </w:p>
    <w:p>
      <w:pPr>
        <w:spacing w:after="0" w:line="196" w:lineRule="exact"/>
        <w:tabs>
          <w:tab w:leader="none" w:pos="6540" w:val="left"/>
          <w:tab w:leader="none" w:pos="71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6" w:lineRule="exact"/>
        <w:rPr>
          <w:sz w:val="24"/>
          <w:szCs w:val="24"/>
          <w:color w:val="auto"/>
        </w:rPr>
      </w:pPr>
    </w:p>
    <w:p>
      <w:pPr>
        <w:sectPr>
          <w:pgSz w:w="11900" w:h="16838" w:orient="portrait"/>
          <w:cols w:equalWidth="0" w:num="2">
            <w:col w:w="9840" w:space="220"/>
            <w:col w:w="1120"/>
          </w:cols>
          <w:pgMar w:left="320" w:top="1053" w:right="399" w:bottom="1440" w:gutter="0" w:footer="0" w:header="0"/>
          <w:type w:val="continuous"/>
        </w:sectPr>
      </w:pP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color w:val="auto"/>
        </w:rPr>
        <w:t>As of July 27, 2021, there were 45,870,960 shares of the registrant’s common stock, $0.01 par value, outstanding.</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type w:val="continuous"/>
        </w:sectPr>
      </w:pPr>
    </w:p>
    <w:bookmarkStart w:id="1" w:name="page2"/>
    <w:bookmarkEnd w:id="1"/>
    <w:p>
      <w:pPr>
        <w:jc w:val="center"/>
        <w:ind w:right="-79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FORM 10-Q</w:t>
      </w:r>
    </w:p>
    <w:p>
      <w:pPr>
        <w:spacing w:after="0" w:line="19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60" w:type="dxa"/>
            <w:vAlign w:val="bottom"/>
            <w:gridSpan w:val="20"/>
            <w:vMerge w:val="restart"/>
          </w:tcPr>
          <w:p>
            <w:pPr>
              <w:spacing w:after="0"/>
              <w:rPr>
                <w:sz w:val="20"/>
                <w:szCs w:val="20"/>
                <w:color w:val="auto"/>
              </w:rPr>
            </w:pPr>
            <w:r>
              <w:rPr>
                <w:rFonts w:ascii="Arial" w:cs="Arial" w:eastAsia="Arial" w:hAnsi="Arial"/>
                <w:sz w:val="18"/>
                <w:szCs w:val="18"/>
                <w:b w:val="1"/>
                <w:bCs w:val="1"/>
                <w:color w:val="00B2A9"/>
              </w:rPr>
              <w:t>Part I – FINANCIAL INFORMATION</w:t>
            </w: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4"/>
        </w:trPr>
        <w:tc>
          <w:tcPr>
            <w:tcW w:w="9760" w:type="dxa"/>
            <w:vAlign w:val="bottom"/>
            <w:gridSpan w:val="20"/>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19"/>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8740" w:type="dxa"/>
            <w:vAlign w:val="bottom"/>
            <w:gridSpan w:val="19"/>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Balance Sheets as of June 30, 2021 and March 31, 2021</w:t>
              </w:r>
            </w:hyperlink>
          </w:p>
        </w:tc>
        <w:tc>
          <w:tcPr>
            <w:tcW w:w="640" w:type="dxa"/>
            <w:vAlign w:val="bottom"/>
            <w:gridSpan w:val="4"/>
          </w:tcPr>
          <w:p>
            <w:pPr>
              <w:jc w:val="right"/>
              <w:ind w:right="20"/>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060" w:type="dxa"/>
            <w:vAlign w:val="bottom"/>
            <w:gridSpan w:val="15"/>
          </w:tcPr>
          <w:p>
            <w:pPr>
              <w:spacing w:after="0" w:line="205"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 Consolidated Statements of Operations for the three months ended June 30, 2021 and 2020</w:t>
              </w:r>
            </w:hyperlink>
          </w:p>
        </w:tc>
        <w:tc>
          <w:tcPr>
            <w:tcW w:w="680" w:type="dxa"/>
            <w:vAlign w:val="bottom"/>
            <w:gridSpan w:val="4"/>
          </w:tcPr>
          <w:p>
            <w:pPr>
              <w:spacing w:after="0"/>
              <w:rPr>
                <w:sz w:val="17"/>
                <w:szCs w:val="17"/>
                <w:color w:val="auto"/>
              </w:rPr>
            </w:pPr>
          </w:p>
        </w:tc>
        <w:tc>
          <w:tcPr>
            <w:tcW w:w="520" w:type="dxa"/>
            <w:vAlign w:val="bottom"/>
            <w:gridSpan w:val="2"/>
          </w:tcPr>
          <w:p>
            <w:pPr>
              <w:spacing w:after="0"/>
              <w:rPr>
                <w:sz w:val="17"/>
                <w:szCs w:val="17"/>
                <w:color w:val="auto"/>
              </w:rPr>
            </w:pPr>
          </w:p>
        </w:tc>
        <w:tc>
          <w:tcPr>
            <w:tcW w:w="120" w:type="dxa"/>
            <w:vAlign w:val="bottom"/>
            <w:gridSpan w:val="2"/>
          </w:tcPr>
          <w:p>
            <w:pPr>
              <w:jc w:val="right"/>
              <w:ind w:right="20"/>
              <w:spacing w:after="0" w:line="205"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19"/>
          </w:tcPr>
          <w:p>
            <w:pPr>
              <w:spacing w:after="0" w:line="205"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Unaudited Consolidated Statements of Comprehensive Income for the three months ended June 30, 2021 and</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8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5"/>
              </w:rPr>
            </w:pPr>
            <w:hyperlink w:anchor="page4">
              <w:r>
                <w:rPr>
                  <w:rFonts w:ascii="Arial" w:cs="Arial" w:eastAsia="Arial" w:hAnsi="Arial"/>
                  <w:sz w:val="17"/>
                  <w:szCs w:val="17"/>
                  <w:color w:val="0000FF"/>
                  <w:w w:val="95"/>
                </w:rPr>
                <w:t>2020</w:t>
              </w:r>
            </w:hyperlink>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19"/>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Unaudited Consolidated Statements of Stockholders’ Equity for the three months ended June 30, 2021 and</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8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5"/>
              </w:rPr>
            </w:pPr>
            <w:hyperlink w:anchor="page5">
              <w:r>
                <w:rPr>
                  <w:rFonts w:ascii="Arial" w:cs="Arial" w:eastAsia="Arial" w:hAnsi="Arial"/>
                  <w:sz w:val="17"/>
                  <w:szCs w:val="17"/>
                  <w:color w:val="0000FF"/>
                  <w:w w:val="95"/>
                </w:rPr>
                <w:t>2020</w:t>
              </w:r>
            </w:hyperlink>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19"/>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Cash Flows for the three months ended June 30, 2021 and 2020</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100" w:type="dxa"/>
            <w:vAlign w:val="bottom"/>
            <w:gridSpan w:val="16"/>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 (unaudited)</w:t>
              </w:r>
            </w:hyperlink>
          </w:p>
        </w:tc>
        <w:tc>
          <w:tcPr>
            <w:tcW w:w="640" w:type="dxa"/>
            <w:vAlign w:val="bottom"/>
            <w:gridSpan w:val="3"/>
          </w:tcPr>
          <w:p>
            <w:pPr>
              <w:spacing w:after="0"/>
              <w:rPr>
                <w:sz w:val="17"/>
                <w:szCs w:val="17"/>
                <w:color w:val="auto"/>
              </w:rPr>
            </w:pPr>
          </w:p>
        </w:tc>
        <w:tc>
          <w:tcPr>
            <w:tcW w:w="520" w:type="dxa"/>
            <w:vAlign w:val="bottom"/>
            <w:gridSpan w:val="2"/>
          </w:tcPr>
          <w:p>
            <w:pPr>
              <w:spacing w:after="0"/>
              <w:rPr>
                <w:sz w:val="17"/>
                <w:szCs w:val="17"/>
                <w:color w:val="auto"/>
              </w:rPr>
            </w:pPr>
          </w:p>
        </w:tc>
        <w:tc>
          <w:tcPr>
            <w:tcW w:w="120" w:type="dxa"/>
            <w:vAlign w:val="bottom"/>
            <w:gridSpan w:val="2"/>
          </w:tcPr>
          <w:p>
            <w:pPr>
              <w:jc w:val="right"/>
              <w:ind w:right="20"/>
              <w:spacing w:after="0" w:line="205"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6940" w:type="dxa"/>
            <w:vAlign w:val="bottom"/>
            <w:gridSpan w:val="14"/>
          </w:tcPr>
          <w:p>
            <w:pPr>
              <w:spacing w:after="0" w:line="205" w:lineRule="exact"/>
              <w:rPr>
                <w:rFonts w:ascii="Arial" w:cs="Arial" w:eastAsia="Arial" w:hAnsi="Arial"/>
                <w:sz w:val="18"/>
                <w:szCs w:val="18"/>
                <w:color w:val="0000FF"/>
                <w:w w:val="97"/>
              </w:rPr>
            </w:pPr>
            <w:hyperlink w:anchor="page16">
              <w:r>
                <w:rPr>
                  <w:rFonts w:ascii="Arial" w:cs="Arial" w:eastAsia="Arial" w:hAnsi="Arial"/>
                  <w:sz w:val="18"/>
                  <w:szCs w:val="18"/>
                  <w:color w:val="0000FF"/>
                  <w:w w:val="97"/>
                </w:rPr>
                <w:t>Management’s Discussion and Analysis of Financial Condition and Results of Operations</w:t>
              </w:r>
            </w:hyperlink>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600" w:type="dxa"/>
            <w:vAlign w:val="bottom"/>
            <w:gridSpan w:val="11"/>
          </w:tcPr>
          <w:p>
            <w:pPr>
              <w:spacing w:after="0" w:line="205" w:lineRule="exact"/>
              <w:rPr>
                <w:rFonts w:ascii="Arial" w:cs="Arial" w:eastAsia="Arial" w:hAnsi="Arial"/>
                <w:sz w:val="18"/>
                <w:szCs w:val="18"/>
                <w:color w:val="0000FF"/>
                <w:w w:val="97"/>
              </w:rPr>
            </w:pPr>
            <w:hyperlink w:anchor="page24">
              <w:r>
                <w:rPr>
                  <w:rFonts w:ascii="Arial" w:cs="Arial" w:eastAsia="Arial" w:hAnsi="Arial"/>
                  <w:sz w:val="18"/>
                  <w:szCs w:val="18"/>
                  <w:color w:val="0000FF"/>
                  <w:w w:val="97"/>
                </w:rPr>
                <w:t>Quantitative and Qualitative Disclosures about Market Risk</w:t>
              </w:r>
            </w:hyperlink>
          </w:p>
        </w:tc>
        <w:tc>
          <w:tcPr>
            <w:tcW w:w="2340" w:type="dxa"/>
            <w:vAlign w:val="bottom"/>
            <w:gridSpan w:val="3"/>
          </w:tcPr>
          <w:p>
            <w:pPr>
              <w:spacing w:after="0"/>
              <w:rPr>
                <w:sz w:val="17"/>
                <w:szCs w:val="17"/>
                <w:color w:val="auto"/>
              </w:rPr>
            </w:pPr>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4600" w:type="dxa"/>
            <w:vAlign w:val="bottom"/>
            <w:gridSpan w:val="11"/>
          </w:tcPr>
          <w:p>
            <w:pPr>
              <w:spacing w:after="0" w:line="205" w:lineRule="exact"/>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414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00" w:type="dxa"/>
            <w:vAlign w:val="bottom"/>
            <w:tcBorders>
              <w:bottom w:val="single" w:sz="8" w:color="0000FF"/>
            </w:tcBorders>
            <w:gridSpan w:val="8"/>
          </w:tcPr>
          <w:p>
            <w:pPr>
              <w:spacing w:after="0"/>
              <w:rPr>
                <w:rFonts w:ascii="Arial" w:cs="Arial" w:eastAsia="Arial" w:hAnsi="Arial"/>
                <w:sz w:val="18"/>
                <w:szCs w:val="18"/>
                <w:b w:val="1"/>
                <w:bCs w:val="1"/>
                <w:color w:val="0000FF"/>
                <w:w w:val="97"/>
              </w:rPr>
            </w:pPr>
            <w:hyperlink w:anchor="page25">
              <w:r>
                <w:rPr>
                  <w:rFonts w:ascii="Arial" w:cs="Arial" w:eastAsia="Arial" w:hAnsi="Arial"/>
                  <w:sz w:val="18"/>
                  <w:szCs w:val="18"/>
                  <w:b w:val="1"/>
                  <w:bCs w:val="1"/>
                  <w:color w:val="0000FF"/>
                  <w:w w:val="97"/>
                </w:rPr>
                <w:t>Part II – OTHER INFORMATION</w:t>
              </w:r>
            </w:hyperlink>
          </w:p>
        </w:tc>
        <w:tc>
          <w:tcPr>
            <w:tcW w:w="716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1460" w:type="dxa"/>
            <w:vAlign w:val="bottom"/>
            <w:gridSpan w:val="6"/>
          </w:tcPr>
          <w:p>
            <w:pPr>
              <w:spacing w:after="0" w:line="205" w:lineRule="exact"/>
              <w:rPr>
                <w:rFonts w:ascii="Arial" w:cs="Arial" w:eastAsia="Arial" w:hAnsi="Arial"/>
                <w:sz w:val="18"/>
                <w:szCs w:val="18"/>
                <w:color w:val="0000FF"/>
                <w:w w:val="96"/>
              </w:rPr>
            </w:pPr>
            <w:hyperlink w:anchor="page26">
              <w:r>
                <w:rPr>
                  <w:rFonts w:ascii="Arial" w:cs="Arial" w:eastAsia="Arial" w:hAnsi="Arial"/>
                  <w:sz w:val="18"/>
                  <w:szCs w:val="18"/>
                  <w:color w:val="0000FF"/>
                  <w:w w:val="96"/>
                </w:rPr>
                <w:t>Legal Proceedings</w:t>
              </w:r>
            </w:hyperlink>
          </w:p>
        </w:tc>
        <w:tc>
          <w:tcPr>
            <w:tcW w:w="72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80" w:type="dxa"/>
            <w:vAlign w:val="bottom"/>
            <w:gridSpan w:val="4"/>
          </w:tcPr>
          <w:p>
            <w:pPr>
              <w:spacing w:after="0" w:line="205" w:lineRule="exact"/>
              <w:rPr>
                <w:rFonts w:ascii="Arial" w:cs="Arial" w:eastAsia="Arial" w:hAnsi="Arial"/>
                <w:sz w:val="18"/>
                <w:szCs w:val="18"/>
                <w:color w:val="0000FF"/>
                <w:w w:val="95"/>
              </w:rPr>
            </w:pPr>
            <w:hyperlink w:anchor="page26">
              <w:r>
                <w:rPr>
                  <w:rFonts w:ascii="Arial" w:cs="Arial" w:eastAsia="Arial" w:hAnsi="Arial"/>
                  <w:sz w:val="18"/>
                  <w:szCs w:val="18"/>
                  <w:color w:val="0000FF"/>
                  <w:w w:val="95"/>
                </w:rPr>
                <w:t>Risk Factors</w:t>
              </w:r>
            </w:hyperlink>
          </w:p>
        </w:tc>
        <w:tc>
          <w:tcPr>
            <w:tcW w:w="480" w:type="dxa"/>
            <w:vAlign w:val="bottom"/>
            <w:gridSpan w:val="2"/>
          </w:tcPr>
          <w:p>
            <w:pPr>
              <w:spacing w:after="0"/>
              <w:rPr>
                <w:sz w:val="17"/>
                <w:szCs w:val="17"/>
                <w:color w:val="auto"/>
              </w:rPr>
            </w:pPr>
          </w:p>
        </w:tc>
        <w:tc>
          <w:tcPr>
            <w:tcW w:w="72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8740" w:type="dxa"/>
            <w:vAlign w:val="bottom"/>
            <w:gridSpan w:val="19"/>
          </w:tcPr>
          <w:p>
            <w:pPr>
              <w:spacing w:after="0" w:line="205" w:lineRule="exact"/>
              <w:rPr>
                <w:rFonts w:ascii="Arial" w:cs="Arial" w:eastAsia="Arial" w:hAnsi="Arial"/>
                <w:sz w:val="18"/>
                <w:szCs w:val="18"/>
                <w:color w:val="0000FF"/>
              </w:rPr>
            </w:pPr>
            <w:hyperlink w:anchor="page26">
              <w:r>
                <w:rPr>
                  <w:rFonts w:ascii="Arial" w:cs="Arial" w:eastAsia="Arial" w:hAnsi="Arial"/>
                  <w:sz w:val="18"/>
                  <w:szCs w:val="18"/>
                  <w:color w:val="0000FF"/>
                </w:rPr>
                <w:t>Unregistered Sale of Equity Securities and Use of Proceeds</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2500" w:type="dxa"/>
            <w:vAlign w:val="bottom"/>
            <w:gridSpan w:val="9"/>
          </w:tcPr>
          <w:p>
            <w:pPr>
              <w:spacing w:after="0" w:line="205" w:lineRule="exact"/>
              <w:rPr>
                <w:rFonts w:ascii="Arial" w:cs="Arial" w:eastAsia="Arial" w:hAnsi="Arial"/>
                <w:sz w:val="18"/>
                <w:szCs w:val="18"/>
                <w:color w:val="0000FF"/>
                <w:w w:val="97"/>
              </w:rPr>
            </w:pPr>
            <w:hyperlink w:anchor="page26">
              <w:r>
                <w:rPr>
                  <w:rFonts w:ascii="Arial" w:cs="Arial" w:eastAsia="Arial" w:hAnsi="Arial"/>
                  <w:sz w:val="18"/>
                  <w:szCs w:val="18"/>
                  <w:color w:val="0000FF"/>
                  <w:w w:val="97"/>
                </w:rPr>
                <w:t>Defaults Upon Senior Securities</w:t>
              </w:r>
            </w:hyperlink>
          </w:p>
        </w:tc>
        <w:tc>
          <w:tcPr>
            <w:tcW w:w="2160" w:type="dxa"/>
            <w:vAlign w:val="bottom"/>
            <w:gridSpan w:val="3"/>
          </w:tcPr>
          <w:p>
            <w:pPr>
              <w:spacing w:after="0"/>
              <w:rPr>
                <w:sz w:val="17"/>
                <w:szCs w:val="17"/>
                <w:color w:val="auto"/>
              </w:rPr>
            </w:pPr>
          </w:p>
        </w:tc>
        <w:tc>
          <w:tcPr>
            <w:tcW w:w="40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2500" w:type="dxa"/>
            <w:vAlign w:val="bottom"/>
            <w:gridSpan w:val="9"/>
          </w:tcPr>
          <w:p>
            <w:pPr>
              <w:spacing w:after="0" w:line="205" w:lineRule="exact"/>
              <w:rPr>
                <w:rFonts w:ascii="Arial" w:cs="Arial" w:eastAsia="Arial" w:hAnsi="Arial"/>
                <w:sz w:val="18"/>
                <w:szCs w:val="18"/>
                <w:color w:val="0000FF"/>
              </w:rPr>
            </w:pPr>
            <w:hyperlink w:anchor="page26">
              <w:r>
                <w:rPr>
                  <w:rFonts w:ascii="Arial" w:cs="Arial" w:eastAsia="Arial" w:hAnsi="Arial"/>
                  <w:sz w:val="18"/>
                  <w:szCs w:val="18"/>
                  <w:color w:val="0000FF"/>
                </w:rPr>
                <w:t>Mine Safety Disclosures</w:t>
              </w:r>
            </w:hyperlink>
          </w:p>
        </w:tc>
        <w:tc>
          <w:tcPr>
            <w:tcW w:w="624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86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880" w:type="dxa"/>
            <w:vAlign w:val="bottom"/>
            <w:gridSpan w:val="8"/>
          </w:tcPr>
          <w:p>
            <w:pPr>
              <w:spacing w:after="0" w:line="205" w:lineRule="exact"/>
              <w:rPr>
                <w:rFonts w:ascii="Arial" w:cs="Arial" w:eastAsia="Arial" w:hAnsi="Arial"/>
                <w:sz w:val="18"/>
                <w:szCs w:val="18"/>
                <w:color w:val="0000FF"/>
              </w:rPr>
            </w:pPr>
            <w:hyperlink w:anchor="page26">
              <w:r>
                <w:rPr>
                  <w:rFonts w:ascii="Arial" w:cs="Arial" w:eastAsia="Arial" w:hAnsi="Arial"/>
                  <w:sz w:val="18"/>
                  <w:szCs w:val="18"/>
                  <w:color w:val="0000FF"/>
                </w:rPr>
                <w:t>Other Information</w:t>
              </w:r>
            </w:hyperlink>
          </w:p>
        </w:tc>
        <w:tc>
          <w:tcPr>
            <w:tcW w:w="686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1360" w:type="dxa"/>
            <w:vAlign w:val="bottom"/>
            <w:gridSpan w:val="5"/>
          </w:tcPr>
          <w:p>
            <w:pPr>
              <w:spacing w:after="0" w:line="205" w:lineRule="exact"/>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738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140" w:type="dxa"/>
            <w:vAlign w:val="bottom"/>
            <w:gridSpan w:val="1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140" w:type="dxa"/>
            <w:vAlign w:val="bottom"/>
            <w:gridSpan w:val="2"/>
          </w:tcPr>
          <w:p>
            <w:pPr>
              <w:spacing w:after="0"/>
              <w:rPr>
                <w:rFonts w:ascii="Arial" w:cs="Arial" w:eastAsia="Arial" w:hAnsi="Arial"/>
                <w:sz w:val="18"/>
                <w:szCs w:val="18"/>
                <w:color w:val="0000FF"/>
                <w:w w:val="95"/>
              </w:rPr>
            </w:pPr>
            <w:hyperlink w:anchor="page27">
              <w:r>
                <w:rPr>
                  <w:rFonts w:ascii="Arial" w:cs="Arial" w:eastAsia="Arial" w:hAnsi="Arial"/>
                  <w:sz w:val="18"/>
                  <w:szCs w:val="18"/>
                  <w:color w:val="0000FF"/>
                  <w:w w:val="95"/>
                </w:rPr>
                <w:t>SIGNATURES</w:t>
              </w:r>
            </w:hyperlink>
          </w:p>
        </w:tc>
        <w:tc>
          <w:tcPr>
            <w:tcW w:w="8620" w:type="dxa"/>
            <w:vAlign w:val="bottom"/>
            <w:gridSpan w:val="18"/>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00"/>
          </w:cols>
          <w:pgMar w:left="340" w:top="1031" w:right="1159" w:bottom="1440" w:gutter="0" w:footer="0" w:header="0"/>
        </w:sectPr>
      </w:pPr>
    </w:p>
    <w:bookmarkStart w:id="2" w:name="page3"/>
    <w:bookmarkEnd w:id="2"/>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6"/>
                <w:szCs w:val="16"/>
                <w:color w:val="auto"/>
              </w:rPr>
            </w:pPr>
          </w:p>
        </w:tc>
        <w:tc>
          <w:tcPr>
            <w:tcW w:w="1360" w:type="dxa"/>
            <w:vAlign w:val="bottom"/>
          </w:tcPr>
          <w:p>
            <w:pPr>
              <w:jc w:val="right"/>
              <w:ind w:right="36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7820" w:type="dxa"/>
            <w:vAlign w:val="bottom"/>
          </w:tcPr>
          <w:p>
            <w:pPr>
              <w:ind w:left="35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359,149</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397,237</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Trade accounts receivable, net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158,862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188,126</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23,868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22,237</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541,879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607,600</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111,778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112,779</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20,778</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Deferred commissions cost</w:t>
            </w:r>
          </w:p>
        </w:tc>
        <w:tc>
          <w:tcPr>
            <w:tcW w:w="3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40,352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38,444</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112,435</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12,137</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839,388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18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87,141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112,148</w:t>
            </w: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3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7,263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7,469</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252,743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253,211</w:t>
            </w: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347,283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373,202</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less current portion</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120,915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119,231</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3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15,419</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7820" w:type="dxa"/>
            <w:vAlign w:val="bottom"/>
          </w:tcPr>
          <w:p>
            <w:pPr>
              <w:ind w:left="20"/>
              <w:spacing w:after="0" w:line="175" w:lineRule="exact"/>
              <w:rPr>
                <w:sz w:val="20"/>
                <w:szCs w:val="20"/>
                <w:color w:val="auto"/>
              </w:rPr>
            </w:pPr>
            <w:r>
              <w:rPr>
                <w:rFonts w:ascii="Arial" w:cs="Arial" w:eastAsia="Arial" w:hAnsi="Arial"/>
                <w:sz w:val="16"/>
                <w:szCs w:val="16"/>
                <w:color w:val="auto"/>
              </w:rPr>
              <w:t>Common stock, $0.01 par value: 250,000 shares authorized, 46,066 shares and 46,482 shares issued and</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820" w:type="dxa"/>
            <w:vAlign w:val="bottom"/>
          </w:tcPr>
          <w:p>
            <w:pPr>
              <w:ind w:left="20"/>
              <w:spacing w:after="0"/>
              <w:rPr>
                <w:sz w:val="20"/>
                <w:szCs w:val="20"/>
                <w:color w:val="auto"/>
              </w:rPr>
            </w:pPr>
            <w:r>
              <w:rPr>
                <w:rFonts w:ascii="Arial" w:cs="Arial" w:eastAsia="Arial" w:hAnsi="Arial"/>
                <w:sz w:val="16"/>
                <w:szCs w:val="16"/>
                <w:color w:val="auto"/>
              </w:rPr>
              <w:t>outstanding at June 30, 2021 and March 31, 2021, respectively</w:t>
            </w:r>
          </w:p>
        </w:tc>
        <w:tc>
          <w:tcPr>
            <w:tcW w:w="300" w:type="dxa"/>
            <w:vAlign w:val="bottom"/>
          </w:tcPr>
          <w:p>
            <w:pPr>
              <w:spacing w:after="0"/>
              <w:rPr>
                <w:sz w:val="16"/>
                <w:szCs w:val="16"/>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1,095,903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1,069,695</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(730,883)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(665,774)</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354,538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394,034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839,388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400" w:type="dxa"/>
        <w:tblCellMar>
          <w:top w:w="0" w:type="dxa"/>
          <w:left w:w="0" w:type="dxa"/>
          <w:bottom w:w="0" w:type="dxa"/>
          <w:right w:w="0" w:type="dxa"/>
        </w:tblCellMar>
      </w:tblPr>
      <w:tr>
        <w:trPr>
          <w:trHeight w:val="214"/>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521"/>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08"/>
        </w:trPr>
        <w:tc>
          <w:tcPr>
            <w:tcW w:w="4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1100" w:type="dxa"/>
            <w:vAlign w:val="bottom"/>
            <w:gridSpan w:val="2"/>
          </w:tcPr>
          <w:p>
            <w:pPr>
              <w:jc w:val="right"/>
              <w:ind w:right="82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82,162</w:t>
            </w:r>
          </w:p>
        </w:tc>
        <w:tc>
          <w:tcPr>
            <w:tcW w:w="14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76,554</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3"/>
              </w:rPr>
              <w:t>101,259</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96,446</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Total revenues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w w:val="93"/>
              </w:rPr>
              <w:t>183,421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173,000</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2,306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5,847</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22,969</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18,704</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cost of revenues</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25,275</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24,551</w:t>
            </w:r>
          </w:p>
        </w:tc>
        <w:tc>
          <w:tcPr>
            <w:tcW w:w="0" w:type="dxa"/>
            <w:vAlign w:val="bottom"/>
          </w:tcPr>
          <w:p>
            <w:pPr>
              <w:spacing w:after="0"/>
              <w:rPr>
                <w:sz w:val="1"/>
                <w:szCs w:val="1"/>
                <w:color w:val="auto"/>
              </w:rPr>
            </w:pPr>
          </w:p>
        </w:tc>
      </w:tr>
      <w:tr>
        <w:trPr>
          <w:trHeight w:val="208"/>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3"/>
              </w:rPr>
              <w:t>158,146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148,449</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76,361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81,676</w:t>
            </w:r>
          </w:p>
        </w:tc>
        <w:tc>
          <w:tcPr>
            <w:tcW w:w="0" w:type="dxa"/>
            <w:vAlign w:val="bottom"/>
          </w:tcPr>
          <w:p>
            <w:pPr>
              <w:spacing w:after="0"/>
              <w:rPr>
                <w:sz w:val="1"/>
                <w:szCs w:val="1"/>
                <w:color w:val="auto"/>
              </w:rPr>
            </w:pPr>
          </w:p>
        </w:tc>
      </w:tr>
      <w:tr>
        <w:trPr>
          <w:trHeight w:val="210"/>
        </w:trPr>
        <w:tc>
          <w:tcPr>
            <w:tcW w:w="468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36,135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31,142</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26,429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21,559</w:t>
            </w:r>
          </w:p>
        </w:tc>
        <w:tc>
          <w:tcPr>
            <w:tcW w:w="0" w:type="dxa"/>
            <w:vAlign w:val="bottom"/>
          </w:tcPr>
          <w:p>
            <w:pPr>
              <w:spacing w:after="0"/>
              <w:rPr>
                <w:sz w:val="1"/>
                <w:szCs w:val="1"/>
                <w:color w:val="auto"/>
              </w:rPr>
            </w:pPr>
          </w:p>
        </w:tc>
      </w:tr>
      <w:tr>
        <w:trPr>
          <w:trHeight w:val="210"/>
        </w:trPr>
        <w:tc>
          <w:tcPr>
            <w:tcW w:w="4680" w:type="dxa"/>
            <w:vAlign w:val="bottom"/>
          </w:tcPr>
          <w:p>
            <w:pPr>
              <w:ind w:left="320"/>
              <w:spacing w:after="0"/>
              <w:rPr>
                <w:sz w:val="20"/>
                <w:szCs w:val="20"/>
                <w:color w:val="auto"/>
              </w:rPr>
            </w:pPr>
            <w:r>
              <w:rPr>
                <w:rFonts w:ascii="Arial" w:cs="Arial" w:eastAsia="Arial" w:hAnsi="Arial"/>
                <w:sz w:val="16"/>
                <w:szCs w:val="16"/>
                <w:color w:val="auto"/>
              </w:rPr>
              <w:t>Restructuring</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1,446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2,281</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5,065</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3"/>
              </w:rPr>
              <w:t>142,652</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141,766</w:t>
            </w:r>
          </w:p>
        </w:tc>
        <w:tc>
          <w:tcPr>
            <w:tcW w:w="0" w:type="dxa"/>
            <w:vAlign w:val="bottom"/>
          </w:tcPr>
          <w:p>
            <w:pPr>
              <w:spacing w:after="0"/>
              <w:rPr>
                <w:sz w:val="1"/>
                <w:szCs w:val="1"/>
                <w:color w:val="auto"/>
              </w:rPr>
            </w:pPr>
          </w:p>
        </w:tc>
      </w:tr>
      <w:tr>
        <w:trPr>
          <w:trHeight w:val="208"/>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15,494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6,683</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income</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8"/>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15,628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1,731</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gridSpan w:val="2"/>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13,897</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income per common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100" w:type="dxa"/>
            <w:vAlign w:val="bottom"/>
            <w:tcBorders>
              <w:bottom w:val="single" w:sz="8" w:color="auto"/>
            </w:tcBorders>
            <w:gridSpan w:val="2"/>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0.30</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Diluted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80" w:type="dxa"/>
            <w:vAlign w:val="bottom"/>
            <w:vMerge w:val="continue"/>
          </w:tcPr>
          <w:p>
            <w:pPr>
              <w:spacing w:after="0"/>
              <w:rPr>
                <w:sz w:val="16"/>
                <w:szCs w:val="16"/>
                <w:color w:val="auto"/>
              </w:rPr>
            </w:pPr>
          </w:p>
        </w:tc>
        <w:tc>
          <w:tcPr>
            <w:tcW w:w="1100" w:type="dxa"/>
            <w:vAlign w:val="bottom"/>
            <w:tcBorders>
              <w:bottom w:val="single" w:sz="8" w:color="auto"/>
            </w:tcBorders>
            <w:gridSpan w:val="2"/>
          </w:tcPr>
          <w:p>
            <w:pPr>
              <w:jc w:val="right"/>
              <w:ind w:right="8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0.29</w:t>
            </w:r>
          </w:p>
        </w:tc>
        <w:tc>
          <w:tcPr>
            <w:tcW w:w="14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Weighted average common shares outstanding:</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46,180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46,191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Borders>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6"/>
                <w:szCs w:val="16"/>
                <w:color w:val="auto"/>
              </w:rPr>
              <w:t>Diluted</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48,167</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46,503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58420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4" w:name="page5"/>
    <w:bookmarkEnd w:id="4"/>
    <w:p>
      <w:pPr>
        <w:ind w:left="344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456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r>
      <w:tr>
        <w:trPr>
          <w:trHeight w:val="208"/>
        </w:trPr>
        <w:tc>
          <w:tcPr>
            <w:tcW w:w="45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r>
      <w:tr>
        <w:trPr>
          <w:trHeight w:val="205"/>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13,897</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4"/>
              </w:rPr>
              <w:t>2,283</w:t>
            </w:r>
          </w:p>
        </w:tc>
      </w:tr>
      <w:tr>
        <w:trPr>
          <w:trHeight w:val="210"/>
        </w:trPr>
        <w:tc>
          <w:tcPr>
            <w:tcW w:w="45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4"/>
        </w:trPr>
        <w:tc>
          <w:tcPr>
            <w:tcW w:w="4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950</w:t>
            </w:r>
          </w:p>
        </w:tc>
      </w:tr>
      <w:tr>
        <w:trPr>
          <w:trHeight w:val="203"/>
        </w:trPr>
        <w:tc>
          <w:tcPr>
            <w:tcW w:w="45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13,306</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3,233</w:t>
            </w:r>
          </w:p>
        </w:tc>
      </w:tr>
      <w:tr>
        <w:trPr>
          <w:trHeight w:val="22"/>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58420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1031"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right="1080" w:hanging="317"/>
        <w:spacing w:after="0" w:line="304" w:lineRule="auto"/>
        <w:rPr>
          <w:sz w:val="20"/>
          <w:szCs w:val="20"/>
          <w:color w:val="auto"/>
        </w:rPr>
      </w:pPr>
      <w:r>
        <w:rPr>
          <w:rFonts w:ascii="Arial" w:cs="Arial" w:eastAsia="Arial" w:hAnsi="Arial"/>
          <w:sz w:val="15"/>
          <w:szCs w:val="15"/>
          <w:color w:val="auto"/>
        </w:rPr>
        <w:t>Balance as of March 31, 2021 Stock-based compensation</w:t>
      </w:r>
    </w:p>
    <w:p>
      <w:pPr>
        <w:ind w:left="320" w:right="220"/>
        <w:spacing w:after="0" w:line="228" w:lineRule="auto"/>
        <w:rPr>
          <w:sz w:val="20"/>
          <w:szCs w:val="20"/>
          <w:color w:val="auto"/>
        </w:rPr>
      </w:pPr>
      <w:r>
        <w:rPr>
          <w:rFonts w:ascii="Arial" w:cs="Arial" w:eastAsia="Arial" w:hAnsi="Arial"/>
          <w:sz w:val="16"/>
          <w:szCs w:val="16"/>
          <w:color w:val="auto"/>
        </w:rPr>
        <w:t>Share issuances related to stock-based compensation</w:t>
      </w:r>
    </w:p>
    <w:p>
      <w:pPr>
        <w:spacing w:after="0" w:line="21" w:lineRule="exact"/>
        <w:rPr>
          <w:sz w:val="20"/>
          <w:szCs w:val="20"/>
          <w:color w:val="auto"/>
        </w:rPr>
      </w:pPr>
    </w:p>
    <w:p>
      <w:pPr>
        <w:ind w:left="320" w:right="900"/>
        <w:spacing w:after="0" w:line="276" w:lineRule="auto"/>
        <w:rPr>
          <w:sz w:val="20"/>
          <w:szCs w:val="20"/>
          <w:color w:val="auto"/>
        </w:rPr>
      </w:pPr>
      <w:r>
        <w:rPr>
          <w:rFonts w:ascii="Arial" w:cs="Arial" w:eastAsia="Arial" w:hAnsi="Arial"/>
          <w:sz w:val="16"/>
          <w:szCs w:val="16"/>
          <w:color w:val="auto"/>
        </w:rPr>
        <w:t>Repurchase of common stock Net income</w:t>
      </w:r>
    </w:p>
    <w:p>
      <w:pPr>
        <w:spacing w:after="0" w:line="1" w:lineRule="exact"/>
        <w:rPr>
          <w:sz w:val="20"/>
          <w:szCs w:val="20"/>
          <w:color w:val="auto"/>
        </w:rPr>
      </w:pPr>
    </w:p>
    <w:p>
      <w:pPr>
        <w:ind w:right="1160" w:firstLine="318"/>
        <w:spacing w:after="0" w:line="321" w:lineRule="auto"/>
        <w:rPr>
          <w:sz w:val="20"/>
          <w:szCs w:val="20"/>
          <w:color w:val="auto"/>
        </w:rPr>
      </w:pPr>
      <w:r>
        <w:rPr>
          <w:rFonts w:ascii="Arial" w:cs="Arial" w:eastAsia="Arial" w:hAnsi="Arial"/>
          <w:sz w:val="15"/>
          <w:szCs w:val="15"/>
          <w:color w:val="auto"/>
        </w:rPr>
        <w:t>Other comprehensive loss Balance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right="1080" w:hanging="317"/>
        <w:spacing w:after="0" w:line="304" w:lineRule="auto"/>
        <w:rPr>
          <w:sz w:val="20"/>
          <w:szCs w:val="20"/>
          <w:color w:val="auto"/>
        </w:rPr>
      </w:pPr>
      <w:r>
        <w:rPr>
          <w:rFonts w:ascii="Arial" w:cs="Arial" w:eastAsia="Arial" w:hAnsi="Arial"/>
          <w:sz w:val="15"/>
          <w:szCs w:val="15"/>
          <w:color w:val="auto"/>
        </w:rPr>
        <w:t>Balance as of March 31, 2020 Stock-based compensation</w:t>
      </w:r>
    </w:p>
    <w:p>
      <w:pPr>
        <w:ind w:left="320" w:right="220"/>
        <w:spacing w:after="0" w:line="228" w:lineRule="auto"/>
        <w:rPr>
          <w:sz w:val="20"/>
          <w:szCs w:val="20"/>
          <w:color w:val="auto"/>
        </w:rPr>
      </w:pPr>
      <w:r>
        <w:rPr>
          <w:rFonts w:ascii="Arial" w:cs="Arial" w:eastAsia="Arial" w:hAnsi="Arial"/>
          <w:sz w:val="16"/>
          <w:szCs w:val="16"/>
          <w:color w:val="auto"/>
        </w:rPr>
        <w:t>Share issuances related to stock-based compensation</w:t>
      </w:r>
    </w:p>
    <w:p>
      <w:pPr>
        <w:spacing w:after="0" w:line="21" w:lineRule="exact"/>
        <w:rPr>
          <w:sz w:val="20"/>
          <w:szCs w:val="20"/>
          <w:color w:val="auto"/>
        </w:rPr>
      </w:pPr>
    </w:p>
    <w:p>
      <w:pPr>
        <w:ind w:left="320"/>
        <w:spacing w:after="0" w:line="228" w:lineRule="auto"/>
        <w:rPr>
          <w:sz w:val="20"/>
          <w:szCs w:val="20"/>
          <w:color w:val="auto"/>
        </w:rPr>
      </w:pPr>
      <w:r>
        <w:rPr>
          <w:rFonts w:ascii="Arial" w:cs="Arial" w:eastAsia="Arial" w:hAnsi="Arial"/>
          <w:sz w:val="16"/>
          <w:szCs w:val="16"/>
          <w:color w:val="auto"/>
        </w:rPr>
        <w:t>Cumulative effect change in accounting for ASU 2016-13</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income</w:t>
      </w:r>
    </w:p>
    <w:p>
      <w:pPr>
        <w:spacing w:after="0" w:line="28" w:lineRule="exact"/>
        <w:rPr>
          <w:sz w:val="20"/>
          <w:szCs w:val="20"/>
          <w:color w:val="auto"/>
        </w:rPr>
      </w:pPr>
    </w:p>
    <w:p>
      <w:pPr>
        <w:ind w:right="920" w:firstLine="318"/>
        <w:spacing w:after="0" w:line="321" w:lineRule="auto"/>
        <w:rPr>
          <w:sz w:val="20"/>
          <w:szCs w:val="20"/>
          <w:color w:val="auto"/>
        </w:rPr>
      </w:pPr>
      <w:r>
        <w:rPr>
          <w:rFonts w:ascii="Arial" w:cs="Arial" w:eastAsia="Arial" w:hAnsi="Arial"/>
          <w:sz w:val="15"/>
          <w:szCs w:val="15"/>
          <w:color w:val="auto"/>
        </w:rPr>
        <w:t>Other comprehensive income Balance as of June 30, 2020</w:t>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(Unaudited)</w:t>
      </w:r>
    </w:p>
    <w:p>
      <w:pPr>
        <w:spacing w:after="0" w:line="7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gridSpan w:val="4"/>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46,482</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1,069,695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(665,774)</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(10,350)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394,034</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21,811</w:t>
            </w:r>
          </w:p>
        </w:tc>
        <w:tc>
          <w:tcPr>
            <w:tcW w:w="0" w:type="dxa"/>
            <w:vAlign w:val="bottom"/>
          </w:tcPr>
          <w:p>
            <w:pPr>
              <w:spacing w:after="0"/>
              <w:rPr>
                <w:sz w:val="1"/>
                <w:szCs w:val="1"/>
                <w:color w:val="auto"/>
              </w:rPr>
            </w:pPr>
          </w:p>
        </w:tc>
      </w:tr>
      <w:tr>
        <w:trPr>
          <w:trHeight w:val="212"/>
        </w:trPr>
        <w:tc>
          <w:tcPr>
            <w:tcW w:w="84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15,435</w:t>
            </w:r>
          </w:p>
        </w:tc>
        <w:tc>
          <w:tcPr>
            <w:tcW w:w="0" w:type="dxa"/>
            <w:vAlign w:val="bottom"/>
          </w:tcPr>
          <w:p>
            <w:pPr>
              <w:spacing w:after="0"/>
              <w:rPr>
                <w:sz w:val="1"/>
                <w:szCs w:val="1"/>
                <w:color w:val="auto"/>
              </w:rPr>
            </w:pPr>
          </w:p>
        </w:tc>
      </w:tr>
      <w:tr>
        <w:trPr>
          <w:trHeight w:val="371"/>
        </w:trPr>
        <w:tc>
          <w:tcPr>
            <w:tcW w:w="840" w:type="dxa"/>
            <w:vAlign w:val="bottom"/>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(79,006)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(90,048)</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7"/>
              <w:spacing w:after="0"/>
              <w:rPr>
                <w:sz w:val="20"/>
                <w:szCs w:val="20"/>
                <w:color w:val="auto"/>
              </w:rPr>
            </w:pPr>
            <w:r>
              <w:rPr>
                <w:rFonts w:ascii="Arial" w:cs="Arial" w:eastAsia="Arial" w:hAnsi="Arial"/>
                <w:sz w:val="16"/>
                <w:szCs w:val="16"/>
                <w:color w:val="auto"/>
              </w:rPr>
              <w:t>13,897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13,897</w:t>
            </w:r>
          </w:p>
        </w:tc>
        <w:tc>
          <w:tcPr>
            <w:tcW w:w="0" w:type="dxa"/>
            <w:vAlign w:val="bottom"/>
          </w:tcPr>
          <w:p>
            <w:pPr>
              <w:spacing w:after="0"/>
              <w:rPr>
                <w:sz w:val="1"/>
                <w:szCs w:val="1"/>
                <w:color w:val="auto"/>
              </w:rPr>
            </w:pPr>
          </w:p>
        </w:tc>
      </w:tr>
      <w:tr>
        <w:trPr>
          <w:trHeight w:val="214"/>
        </w:trPr>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1,095,903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(730,883)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354,538</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-1093470</wp:posOffset>
            </wp:positionV>
            <wp:extent cx="713486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-815340</wp:posOffset>
            </wp:positionV>
            <wp:extent cx="7134860" cy="235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-445135</wp:posOffset>
            </wp:positionV>
            <wp:extent cx="7134860"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-175895</wp:posOffset>
            </wp:positionV>
            <wp:extent cx="7134860" cy="16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gridSpan w:val="4"/>
            <w:vMerge w:val="restart"/>
          </w:tcPr>
          <w:p>
            <w:pPr>
              <w:jc w:val="right"/>
              <w:ind w:right="32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Paid – In</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46,011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7"/>
              <w:spacing w:after="0"/>
              <w:rPr>
                <w:sz w:val="20"/>
                <w:szCs w:val="20"/>
                <w:color w:val="auto"/>
              </w:rPr>
            </w:pPr>
            <w:r>
              <w:rPr>
                <w:rFonts w:ascii="Arial" w:cs="Arial" w:eastAsia="Arial" w:hAnsi="Arial"/>
                <w:sz w:val="16"/>
                <w:szCs w:val="16"/>
                <w:color w:val="auto"/>
              </w:rPr>
              <w:t>978,659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(553,790)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Arial" w:cs="Arial" w:eastAsia="Arial" w:hAnsi="Arial"/>
                <w:sz w:val="16"/>
                <w:szCs w:val="16"/>
                <w:color w:val="auto"/>
              </w:rPr>
              <w:t>18,951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18,951</w:t>
            </w:r>
          </w:p>
        </w:tc>
        <w:tc>
          <w:tcPr>
            <w:tcW w:w="0" w:type="dxa"/>
            <w:vAlign w:val="bottom"/>
          </w:tcPr>
          <w:p>
            <w:pPr>
              <w:spacing w:after="0"/>
              <w:rPr>
                <w:sz w:val="1"/>
                <w:szCs w:val="1"/>
                <w:color w:val="auto"/>
              </w:rPr>
            </w:pPr>
          </w:p>
        </w:tc>
      </w:tr>
      <w:tr>
        <w:trPr>
          <w:trHeight w:val="212"/>
        </w:trPr>
        <w:tc>
          <w:tcPr>
            <w:tcW w:w="84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7"/>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71"/>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71"/>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14"/>
        </w:trPr>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997,838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434,235</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-1194435</wp:posOffset>
            </wp:positionV>
            <wp:extent cx="713486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-916305</wp:posOffset>
            </wp:positionV>
            <wp:extent cx="7134860" cy="235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-445135</wp:posOffset>
            </wp:positionV>
            <wp:extent cx="71348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-2256155</wp:posOffset>
            </wp:positionH>
            <wp:positionV relativeFrom="paragraph">
              <wp:posOffset>-175895</wp:posOffset>
            </wp:positionV>
            <wp:extent cx="7134860" cy="16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220"/>
            <w:col w:w="7680"/>
          </w:cols>
          <w:pgMar w:left="34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031" w:right="33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40" w:type="dxa"/>
            <w:vAlign w:val="bottom"/>
          </w:tcPr>
          <w:p>
            <w:pPr>
              <w:spacing w:after="0"/>
              <w:rPr>
                <w:sz w:val="18"/>
                <w:szCs w:val="18"/>
                <w:color w:val="auto"/>
              </w:rPr>
            </w:pPr>
          </w:p>
        </w:tc>
        <w:tc>
          <w:tcPr>
            <w:tcW w:w="340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6"/>
                <w:szCs w:val="16"/>
                <w:b w:val="1"/>
                <w:bCs w:val="1"/>
                <w:color w:val="auto"/>
              </w:rPr>
              <w:t>Three Months Ended June 30,</w:t>
            </w:r>
          </w:p>
        </w:tc>
      </w:tr>
      <w:tr>
        <w:trPr>
          <w:trHeight w:val="208"/>
        </w:trPr>
        <w:tc>
          <w:tcPr>
            <w:tcW w:w="7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13,897</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2,283</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78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2,593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5,378</w:t>
            </w:r>
          </w:p>
        </w:tc>
      </w:tr>
      <w:tr>
        <w:trPr>
          <w:trHeight w:val="215"/>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stock-based compensation</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18,951</w:t>
            </w:r>
          </w:p>
        </w:tc>
      </w:tr>
      <w:tr>
        <w:trPr>
          <w:trHeight w:val="209"/>
        </w:trPr>
        <w:tc>
          <w:tcPr>
            <w:tcW w:w="7840" w:type="dxa"/>
            <w:vAlign w:val="bottom"/>
          </w:tcPr>
          <w:p>
            <w:pPr>
              <w:ind w:left="340"/>
              <w:spacing w:after="0"/>
              <w:rPr>
                <w:sz w:val="20"/>
                <w:szCs w:val="20"/>
                <w:color w:val="auto"/>
              </w:rPr>
            </w:pPr>
            <w:r>
              <w:rPr>
                <w:rFonts w:ascii="Arial" w:cs="Arial" w:eastAsia="Arial" w:hAnsi="Arial"/>
                <w:sz w:val="16"/>
                <w:szCs w:val="16"/>
                <w:color w:val="auto"/>
              </w:rPr>
              <w:t>Amortization of deferred commissions cost</w:t>
            </w:r>
          </w:p>
        </w:tc>
        <w:tc>
          <w:tcPr>
            <w:tcW w:w="10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4,166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4,567</w:t>
            </w:r>
          </w:p>
        </w:tc>
      </w:tr>
      <w:tr>
        <w:trPr>
          <w:trHeight w:val="214"/>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operating lease assets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0"/>
        </w:trPr>
        <w:tc>
          <w:tcPr>
            <w:tcW w:w="78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Trade accounts receivable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(11,384)</w:t>
            </w:r>
          </w:p>
        </w:tc>
      </w:tr>
      <w:tr>
        <w:trPr>
          <w:trHeight w:val="210"/>
        </w:trPr>
        <w:tc>
          <w:tcPr>
            <w:tcW w:w="7840" w:type="dxa"/>
            <w:vAlign w:val="bottom"/>
          </w:tcPr>
          <w:p>
            <w:pPr>
              <w:ind w:left="660"/>
              <w:spacing w:after="0"/>
              <w:rPr>
                <w:sz w:val="20"/>
                <w:szCs w:val="20"/>
                <w:color w:val="auto"/>
              </w:rPr>
            </w:pPr>
            <w:r>
              <w:rPr>
                <w:rFonts w:ascii="Arial" w:cs="Arial" w:eastAsia="Arial" w:hAnsi="Arial"/>
                <w:sz w:val="16"/>
                <w:szCs w:val="16"/>
                <w:color w:val="auto"/>
              </w:rPr>
              <w:t>Operating lease assets and liabilities, net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current assets and Other assets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r>
      <w:tr>
        <w:trPr>
          <w:trHeight w:val="210"/>
        </w:trPr>
        <w:tc>
          <w:tcPr>
            <w:tcW w:w="7840" w:type="dxa"/>
            <w:vAlign w:val="bottom"/>
          </w:tcPr>
          <w:p>
            <w:pPr>
              <w:ind w:left="660"/>
              <w:spacing w:after="0"/>
              <w:rPr>
                <w:sz w:val="20"/>
                <w:szCs w:val="20"/>
                <w:color w:val="auto"/>
              </w:rPr>
            </w:pPr>
            <w:r>
              <w:rPr>
                <w:rFonts w:ascii="Arial" w:cs="Arial" w:eastAsia="Arial" w:hAnsi="Arial"/>
                <w:sz w:val="16"/>
                <w:szCs w:val="16"/>
                <w:color w:val="auto"/>
              </w:rPr>
              <w:t>Deferred commissions cost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09"/>
        </w:trPr>
        <w:tc>
          <w:tcPr>
            <w:tcW w:w="7840" w:type="dxa"/>
            <w:vAlign w:val="bottom"/>
          </w:tcPr>
          <w:p>
            <w:pPr>
              <w:ind w:left="660"/>
              <w:spacing w:after="0"/>
              <w:rPr>
                <w:sz w:val="20"/>
                <w:szCs w:val="20"/>
                <w:color w:val="auto"/>
              </w:rPr>
            </w:pPr>
            <w:r>
              <w:rPr>
                <w:rFonts w:ascii="Arial" w:cs="Arial" w:eastAsia="Arial" w:hAnsi="Arial"/>
                <w:sz w:val="16"/>
                <w:szCs w:val="16"/>
                <w:color w:val="auto"/>
              </w:rPr>
              <w:t>Accrued liabilities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(26,067)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(7,699)</w:t>
            </w:r>
          </w:p>
        </w:tc>
      </w:tr>
      <w:tr>
        <w:trPr>
          <w:trHeight w:val="215"/>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209"/>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15,285</w:t>
            </w: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maturity of short-term investments</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32,800</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property and equipment</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31,157</w:t>
            </w: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15,435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49,350</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6"/>
              </w:rPr>
              <w:t>397,237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296,082</w:t>
            </w: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6"/>
              </w:rPr>
              <w:t>359,149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345,432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00B2A9"/>
        </w:rPr>
      </w:pPr>
      <w:r>
        <w:rPr>
          <w:rFonts w:ascii="Arial" w:cs="Arial" w:eastAsia="Arial" w:hAnsi="Arial"/>
          <w:sz w:val="18"/>
          <w:szCs w:val="18"/>
          <w:b w:val="1"/>
          <w:bCs w:val="1"/>
          <w:color w:val="00B2A9"/>
        </w:rPr>
        <w:t>Basis of Presentation</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w:t>
      </w:r>
    </w:p>
    <w:p>
      <w:pPr>
        <w:spacing w:after="0" w:line="234"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The consolidated financial statements of Commvault as of June 30, 2021 and for the three months ended June 30, 2021 and 2020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our Annual Report on Form 10-K for fiscal 2021. The results reported in these financial statements should not necessarily be taken as indicative of results that may be expected for the entire fiscal year.</w:t>
      </w:r>
    </w:p>
    <w:p>
      <w:pPr>
        <w:spacing w:after="0" w:line="158"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 of assets and liabilities reported in our balance sheets and the amounts of revenues and expenses reported for each of our periods presented are affected by estimates and assumptions, which are used for, but not limited to, the accounting for revenue recognition, income taxes and related reserves, and goodwill and purchased intangible assets. Actual results could differ from those estimates.</w:t>
      </w:r>
    </w:p>
    <w:p>
      <w:pPr>
        <w:spacing w:after="0" w:line="200" w:lineRule="exact"/>
        <w:rPr>
          <w:sz w:val="20"/>
          <w:szCs w:val="20"/>
          <w:color w:val="auto"/>
        </w:rPr>
      </w:pPr>
    </w:p>
    <w:p>
      <w:pPr>
        <w:spacing w:after="0" w:line="334" w:lineRule="exact"/>
        <w:rPr>
          <w:sz w:val="20"/>
          <w:szCs w:val="20"/>
          <w:color w:val="auto"/>
        </w:rPr>
      </w:pPr>
    </w:p>
    <w:p>
      <w:pPr>
        <w:ind w:left="340" w:hanging="334"/>
        <w:spacing w:after="0"/>
        <w:tabs>
          <w:tab w:leader="none" w:pos="340" w:val="left"/>
        </w:tabs>
        <w:numPr>
          <w:ilvl w:val="0"/>
          <w:numId w:val="4"/>
        </w:numPr>
        <w:rPr>
          <w:rFonts w:ascii="Arial" w:cs="Arial" w:eastAsia="Arial" w:hAnsi="Arial"/>
          <w:sz w:val="18"/>
          <w:szCs w:val="18"/>
          <w:b w:val="1"/>
          <w:bCs w:val="1"/>
          <w:color w:val="00B2A9"/>
        </w:rPr>
      </w:pPr>
      <w:r>
        <w:rPr>
          <w:rFonts w:ascii="Arial" w:cs="Arial" w:eastAsia="Arial" w:hAnsi="Arial"/>
          <w:sz w:val="18"/>
          <w:szCs w:val="18"/>
          <w:b w:val="1"/>
          <w:bCs w:val="1"/>
          <w:color w:val="00B2A9"/>
        </w:rPr>
        <w:t>Summary of Significant Accounting Policies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Recently Adopted Accounting Standards</w:t>
      </w:r>
    </w:p>
    <w:p>
      <w:pPr>
        <w:spacing w:after="0" w:line="191" w:lineRule="exact"/>
        <w:rPr>
          <w:sz w:val="20"/>
          <w:szCs w:val="20"/>
          <w:color w:val="auto"/>
        </w:rPr>
      </w:pPr>
    </w:p>
    <w:p>
      <w:pPr>
        <w:ind w:left="740"/>
        <w:spacing w:after="0"/>
        <w:tabs>
          <w:tab w:leader="none" w:pos="3460" w:val="left"/>
          <w:tab w:leader="none" w:pos="6300" w:val="left"/>
          <w:tab w:leader="none" w:pos="8120" w:val="left"/>
        </w:tabs>
        <w:rPr>
          <w:sz w:val="20"/>
          <w:szCs w:val="20"/>
          <w:color w:val="auto"/>
        </w:rPr>
      </w:pPr>
      <w:r>
        <w:rPr>
          <w:rFonts w:ascii="Arial" w:cs="Arial" w:eastAsia="Arial" w:hAnsi="Arial"/>
          <w:sz w:val="18"/>
          <w:szCs w:val="18"/>
          <w:b w:val="1"/>
          <w:bCs w:val="1"/>
          <w:color w:val="auto"/>
        </w:rPr>
        <w:t>Standard</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7"/>
          <w:szCs w:val="17"/>
          <w:b w:val="1"/>
          <w:bCs w:val="1"/>
          <w:color w:val="auto"/>
        </w:rPr>
        <w:t>Effect on the Consolidated Financial</w:t>
      </w:r>
    </w:p>
    <w:p>
      <w:pPr>
        <w:jc w:val="center"/>
        <w:ind w:left="8060"/>
        <w:spacing w:after="0" w:line="199" w:lineRule="auto"/>
        <w:rPr>
          <w:sz w:val="20"/>
          <w:szCs w:val="20"/>
          <w:color w:val="auto"/>
        </w:rPr>
      </w:pPr>
      <w:r>
        <w:rPr>
          <w:rFonts w:ascii="Arial" w:cs="Arial" w:eastAsia="Arial" w:hAnsi="Arial"/>
          <w:sz w:val="18"/>
          <w:szCs w:val="18"/>
          <w:b w:val="1"/>
          <w:bCs w:val="1"/>
          <w:color w:val="auto"/>
        </w:rPr>
        <w:t>Statements (or Other Significant</w:t>
      </w:r>
    </w:p>
    <w:p>
      <w:pPr>
        <w:spacing w:after="0" w:line="1"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p>
      <w:pPr>
        <w:ind w:left="20"/>
        <w:spacing w:after="0"/>
        <w:tabs>
          <w:tab w:leader="none" w:pos="2220" w:val="left"/>
        </w:tabs>
        <w:rPr>
          <w:sz w:val="20"/>
          <w:szCs w:val="20"/>
          <w:color w:val="auto"/>
        </w:rPr>
      </w:pPr>
      <w:r>
        <w:rPr>
          <w:rFonts w:ascii="Arial" w:cs="Arial" w:eastAsia="Arial" w:hAnsi="Arial"/>
          <w:sz w:val="18"/>
          <w:szCs w:val="18"/>
          <w:color w:val="auto"/>
        </w:rPr>
        <w:t>ASU No. 2019-12 (Topic</w:t>
      </w:r>
      <w:r>
        <w:rPr>
          <w:sz w:val="20"/>
          <w:szCs w:val="20"/>
          <w:color w:val="auto"/>
        </w:rPr>
        <w:tab/>
      </w:r>
      <w:r>
        <w:rPr>
          <w:rFonts w:ascii="Arial" w:cs="Arial" w:eastAsia="Arial" w:hAnsi="Arial"/>
          <w:sz w:val="17"/>
          <w:szCs w:val="17"/>
          <w:color w:val="auto"/>
        </w:rPr>
        <w:t>In December 2019, the Financial</w:t>
      </w:r>
    </w:p>
    <w:p>
      <w:pPr>
        <w:ind w:left="20"/>
        <w:spacing w:after="0" w:line="211" w:lineRule="auto"/>
        <w:tabs>
          <w:tab w:leader="none" w:pos="2220" w:val="left"/>
        </w:tabs>
        <w:rPr>
          <w:sz w:val="20"/>
          <w:szCs w:val="20"/>
          <w:color w:val="auto"/>
        </w:rPr>
      </w:pPr>
      <w:r>
        <w:rPr>
          <w:rFonts w:ascii="Arial" w:cs="Arial" w:eastAsia="Arial" w:hAnsi="Arial"/>
          <w:sz w:val="18"/>
          <w:szCs w:val="18"/>
          <w:color w:val="auto"/>
        </w:rPr>
        <w:t>740), Income Taxes</w:t>
      </w:r>
      <w:r>
        <w:rPr>
          <w:sz w:val="20"/>
          <w:szCs w:val="20"/>
          <w:color w:val="auto"/>
        </w:rPr>
        <w:tab/>
      </w:r>
      <w:r>
        <w:rPr>
          <w:rFonts w:ascii="Arial" w:cs="Arial" w:eastAsia="Arial" w:hAnsi="Arial"/>
          <w:sz w:val="17"/>
          <w:szCs w:val="17"/>
          <w:color w:val="auto"/>
        </w:rPr>
        <w:t>Accounting Standards Board ("FASB")</w:t>
      </w:r>
    </w:p>
    <w:p>
      <w:pPr>
        <w:ind w:left="2240"/>
        <w:spacing w:after="0" w:line="202" w:lineRule="auto"/>
        <w:rPr>
          <w:sz w:val="20"/>
          <w:szCs w:val="20"/>
          <w:color w:val="auto"/>
        </w:rPr>
      </w:pPr>
      <w:r>
        <w:rPr>
          <w:rFonts w:ascii="Arial" w:cs="Arial" w:eastAsia="Arial" w:hAnsi="Arial"/>
          <w:sz w:val="18"/>
          <w:szCs w:val="18"/>
          <w:color w:val="auto"/>
        </w:rPr>
        <w:t>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We adopted this standard as of April 1, 2021.</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standard did not have a significant impact on our financial statements.</w:t>
      </w:r>
    </w:p>
    <w:p>
      <w:pPr>
        <w:spacing w:after="0" w:line="2774" w:lineRule="exact"/>
        <w:rPr>
          <w:sz w:val="20"/>
          <w:szCs w:val="20"/>
          <w:color w:val="auto"/>
        </w:rPr>
      </w:pPr>
    </w:p>
    <w:p>
      <w:pPr>
        <w:sectPr>
          <w:pgSz w:w="11900" w:h="16838" w:orient="portrait"/>
          <w:cols w:equalWidth="0" w:num="3">
            <w:col w:w="5680" w:space="60"/>
            <w:col w:w="2240" w:space="120"/>
            <w:col w:w="3140"/>
          </w:cols>
          <w:pgMar w:left="320" w:top="2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150"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37% of total revenues for both the three months ended June 30, 2021 and 2020. Arrow accounted for approximately 32% and 33% of total accounts receivable as of June 30, 2021 and March 31, 2021, respectively.</w:t>
      </w: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Deferred Commissions Cost</w:t>
      </w:r>
    </w:p>
    <w:p>
      <w:pPr>
        <w:spacing w:after="0" w:line="93" w:lineRule="exact"/>
        <w:rPr>
          <w:sz w:val="20"/>
          <w:szCs w:val="20"/>
          <w:color w:val="auto"/>
        </w:rPr>
      </w:pPr>
    </w:p>
    <w:p>
      <w:pPr>
        <w:jc w:val="both"/>
        <w:ind w:firstLine="437"/>
        <w:spacing w:after="0" w:line="231" w:lineRule="auto"/>
        <w:rPr>
          <w:sz w:val="20"/>
          <w:szCs w:val="20"/>
          <w:color w:val="auto"/>
        </w:rPr>
      </w:pPr>
      <w:r>
        <w:rPr>
          <w:rFonts w:ascii="Arial" w:cs="Arial" w:eastAsia="Arial" w:hAnsi="Arial"/>
          <w:sz w:val="18"/>
          <w:szCs w:val="18"/>
          <w:color w:val="auto"/>
        </w:rPr>
        <w:t>Sales commissions, bonuses, and related payroll taxes earned by our employees are considered incremental and recoverable costs of obtaining a contract with a customer. Our typical contracts include performance obligations related to software licenses, software updates, customer support and other services, including software-as-a-service offerings.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and products are expensed at the time of sale, when revenue for the functional software license or appliance is typically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or appliance sold as part of the transaction.</w:t>
      </w:r>
    </w:p>
    <w:p>
      <w:pPr>
        <w:spacing w:after="0" w:line="88"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Beginning in fiscal 2022, we modified the terms of our commission plans, and as a result, the commission paid on the renewal of a term-based, or subscription software license, was not commensurate with the commission paid on the initial purchase. As a result, the cost of commissions allocated to software updates and customer support on the initial transaction are now amortized over a period of approximately five years, consistent with the accounting for these costs associated with perpetual licenses. The costs of commissions allocated to software updates and support for the renewal of term-based software licenses, is limited to the contractual period of the arrangement as we intend to pay a commensurate renewal commission upon the next renewal of the subscription license and related updates and support. This change in commission plans also resulted in a change in the estimate of the amortization period of our existing Deferred commissions cost associated with term licenses. This change in amortization period resulted in an approximately $1,100 reduction in fiscal 2022 first quarter Sales and marketing expense (than if the change in estimate did not occur).</w:t>
      </w:r>
    </w:p>
    <w:p>
      <w:pPr>
        <w:spacing w:after="0" w:line="91"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costs related to professional services are amortized over the period the related professional services are provided and revenue is recognized. Amortization expense related to these costs is included in Sales and marketing expenses in the accompanying Consolidated Statements of Operations.</w:t>
      </w:r>
    </w:p>
    <w:p>
      <w:pPr>
        <w:spacing w:after="0" w:line="200" w:lineRule="exact"/>
        <w:rPr>
          <w:sz w:val="20"/>
          <w:szCs w:val="20"/>
          <w:color w:val="auto"/>
        </w:rPr>
      </w:pPr>
    </w:p>
    <w:p>
      <w:pPr>
        <w:spacing w:after="0" w:line="329" w:lineRule="exact"/>
        <w:rPr>
          <w:sz w:val="20"/>
          <w:szCs w:val="20"/>
          <w:color w:val="auto"/>
        </w:rPr>
      </w:pPr>
    </w:p>
    <w:p>
      <w:pPr>
        <w:ind w:left="340" w:hanging="334"/>
        <w:spacing w:after="0"/>
        <w:tabs>
          <w:tab w:leader="none" w:pos="340" w:val="left"/>
        </w:tabs>
        <w:numPr>
          <w:ilvl w:val="0"/>
          <w:numId w:val="5"/>
        </w:numPr>
        <w:rPr>
          <w:rFonts w:ascii="Arial" w:cs="Arial" w:eastAsia="Arial" w:hAnsi="Arial"/>
          <w:sz w:val="18"/>
          <w:szCs w:val="18"/>
          <w:b w:val="1"/>
          <w:bCs w:val="1"/>
          <w:color w:val="00B2A9"/>
        </w:rPr>
      </w:pPr>
      <w:r>
        <w:rPr>
          <w:rFonts w:ascii="Arial" w:cs="Arial" w:eastAsia="Arial" w:hAnsi="Arial"/>
          <w:sz w:val="18"/>
          <w:szCs w:val="18"/>
          <w:b w:val="1"/>
          <w:bCs w:val="1"/>
          <w:color w:val="00B2A9"/>
        </w:rPr>
        <w:t>Revenue</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8"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5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In the second half of fiscal 2021 we began transitioning to a software only model in which we sell software to a third party, which assembles an integrated appliance that is sold to end user customers. As a result, we expect the revenue and costs associated with hardware will decline from recent fiscal years.</w:t>
      </w:r>
    </w:p>
    <w:p>
      <w:pPr>
        <w:spacing w:after="0" w:line="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We sell our customer support contracts as a percentage of net software purchases the support is related to. Customer support revenue is recognized ratably over the term of the customer support agreement, which is typically one year on our perpetual licenses. The term of our subscription arrangements is typically three years.</w:t>
      </w:r>
    </w:p>
    <w:p>
      <w:pPr>
        <w:spacing w:after="0" w:line="233"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233"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In fiscal 2020 Commvault launched Metallic, which is a Commvault software-as-a-service offering. Revenue from Metallic is recognized ratably as services revenue.</w:t>
      </w:r>
    </w:p>
    <w:p>
      <w:pPr>
        <w:spacing w:after="0" w:line="23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is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60" w:type="dxa"/>
            <w:vAlign w:val="bottom"/>
          </w:tcPr>
          <w:p>
            <w:pPr>
              <w:ind w:left="260"/>
              <w:spacing w:after="0"/>
              <w:rPr>
                <w:sz w:val="20"/>
                <w:szCs w:val="20"/>
                <w:color w:val="auto"/>
              </w:rPr>
            </w:pPr>
            <w:r>
              <w:rPr>
                <w:rFonts w:ascii="Arial" w:cs="Arial" w:eastAsia="Arial" w:hAnsi="Arial"/>
                <w:sz w:val="14"/>
                <w:szCs w:val="14"/>
                <w:b w:val="1"/>
                <w:bCs w:val="1"/>
                <w:color w:val="auto"/>
              </w:rPr>
              <w:t>Performance Obligation</w:t>
            </w:r>
          </w:p>
        </w:tc>
        <w:tc>
          <w:tcPr>
            <w:tcW w:w="3820" w:type="dxa"/>
            <w:vAlign w:val="bottom"/>
          </w:tcPr>
          <w:p>
            <w:pPr>
              <w:ind w:left="940"/>
              <w:spacing w:after="0"/>
              <w:rPr>
                <w:sz w:val="20"/>
                <w:szCs w:val="20"/>
                <w:color w:val="auto"/>
              </w:rPr>
            </w:pPr>
            <w:r>
              <w:rPr>
                <w:rFonts w:ascii="Arial" w:cs="Arial" w:eastAsia="Arial" w:hAnsi="Arial"/>
                <w:sz w:val="14"/>
                <w:szCs w:val="14"/>
                <w:b w:val="1"/>
                <w:bCs w:val="1"/>
                <w:color w:val="auto"/>
              </w:rPr>
              <w:t>When Performance Obligation</w:t>
            </w:r>
          </w:p>
        </w:tc>
        <w:tc>
          <w:tcPr>
            <w:tcW w:w="2440" w:type="dxa"/>
            <w:vAlign w:val="bottom"/>
          </w:tcPr>
          <w:p>
            <w:pPr>
              <w:ind w:left="680"/>
              <w:spacing w:after="0"/>
              <w:rPr>
                <w:sz w:val="20"/>
                <w:szCs w:val="20"/>
                <w:color w:val="auto"/>
              </w:rPr>
            </w:pPr>
            <w:r>
              <w:rPr>
                <w:rFonts w:ascii="Arial" w:cs="Arial" w:eastAsia="Arial" w:hAnsi="Arial"/>
                <w:sz w:val="14"/>
                <w:szCs w:val="14"/>
                <w:b w:val="1"/>
                <w:bCs w:val="1"/>
                <w:color w:val="auto"/>
              </w:rPr>
              <w:t>When Payment is</w:t>
            </w:r>
          </w:p>
        </w:tc>
        <w:tc>
          <w:tcPr>
            <w:tcW w:w="2880" w:type="dxa"/>
            <w:vAlign w:val="bottom"/>
          </w:tcPr>
          <w:p>
            <w:pPr>
              <w:ind w:left="400"/>
              <w:spacing w:after="0"/>
              <w:rPr>
                <w:sz w:val="20"/>
                <w:szCs w:val="20"/>
                <w:color w:val="auto"/>
              </w:rPr>
            </w:pPr>
            <w:r>
              <w:rPr>
                <w:rFonts w:ascii="Arial" w:cs="Arial" w:eastAsia="Arial" w:hAnsi="Arial"/>
                <w:sz w:val="14"/>
                <w:szCs w:val="14"/>
                <w:b w:val="1"/>
                <w:bCs w:val="1"/>
                <w:color w:val="auto"/>
              </w:rPr>
              <w:t>How Standalone Selling Price is</w:t>
            </w:r>
          </w:p>
        </w:tc>
      </w:tr>
      <w:tr>
        <w:trPr>
          <w:trHeight w:val="172"/>
        </w:trPr>
        <w:tc>
          <w:tcPr>
            <w:tcW w:w="20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is Typically Satisfied</w:t>
            </w:r>
          </w:p>
        </w:tc>
        <w:tc>
          <w:tcPr>
            <w:tcW w:w="24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Typically Due</w:t>
            </w:r>
          </w:p>
        </w:tc>
        <w:tc>
          <w:tcPr>
            <w:tcW w:w="28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Typically Estimated</w:t>
            </w:r>
          </w:p>
        </w:tc>
      </w:tr>
      <w:tr>
        <w:trPr>
          <w:trHeight w:val="205"/>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Software and Products Revenue</w:t>
            </w: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Software Licenses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rPr>
              <w:t>Upon shipment or made available for download</w:t>
            </w:r>
          </w:p>
        </w:tc>
        <w:tc>
          <w:tcPr>
            <w:tcW w:w="53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Within 90 days of shipment except Residual approach</w:t>
            </w:r>
          </w:p>
        </w:tc>
      </w:tr>
      <w:tr>
        <w:trPr>
          <w:trHeight w:val="159"/>
        </w:trPr>
        <w:tc>
          <w:tcPr>
            <w:tcW w:w="2060" w:type="dxa"/>
            <w:vAlign w:val="bottom"/>
          </w:tcPr>
          <w:p>
            <w:pPr>
              <w:spacing w:after="0"/>
              <w:rPr>
                <w:sz w:val="13"/>
                <w:szCs w:val="13"/>
                <w:color w:val="auto"/>
              </w:rPr>
            </w:pPr>
          </w:p>
        </w:tc>
        <w:tc>
          <w:tcPr>
            <w:tcW w:w="3820" w:type="dxa"/>
            <w:vAlign w:val="bottom"/>
          </w:tcPr>
          <w:p>
            <w:pPr>
              <w:ind w:left="80"/>
              <w:spacing w:after="0" w:line="159" w:lineRule="exact"/>
              <w:rPr>
                <w:sz w:val="20"/>
                <w:szCs w:val="20"/>
                <w:color w:val="auto"/>
              </w:rPr>
            </w:pPr>
            <w:r>
              <w:rPr>
                <w:rFonts w:ascii="Arial" w:cs="Arial" w:eastAsia="Arial" w:hAnsi="Arial"/>
                <w:sz w:val="16"/>
                <w:szCs w:val="16"/>
                <w:color w:val="auto"/>
              </w:rPr>
              <w:t>(point in time)</w:t>
            </w:r>
          </w:p>
        </w:tc>
        <w:tc>
          <w:tcPr>
            <w:tcW w:w="2440" w:type="dxa"/>
            <w:vAlign w:val="bottom"/>
          </w:tcPr>
          <w:p>
            <w:pPr>
              <w:ind w:left="40"/>
              <w:spacing w:after="0" w:line="159" w:lineRule="exact"/>
              <w:rPr>
                <w:sz w:val="20"/>
                <w:szCs w:val="20"/>
                <w:color w:val="auto"/>
              </w:rPr>
            </w:pPr>
            <w:r>
              <w:rPr>
                <w:rFonts w:ascii="Arial" w:cs="Arial" w:eastAsia="Arial" w:hAnsi="Arial"/>
                <w:sz w:val="16"/>
                <w:szCs w:val="16"/>
                <w:color w:val="auto"/>
              </w:rPr>
              <w:t>for certain subscription licenses</w:t>
            </w:r>
          </w:p>
        </w:tc>
        <w:tc>
          <w:tcPr>
            <w:tcW w:w="2880" w:type="dxa"/>
            <w:vAlign w:val="bottom"/>
          </w:tcPr>
          <w:p>
            <w:pPr>
              <w:spacing w:after="0"/>
              <w:rPr>
                <w:sz w:val="13"/>
                <w:szCs w:val="13"/>
                <w:color w:val="auto"/>
              </w:rPr>
            </w:pPr>
          </w:p>
        </w:tc>
      </w:tr>
      <w:tr>
        <w:trPr>
          <w:trHeight w:val="194"/>
        </w:trPr>
        <w:tc>
          <w:tcPr>
            <w:tcW w:w="20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which are paid for over time</w:t>
            </w:r>
          </w:p>
        </w:tc>
        <w:tc>
          <w:tcPr>
            <w:tcW w:w="2880" w:type="dxa"/>
            <w:vAlign w:val="bottom"/>
          </w:tcPr>
          <w:p>
            <w:pPr>
              <w:spacing w:after="0"/>
              <w:rPr>
                <w:sz w:val="16"/>
                <w:szCs w:val="16"/>
                <w:color w:val="auto"/>
              </w:rPr>
            </w:pPr>
          </w:p>
        </w:tc>
      </w:tr>
      <w:tr>
        <w:trPr>
          <w:trHeight w:val="214"/>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Software Updates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w w:val="99"/>
              </w:rPr>
              <w:t>Ratably over the course of the support contract (over</w:t>
            </w:r>
          </w:p>
        </w:tc>
        <w:tc>
          <w:tcPr>
            <w:tcW w:w="2440" w:type="dxa"/>
            <w:vAlign w:val="bottom"/>
          </w:tcPr>
          <w:p>
            <w:pPr>
              <w:ind w:left="40"/>
              <w:spacing w:after="0" w:line="175" w:lineRule="exact"/>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100"/>
              <w:spacing w:after="0" w:line="175" w:lineRule="exact"/>
              <w:rPr>
                <w:sz w:val="20"/>
                <w:szCs w:val="20"/>
                <w:color w:val="auto"/>
              </w:rPr>
            </w:pPr>
            <w:r>
              <w:rPr>
                <w:rFonts w:ascii="Arial" w:cs="Arial" w:eastAsia="Arial" w:hAnsi="Arial"/>
                <w:sz w:val="16"/>
                <w:szCs w:val="16"/>
                <w:color w:val="auto"/>
              </w:rPr>
              <w:t>Observable in renewal transactions</w:t>
            </w:r>
          </w:p>
        </w:tc>
      </w:tr>
      <w:tr>
        <w:trPr>
          <w:trHeight w:val="194"/>
        </w:trPr>
        <w:tc>
          <w:tcPr>
            <w:tcW w:w="206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6"/>
                <w:szCs w:val="16"/>
                <w:color w:val="auto"/>
              </w:rPr>
              <w:t>time)</w:t>
            </w:r>
          </w:p>
        </w:tc>
        <w:tc>
          <w:tcPr>
            <w:tcW w:w="2440" w:type="dxa"/>
            <w:vAlign w:val="bottom"/>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6"/>
                <w:szCs w:val="16"/>
                <w:color w:val="auto"/>
              </w:rPr>
            </w:pPr>
          </w:p>
        </w:tc>
      </w:tr>
      <w:tr>
        <w:trPr>
          <w:trHeight w:val="177"/>
        </w:trPr>
        <w:tc>
          <w:tcPr>
            <w:tcW w:w="20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Customer Support</w:t>
            </w:r>
          </w:p>
        </w:tc>
        <w:tc>
          <w:tcPr>
            <w:tcW w:w="3820" w:type="dxa"/>
            <w:vAlign w:val="bottom"/>
            <w:shd w:val="clear" w:color="auto" w:fill="CCEEFF"/>
          </w:tcPr>
          <w:p>
            <w:pPr>
              <w:ind w:left="80"/>
              <w:spacing w:after="0" w:line="177" w:lineRule="exact"/>
              <w:rPr>
                <w:sz w:val="20"/>
                <w:szCs w:val="20"/>
                <w:color w:val="auto"/>
              </w:rPr>
            </w:pPr>
            <w:r>
              <w:rPr>
                <w:rFonts w:ascii="Arial" w:cs="Arial" w:eastAsia="Arial" w:hAnsi="Arial"/>
                <w:sz w:val="16"/>
                <w:szCs w:val="16"/>
                <w:color w:val="auto"/>
                <w:w w:val="99"/>
              </w:rPr>
              <w:t>Ratably over the course of the support contract (over</w:t>
            </w:r>
          </w:p>
        </w:tc>
        <w:tc>
          <w:tcPr>
            <w:tcW w:w="2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Observable in renewal transactions</w:t>
            </w:r>
          </w:p>
        </w:tc>
      </w:tr>
      <w:tr>
        <w:trPr>
          <w:trHeight w:val="197"/>
        </w:trPr>
        <w:tc>
          <w:tcPr>
            <w:tcW w:w="2060" w:type="dxa"/>
            <w:vAlign w:val="bottom"/>
            <w:shd w:val="clear" w:color="auto" w:fill="CCEEFF"/>
          </w:tcPr>
          <w:p>
            <w:pPr>
              <w:spacing w:after="0"/>
              <w:rPr>
                <w:sz w:val="17"/>
                <w:szCs w:val="17"/>
                <w:color w:val="auto"/>
              </w:rPr>
            </w:pPr>
          </w:p>
        </w:tc>
        <w:tc>
          <w:tcPr>
            <w:tcW w:w="3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time)</w:t>
            </w:r>
          </w:p>
        </w:tc>
        <w:tc>
          <w:tcPr>
            <w:tcW w:w="2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shd w:val="clear" w:color="auto" w:fill="CCEEFF"/>
          </w:tcPr>
          <w:p>
            <w:pPr>
              <w:spacing w:after="0"/>
              <w:rPr>
                <w:sz w:val="17"/>
                <w:szCs w:val="17"/>
                <w:color w:val="auto"/>
              </w:rPr>
            </w:pPr>
          </w:p>
        </w:tc>
      </w:tr>
      <w:tr>
        <w:trPr>
          <w:trHeight w:val="210"/>
        </w:trPr>
        <w:tc>
          <w:tcPr>
            <w:tcW w:w="2060" w:type="dxa"/>
            <w:vAlign w:val="bottom"/>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76"/>
        </w:trPr>
        <w:tc>
          <w:tcPr>
            <w:tcW w:w="206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Other Professional</w:t>
            </w:r>
          </w:p>
        </w:tc>
        <w:tc>
          <w:tcPr>
            <w:tcW w:w="3820" w:type="dxa"/>
            <w:vAlign w:val="bottom"/>
            <w:shd w:val="clear" w:color="auto" w:fill="CCEEFF"/>
          </w:tcPr>
          <w:p>
            <w:pPr>
              <w:ind w:left="80"/>
              <w:spacing w:after="0" w:line="176" w:lineRule="exact"/>
              <w:rPr>
                <w:sz w:val="20"/>
                <w:szCs w:val="20"/>
                <w:color w:val="auto"/>
              </w:rPr>
            </w:pPr>
            <w:r>
              <w:rPr>
                <w:rFonts w:ascii="Arial" w:cs="Arial" w:eastAsia="Arial" w:hAnsi="Arial"/>
                <w:sz w:val="16"/>
                <w:szCs w:val="16"/>
                <w:color w:val="auto"/>
              </w:rPr>
              <w:t>As work is performed (over time)</w:t>
            </w:r>
          </w:p>
        </w:tc>
        <w:tc>
          <w:tcPr>
            <w:tcW w:w="2440" w:type="dxa"/>
            <w:vAlign w:val="bottom"/>
            <w:shd w:val="clear" w:color="auto" w:fill="CCEEFF"/>
          </w:tcPr>
          <w:p>
            <w:pPr>
              <w:ind w:left="40"/>
              <w:spacing w:after="0" w:line="176" w:lineRule="exact"/>
              <w:rPr>
                <w:sz w:val="20"/>
                <w:szCs w:val="20"/>
                <w:color w:val="auto"/>
              </w:rPr>
            </w:pPr>
            <w:r>
              <w:rPr>
                <w:rFonts w:ascii="Arial" w:cs="Arial" w:eastAsia="Arial" w:hAnsi="Arial"/>
                <w:sz w:val="16"/>
                <w:szCs w:val="16"/>
                <w:color w:val="auto"/>
              </w:rPr>
              <w:t>Within 90 days of services being</w:t>
            </w:r>
          </w:p>
        </w:tc>
        <w:tc>
          <w:tcPr>
            <w:tcW w:w="2880" w:type="dxa"/>
            <w:vAlign w:val="bottom"/>
            <w:shd w:val="clear" w:color="auto" w:fill="CCEEFF"/>
          </w:tcPr>
          <w:p>
            <w:pPr>
              <w:ind w:left="100"/>
              <w:spacing w:after="0" w:line="176" w:lineRule="exact"/>
              <w:rPr>
                <w:sz w:val="20"/>
                <w:szCs w:val="20"/>
                <w:color w:val="auto"/>
              </w:rPr>
            </w:pPr>
            <w:r>
              <w:rPr>
                <w:rFonts w:ascii="Arial" w:cs="Arial" w:eastAsia="Arial" w:hAnsi="Arial"/>
                <w:sz w:val="16"/>
                <w:szCs w:val="16"/>
                <w:color w:val="auto"/>
              </w:rPr>
              <w:t>Observable in transactions without</w:t>
            </w:r>
          </w:p>
        </w:tc>
      </w:tr>
      <w:tr>
        <w:trPr>
          <w:trHeight w:val="159"/>
        </w:trPr>
        <w:tc>
          <w:tcPr>
            <w:tcW w:w="2060" w:type="dxa"/>
            <w:vAlign w:val="bottom"/>
            <w:shd w:val="clear" w:color="auto" w:fill="CCEEFF"/>
          </w:tcPr>
          <w:p>
            <w:pPr>
              <w:ind w:left="140"/>
              <w:spacing w:after="0" w:line="159" w:lineRule="exact"/>
              <w:rPr>
                <w:sz w:val="20"/>
                <w:szCs w:val="20"/>
                <w:color w:val="auto"/>
              </w:rPr>
            </w:pPr>
            <w:r>
              <w:rPr>
                <w:rFonts w:ascii="Arial" w:cs="Arial" w:eastAsia="Arial" w:hAnsi="Arial"/>
                <w:sz w:val="16"/>
                <w:szCs w:val="16"/>
                <w:color w:val="auto"/>
              </w:rPr>
              <w:t>Services (except for</w:t>
            </w:r>
          </w:p>
        </w:tc>
        <w:tc>
          <w:tcPr>
            <w:tcW w:w="3820" w:type="dxa"/>
            <w:vAlign w:val="bottom"/>
            <w:shd w:val="clear" w:color="auto" w:fill="CCEEFF"/>
          </w:tcPr>
          <w:p>
            <w:pPr>
              <w:spacing w:after="0"/>
              <w:rPr>
                <w:sz w:val="13"/>
                <w:szCs w:val="13"/>
                <w:color w:val="auto"/>
              </w:rPr>
            </w:pPr>
          </w:p>
        </w:tc>
        <w:tc>
          <w:tcPr>
            <w:tcW w:w="244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rPr>
              <w:t>performed</w:t>
            </w:r>
          </w:p>
        </w:tc>
        <w:tc>
          <w:tcPr>
            <w:tcW w:w="2880" w:type="dxa"/>
            <w:vAlign w:val="bottom"/>
            <w:shd w:val="clear" w:color="auto" w:fill="CCEEFF"/>
          </w:tcPr>
          <w:p>
            <w:pPr>
              <w:ind w:left="100"/>
              <w:spacing w:after="0" w:line="159" w:lineRule="exact"/>
              <w:rPr>
                <w:sz w:val="20"/>
                <w:szCs w:val="20"/>
                <w:color w:val="auto"/>
              </w:rPr>
            </w:pPr>
            <w:r>
              <w:rPr>
                <w:rFonts w:ascii="Arial" w:cs="Arial" w:eastAsia="Arial" w:hAnsi="Arial"/>
                <w:sz w:val="16"/>
                <w:szCs w:val="16"/>
                <w:color w:val="auto"/>
              </w:rPr>
              <w:t>multiple performance obligations</w:t>
            </w:r>
          </w:p>
        </w:tc>
      </w:tr>
      <w:tr>
        <w:trPr>
          <w:trHeight w:val="19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education services)</w:t>
            </w:r>
          </w:p>
        </w:tc>
        <w:tc>
          <w:tcPr>
            <w:tcW w:w="38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Education Services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rPr>
              <w:t>When the class is taught (point in time)</w:t>
            </w:r>
          </w:p>
        </w:tc>
        <w:tc>
          <w:tcPr>
            <w:tcW w:w="2440" w:type="dxa"/>
            <w:vAlign w:val="bottom"/>
          </w:tcPr>
          <w:p>
            <w:pPr>
              <w:ind w:left="40"/>
              <w:spacing w:after="0" w:line="175"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75" w:lineRule="exact"/>
              <w:rPr>
                <w:sz w:val="20"/>
                <w:szCs w:val="20"/>
                <w:color w:val="auto"/>
              </w:rPr>
            </w:pPr>
            <w:r>
              <w:rPr>
                <w:rFonts w:ascii="Arial" w:cs="Arial" w:eastAsia="Arial" w:hAnsi="Arial"/>
                <w:sz w:val="16"/>
                <w:szCs w:val="16"/>
                <w:color w:val="auto"/>
              </w:rPr>
              <w:t>Observable in transactions without</w:t>
            </w:r>
          </w:p>
        </w:tc>
      </w:tr>
      <w:tr>
        <w:trPr>
          <w:trHeight w:val="194"/>
        </w:trPr>
        <w:tc>
          <w:tcPr>
            <w:tcW w:w="20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r>
        <w:trPr>
          <w:trHeight w:val="177"/>
        </w:trPr>
        <w:tc>
          <w:tcPr>
            <w:tcW w:w="20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Software-as-a-service</w:t>
            </w:r>
          </w:p>
        </w:tc>
        <w:tc>
          <w:tcPr>
            <w:tcW w:w="3820" w:type="dxa"/>
            <w:vAlign w:val="bottom"/>
            <w:shd w:val="clear" w:color="auto" w:fill="CCEEFF"/>
          </w:tcPr>
          <w:p>
            <w:pPr>
              <w:ind w:left="80"/>
              <w:spacing w:after="0" w:line="177" w:lineRule="exact"/>
              <w:rPr>
                <w:sz w:val="20"/>
                <w:szCs w:val="20"/>
                <w:color w:val="auto"/>
              </w:rPr>
            </w:pPr>
            <w:r>
              <w:rPr>
                <w:rFonts w:ascii="Arial" w:cs="Arial" w:eastAsia="Arial" w:hAnsi="Arial"/>
                <w:sz w:val="16"/>
                <w:szCs w:val="16"/>
                <w:color w:val="auto"/>
              </w:rPr>
              <w:t>Ratably over the course of the contract (over time)</w:t>
            </w:r>
          </w:p>
        </w:tc>
        <w:tc>
          <w:tcPr>
            <w:tcW w:w="2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Annual or monthly payments</w:t>
            </w:r>
          </w:p>
        </w:tc>
        <w:tc>
          <w:tcPr>
            <w:tcW w:w="288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Observable in transactions without</w:t>
            </w:r>
          </w:p>
        </w:tc>
      </w:tr>
      <w:tr>
        <w:trPr>
          <w:trHeight w:val="19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(Metallic)</w:t>
            </w:r>
          </w:p>
        </w:tc>
        <w:tc>
          <w:tcPr>
            <w:tcW w:w="38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Disaggregation of Revenue</w:t>
      </w:r>
    </w:p>
    <w:p>
      <w:pPr>
        <w:spacing w:after="0" w:line="262"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are tracked are the Americas (United States, Canada, Latin America), EMEA (Europe, Middle East, Africa) and APJ (Australia, New Zealand, Southeast Asia, China). We operate in one segment.</w:t>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6"/>
                <w:szCs w:val="16"/>
                <w:b w:val="1"/>
                <w:bCs w:val="1"/>
                <w:color w:val="auto"/>
              </w:rPr>
              <w:t>Three Months Ended June 30, 2021</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51,787</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21,341</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82,162</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51,874</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26,774</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10,321</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88,969</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7,310</w:t>
            </w: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12,290</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110,971</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51,543</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20,907</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183,421</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6"/>
                <w:szCs w:val="16"/>
                <w:b w:val="1"/>
                <w:bCs w:val="1"/>
                <w:color w:val="auto"/>
              </w:rPr>
              <w:t>Three Months Ended June 30, 2020</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50,645</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18,795</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76,554</w:t>
            </w:r>
          </w:p>
        </w:tc>
      </w:tr>
      <w:tr>
        <w:trPr>
          <w:trHeight w:val="209"/>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55,238</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23,310</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10,095</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88,643</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7,803</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109,996</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44,660</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18,344</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173,000</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62"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contracts.</w:t>
      </w:r>
    </w:p>
    <w:p>
      <w:pPr>
        <w:spacing w:after="0" w:line="23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23"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Unbilled</w:t>
            </w:r>
          </w:p>
        </w:tc>
        <w:tc>
          <w:tcPr>
            <w:tcW w:w="480" w:type="dxa"/>
            <w:vAlign w:val="bottom"/>
          </w:tcPr>
          <w:p>
            <w:pPr>
              <w:spacing w:after="0"/>
              <w:rPr>
                <w:sz w:val="16"/>
                <w:szCs w:val="16"/>
                <w:color w:val="auto"/>
              </w:rPr>
            </w:pPr>
          </w:p>
        </w:tc>
        <w:tc>
          <w:tcPr>
            <w:tcW w:w="12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Unbilled</w:t>
            </w:r>
          </w:p>
        </w:tc>
        <w:tc>
          <w:tcPr>
            <w:tcW w:w="440" w:type="dxa"/>
            <w:vAlign w:val="bottom"/>
          </w:tcPr>
          <w:p>
            <w:pPr>
              <w:spacing w:after="0"/>
              <w:rPr>
                <w:sz w:val="16"/>
                <w:szCs w:val="16"/>
                <w:color w:val="auto"/>
              </w:rPr>
            </w:pPr>
          </w:p>
        </w:tc>
        <w:tc>
          <w:tcPr>
            <w:tcW w:w="1280" w:type="dxa"/>
            <w:vAlign w:val="bottom"/>
          </w:tcPr>
          <w:p>
            <w:pPr>
              <w:jc w:val="right"/>
              <w:ind w:right="461"/>
              <w:spacing w:after="0"/>
              <w:rPr>
                <w:sz w:val="20"/>
                <w:szCs w:val="20"/>
                <w:color w:val="auto"/>
              </w:rPr>
            </w:pPr>
            <w:r>
              <w:rPr>
                <w:rFonts w:ascii="Arial" w:cs="Arial" w:eastAsia="Arial" w:hAnsi="Arial"/>
                <w:sz w:val="16"/>
                <w:szCs w:val="16"/>
                <w:b w:val="1"/>
                <w:bCs w:val="1"/>
                <w:color w:val="auto"/>
              </w:rPr>
              <w:t>Deferred</w:t>
            </w:r>
          </w:p>
        </w:tc>
        <w:tc>
          <w:tcPr>
            <w:tcW w:w="400" w:type="dxa"/>
            <w:vAlign w:val="bottom"/>
          </w:tcPr>
          <w:p>
            <w:pPr>
              <w:spacing w:after="0"/>
              <w:rPr>
                <w:sz w:val="16"/>
                <w:szCs w:val="16"/>
                <w:color w:val="auto"/>
              </w:rPr>
            </w:pPr>
          </w:p>
        </w:tc>
        <w:tc>
          <w:tcPr>
            <w:tcW w:w="1140" w:type="dxa"/>
            <w:vAlign w:val="bottom"/>
          </w:tcPr>
          <w:p>
            <w:pPr>
              <w:jc w:val="right"/>
              <w:ind w:right="241"/>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45"/>
        </w:trPr>
        <w:tc>
          <w:tcPr>
            <w:tcW w:w="1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0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Accounts</w:t>
            </w:r>
          </w:p>
        </w:tc>
        <w:tc>
          <w:tcPr>
            <w:tcW w:w="4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720" w:type="dxa"/>
            <w:vAlign w:val="bottom"/>
            <w:gridSpan w:val="2"/>
            <w:vMerge w:val="restart"/>
          </w:tcPr>
          <w:p>
            <w:pPr>
              <w:jc w:val="right"/>
              <w:ind w:right="681"/>
              <w:spacing w:after="0"/>
              <w:rPr>
                <w:sz w:val="20"/>
                <w:szCs w:val="20"/>
                <w:color w:val="auto"/>
              </w:rPr>
            </w:pPr>
            <w:r>
              <w:rPr>
                <w:rFonts w:ascii="Arial" w:cs="Arial" w:eastAsia="Arial" w:hAnsi="Arial"/>
                <w:sz w:val="16"/>
                <w:szCs w:val="16"/>
                <w:b w:val="1"/>
                <w:bCs w:val="1"/>
                <w:color w:val="auto"/>
              </w:rPr>
              <w:t>Revenue</w:t>
            </w:r>
          </w:p>
        </w:tc>
        <w:tc>
          <w:tcPr>
            <w:tcW w:w="1540" w:type="dxa"/>
            <w:vAlign w:val="bottom"/>
            <w:gridSpan w:val="2"/>
            <w:vMerge w:val="restart"/>
          </w:tcPr>
          <w:p>
            <w:pPr>
              <w:jc w:val="right"/>
              <w:ind w:right="481"/>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59"/>
        </w:trPr>
        <w:tc>
          <w:tcPr>
            <w:tcW w:w="1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700" w:type="dxa"/>
            <w:vAlign w:val="bottom"/>
            <w:gridSpan w:val="2"/>
          </w:tcPr>
          <w:p>
            <w:pPr>
              <w:jc w:val="right"/>
              <w:ind w:right="541"/>
              <w:spacing w:after="0" w:line="159" w:lineRule="exact"/>
              <w:rPr>
                <w:sz w:val="20"/>
                <w:szCs w:val="20"/>
                <w:color w:val="auto"/>
              </w:rPr>
            </w:pPr>
            <w:r>
              <w:rPr>
                <w:rFonts w:ascii="Arial" w:cs="Arial" w:eastAsia="Arial" w:hAnsi="Arial"/>
                <w:sz w:val="16"/>
                <w:szCs w:val="16"/>
                <w:b w:val="1"/>
                <w:bCs w:val="1"/>
                <w:color w:val="auto"/>
              </w:rPr>
              <w:t>Receivable</w:t>
            </w:r>
          </w:p>
        </w:tc>
        <w:tc>
          <w:tcPr>
            <w:tcW w:w="1720" w:type="dxa"/>
            <w:vAlign w:val="bottom"/>
            <w:gridSpan w:val="2"/>
          </w:tcPr>
          <w:p>
            <w:pPr>
              <w:ind w:left="240"/>
              <w:spacing w:after="0" w:line="159" w:lineRule="exact"/>
              <w:rPr>
                <w:sz w:val="20"/>
                <w:szCs w:val="20"/>
                <w:color w:val="auto"/>
              </w:rPr>
            </w:pPr>
            <w:r>
              <w:rPr>
                <w:rFonts w:ascii="Arial" w:cs="Arial" w:eastAsia="Arial" w:hAnsi="Arial"/>
                <w:sz w:val="16"/>
                <w:szCs w:val="16"/>
                <w:b w:val="1"/>
                <w:bCs w:val="1"/>
                <w:color w:val="auto"/>
              </w:rPr>
              <w:t>Receivable</w:t>
            </w:r>
          </w:p>
        </w:tc>
        <w:tc>
          <w:tcPr>
            <w:tcW w:w="172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9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6"/>
                <w:szCs w:val="16"/>
                <w:b w:val="1"/>
                <w:bCs w:val="1"/>
                <w:color w:val="auto"/>
              </w:rPr>
              <w:t>Receivable</w:t>
            </w:r>
          </w:p>
        </w:tc>
        <w:tc>
          <w:tcPr>
            <w:tcW w:w="170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6"/>
                <w:szCs w:val="16"/>
                <w:b w:val="1"/>
                <w:bCs w:val="1"/>
                <w:color w:val="auto"/>
              </w:rPr>
              <w:t>(current)</w:t>
            </w:r>
          </w:p>
        </w:tc>
        <w:tc>
          <w:tcPr>
            <w:tcW w:w="17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(long-term)</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(current)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154"/>
        </w:trPr>
        <w:tc>
          <w:tcPr>
            <w:tcW w:w="1980" w:type="dxa"/>
            <w:vAlign w:val="bottom"/>
            <w:shd w:val="clear" w:color="auto" w:fill="CCEEFF"/>
          </w:tcPr>
          <w:p>
            <w:pPr>
              <w:ind w:left="500"/>
              <w:spacing w:after="0" w:line="155" w:lineRule="exact"/>
              <w:rPr>
                <w:sz w:val="20"/>
                <w:szCs w:val="20"/>
                <w:color w:val="auto"/>
              </w:rPr>
            </w:pPr>
            <w:r>
              <w:rPr>
                <w:rFonts w:ascii="Arial" w:cs="Arial" w:eastAsia="Arial" w:hAnsi="Arial"/>
                <w:sz w:val="16"/>
                <w:szCs w:val="16"/>
                <w:color w:val="auto"/>
              </w:rPr>
              <w:t>Opening Balance as</w:t>
            </w:r>
          </w:p>
        </w:tc>
        <w:tc>
          <w:tcPr>
            <w:tcW w:w="6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March 31, 2021</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168,985</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19,141</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121"/>
              <w:spacing w:after="0"/>
              <w:rPr>
                <w:sz w:val="20"/>
                <w:szCs w:val="20"/>
                <w:color w:val="auto"/>
              </w:rPr>
            </w:pPr>
            <w:r>
              <w:rPr>
                <w:rFonts w:ascii="Arial" w:cs="Arial" w:eastAsia="Arial" w:hAnsi="Arial"/>
                <w:sz w:val="16"/>
                <w:szCs w:val="16"/>
                <w:color w:val="auto"/>
                <w:w w:val="99"/>
              </w:rPr>
              <w:t>7,463</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253,211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119,231</w:t>
            </w:r>
          </w:p>
        </w:tc>
        <w:tc>
          <w:tcPr>
            <w:tcW w:w="0" w:type="dxa"/>
            <w:vAlign w:val="bottom"/>
          </w:tcPr>
          <w:p>
            <w:pPr>
              <w:spacing w:after="0"/>
              <w:rPr>
                <w:sz w:val="1"/>
                <w:szCs w:val="1"/>
                <w:color w:val="auto"/>
              </w:rPr>
            </w:pPr>
          </w:p>
        </w:tc>
      </w:tr>
      <w:tr>
        <w:trPr>
          <w:trHeight w:val="174"/>
        </w:trPr>
        <w:tc>
          <w:tcPr>
            <w:tcW w:w="1980" w:type="dxa"/>
            <w:vAlign w:val="bottom"/>
          </w:tcPr>
          <w:p>
            <w:pPr>
              <w:ind w:left="500"/>
              <w:spacing w:after="0" w:line="175" w:lineRule="exact"/>
              <w:rPr>
                <w:sz w:val="20"/>
                <w:szCs w:val="20"/>
                <w:color w:val="auto"/>
              </w:rPr>
            </w:pPr>
            <w:r>
              <w:rPr>
                <w:rFonts w:ascii="Arial" w:cs="Arial" w:eastAsia="Arial" w:hAnsi="Arial"/>
                <w:sz w:val="16"/>
                <w:szCs w:val="16"/>
                <w:color w:val="auto"/>
                <w:w w:val="99"/>
              </w:rPr>
              <w:t>Increase (decrease),</w:t>
            </w:r>
          </w:p>
        </w:tc>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w:t>
            </w: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(30,078)</w:t>
            </w: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814</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rPr>
              <w:t>(2,429)</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(468)</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157"/>
        </w:trPr>
        <w:tc>
          <w:tcPr>
            <w:tcW w:w="1980" w:type="dxa"/>
            <w:vAlign w:val="bottom"/>
            <w:shd w:val="clear" w:color="auto" w:fill="CCEEFF"/>
          </w:tcPr>
          <w:p>
            <w:pPr>
              <w:ind w:left="500"/>
              <w:spacing w:after="0" w:line="157" w:lineRule="exact"/>
              <w:rPr>
                <w:sz w:val="20"/>
                <w:szCs w:val="20"/>
                <w:color w:val="auto"/>
              </w:rPr>
            </w:pPr>
            <w:r>
              <w:rPr>
                <w:rFonts w:ascii="Arial" w:cs="Arial" w:eastAsia="Arial" w:hAnsi="Arial"/>
                <w:sz w:val="16"/>
                <w:szCs w:val="16"/>
                <w:color w:val="auto"/>
              </w:rPr>
              <w:t>Ending Balance as</w:t>
            </w:r>
          </w:p>
        </w:tc>
        <w:tc>
          <w:tcPr>
            <w:tcW w:w="6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rPr>
              <w:t>138,907</w:t>
            </w:r>
          </w:p>
        </w:tc>
        <w:tc>
          <w:tcPr>
            <w:tcW w:w="4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color w:val="auto"/>
              </w:rPr>
              <w:t>19,955</w:t>
            </w:r>
          </w:p>
        </w:tc>
        <w:tc>
          <w:tcPr>
            <w:tcW w:w="4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center"/>
              <w:ind w:left="121"/>
              <w:spacing w:after="0"/>
              <w:rPr>
                <w:sz w:val="20"/>
                <w:szCs w:val="20"/>
                <w:color w:val="auto"/>
              </w:rPr>
            </w:pPr>
            <w:r>
              <w:rPr>
                <w:rFonts w:ascii="Arial" w:cs="Arial" w:eastAsia="Arial" w:hAnsi="Arial"/>
                <w:sz w:val="16"/>
                <w:szCs w:val="16"/>
                <w:color w:val="auto"/>
                <w:w w:val="99"/>
              </w:rPr>
              <w:t>5,034</w:t>
            </w:r>
          </w:p>
        </w:tc>
        <w:tc>
          <w:tcPr>
            <w:tcW w:w="4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color w:val="auto"/>
              </w:rPr>
              <w:t>252,743</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120,915</w:t>
            </w: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6"/>
                <w:szCs w:val="16"/>
                <w:color w:val="auto"/>
              </w:rPr>
              <w:t>of June 30, 2021</w:t>
            </w: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decrease in Accounts receivable (inclusive of Unbilled receivables) is a result of a decrease in software and products revenue relative to the fourth quarter of the prior fiscal year. The increase in Deferred revenue is primarily the result of an increase in deferred revenue associated with Metallic contracts that are billed upfront and recognized ratably over the contract period partially offset by a decline in deferred revenue associated with customer support contracts.</w:t>
      </w:r>
    </w:p>
    <w:p>
      <w:pPr>
        <w:spacing w:after="0" w:line="234"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amount of revenue recognized in the period that was included in the March 31, 2021 balance of deferred revenue was $90,809 for the three months ended June 30, 2021. The vast majority of this revenue consists of customer support arrangements. The amount of software and products revenue recognized in the three months ended June 30, 2021 related to performance obligations from prior periods was not significant.</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Remaining Performance Obligations</w:t>
      </w:r>
    </w:p>
    <w:p>
      <w:pPr>
        <w:spacing w:after="0" w:line="262" w:lineRule="exact"/>
        <w:rPr>
          <w:sz w:val="20"/>
          <w:szCs w:val="20"/>
          <w:color w:val="auto"/>
        </w:rPr>
      </w:pPr>
    </w:p>
    <w:p>
      <w:pPr>
        <w:jc w:val="both"/>
        <w:ind w:firstLine="437"/>
        <w:spacing w:after="0" w:line="266" w:lineRule="auto"/>
        <w:rPr>
          <w:sz w:val="20"/>
          <w:szCs w:val="20"/>
          <w:color w:val="auto"/>
        </w:rPr>
      </w:pPr>
      <w:r>
        <w:rPr>
          <w:rFonts w:ascii="Arial" w:cs="Arial" w:eastAsia="Arial" w:hAnsi="Arial"/>
          <w:sz w:val="17"/>
          <w:szCs w:val="17"/>
          <w:color w:val="auto"/>
        </w:rPr>
        <w:t>In addition to the amounts included in deferred revenue as of June 30, 2021, $37,615 of revenue may be recognized from remaining performance obligations, of which approximately $4,100 was related to software and products. We expect the majority of this software and products revenue to be recognized during fiscal 2022. The vast majority of the services revenue is related to other professional services which may be recognized over the next twelve months but is contingent upon a number of factors, including customers’ needs and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00B2A9"/>
        </w:rPr>
        <w:t>4.</w:t>
      </w:r>
      <w:r>
        <w:rPr>
          <w:sz w:val="20"/>
          <w:szCs w:val="20"/>
          <w:color w:val="auto"/>
        </w:rPr>
        <w:tab/>
      </w:r>
      <w:r>
        <w:rPr>
          <w:rFonts w:ascii="Arial" w:cs="Arial" w:eastAsia="Arial" w:hAnsi="Arial"/>
          <w:sz w:val="17"/>
          <w:szCs w:val="17"/>
          <w:b w:val="1"/>
          <w:bCs w:val="1"/>
          <w:color w:val="00B2A9"/>
        </w:rPr>
        <w:t>Net Income per Common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5460" w:type="dxa"/>
            <w:vAlign w:val="bottom"/>
          </w:tcPr>
          <w:p>
            <w:pPr>
              <w:spacing w:after="0"/>
              <w:rPr>
                <w:sz w:val="18"/>
                <w:szCs w:val="18"/>
                <w:color w:val="auto"/>
              </w:rPr>
            </w:pPr>
          </w:p>
        </w:tc>
        <w:tc>
          <w:tcPr>
            <w:tcW w:w="392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income</w:t>
            </w:r>
          </w:p>
        </w:tc>
        <w:tc>
          <w:tcPr>
            <w:tcW w:w="158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13,897</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b w:val="1"/>
                <w:bCs w:val="1"/>
                <w:color w:val="auto"/>
              </w:rPr>
              <w:t>Basic net income per common share:</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46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weighted average shares outstanding</w:t>
            </w:r>
          </w:p>
        </w:tc>
        <w:tc>
          <w:tcPr>
            <w:tcW w:w="15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46,180</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60" w:type="dxa"/>
            <w:vAlign w:val="bottom"/>
          </w:tcPr>
          <w:p>
            <w:pPr>
              <w:ind w:left="460"/>
              <w:spacing w:after="0"/>
              <w:rPr>
                <w:sz w:val="20"/>
                <w:szCs w:val="20"/>
                <w:color w:val="auto"/>
              </w:rPr>
            </w:pPr>
            <w:r>
              <w:rPr>
                <w:rFonts w:ascii="Arial" w:cs="Arial" w:eastAsia="Arial" w:hAnsi="Arial"/>
                <w:sz w:val="16"/>
                <w:szCs w:val="16"/>
                <w:color w:val="auto"/>
              </w:rPr>
              <w:t>Basic net income per common share</w:t>
            </w:r>
          </w:p>
        </w:tc>
        <w:tc>
          <w:tcPr>
            <w:tcW w:w="158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60" w:type="dxa"/>
            <w:vAlign w:val="bottom"/>
          </w:tcPr>
          <w:p>
            <w:pPr>
              <w:spacing w:after="0"/>
              <w:rPr>
                <w:sz w:val="18"/>
                <w:szCs w:val="18"/>
                <w:color w:val="auto"/>
              </w:rPr>
            </w:pPr>
          </w:p>
        </w:tc>
        <w:tc>
          <w:tcPr>
            <w:tcW w:w="156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460" w:type="dxa"/>
            <w:vAlign w:val="bottom"/>
            <w:shd w:val="clear" w:color="auto" w:fill="CCEEFF"/>
          </w:tcPr>
          <w:p>
            <w:pPr>
              <w:ind w:left="460"/>
              <w:spacing w:after="0" w:line="172" w:lineRule="exact"/>
              <w:rPr>
                <w:sz w:val="20"/>
                <w:szCs w:val="20"/>
                <w:color w:val="auto"/>
              </w:rPr>
            </w:pPr>
            <w:r>
              <w:rPr>
                <w:rFonts w:ascii="Arial" w:cs="Arial" w:eastAsia="Arial" w:hAnsi="Arial"/>
                <w:sz w:val="16"/>
                <w:szCs w:val="16"/>
                <w:b w:val="1"/>
                <w:bCs w:val="1"/>
                <w:color w:val="auto"/>
              </w:rPr>
              <w:t>Diluted net income per common share:</w:t>
            </w:r>
          </w:p>
        </w:tc>
        <w:tc>
          <w:tcPr>
            <w:tcW w:w="1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460"/>
              <w:spacing w:after="0"/>
              <w:rPr>
                <w:sz w:val="20"/>
                <w:szCs w:val="20"/>
                <w:color w:val="auto"/>
              </w:rPr>
            </w:pPr>
            <w:r>
              <w:rPr>
                <w:rFonts w:ascii="Arial" w:cs="Arial" w:eastAsia="Arial" w:hAnsi="Arial"/>
                <w:sz w:val="16"/>
                <w:szCs w:val="16"/>
                <w:color w:val="auto"/>
              </w:rPr>
              <w:t>Basic weighted average shares outstanding</w:t>
            </w:r>
          </w:p>
        </w:tc>
        <w:tc>
          <w:tcPr>
            <w:tcW w:w="1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46,180</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46,191</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Dilutive effect of stock options and restricted stock units</w:t>
            </w:r>
          </w:p>
        </w:tc>
        <w:tc>
          <w:tcPr>
            <w:tcW w:w="15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6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4"/>
        </w:trPr>
        <w:tc>
          <w:tcPr>
            <w:tcW w:w="5460" w:type="dxa"/>
            <w:vAlign w:val="bottom"/>
          </w:tcPr>
          <w:p>
            <w:pPr>
              <w:ind w:left="460"/>
              <w:spacing w:after="0"/>
              <w:rPr>
                <w:sz w:val="20"/>
                <w:szCs w:val="20"/>
                <w:color w:val="auto"/>
              </w:rPr>
            </w:pPr>
            <w:r>
              <w:rPr>
                <w:rFonts w:ascii="Arial" w:cs="Arial" w:eastAsia="Arial" w:hAnsi="Arial"/>
                <w:sz w:val="16"/>
                <w:szCs w:val="16"/>
                <w:color w:val="auto"/>
              </w:rPr>
              <w:t>Diluted weighted average shares outstanding</w:t>
            </w:r>
          </w:p>
        </w:tc>
        <w:tc>
          <w:tcPr>
            <w:tcW w:w="1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48,167</w:t>
            </w:r>
          </w:p>
        </w:tc>
        <w:tc>
          <w:tcPr>
            <w:tcW w:w="1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46,503</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Diluted net income per common share</w:t>
            </w:r>
          </w:p>
        </w:tc>
        <w:tc>
          <w:tcPr>
            <w:tcW w:w="158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diluted weighted-average shares outstanding exclude outstanding stock options, restricted stock units, performance restricted stock units and shares to be purchased under the employee stock purchase plan totaling 616 and 3,166 for the three months ended June 30, 2021 and 2020, respectively, because the effect would have been anti-dilutive.</w:t>
      </w:r>
    </w:p>
    <w:p>
      <w:pPr>
        <w:spacing w:after="0" w:line="370" w:lineRule="exact"/>
        <w:rPr>
          <w:sz w:val="20"/>
          <w:szCs w:val="20"/>
          <w:color w:val="auto"/>
        </w:rPr>
      </w:pPr>
    </w:p>
    <w:p>
      <w:pPr>
        <w:ind w:left="340" w:hanging="334"/>
        <w:spacing w:after="0"/>
        <w:tabs>
          <w:tab w:leader="none" w:pos="340" w:val="left"/>
        </w:tabs>
        <w:numPr>
          <w:ilvl w:val="0"/>
          <w:numId w:val="6"/>
        </w:numPr>
        <w:rPr>
          <w:rFonts w:ascii="Arial" w:cs="Arial" w:eastAsia="Arial" w:hAnsi="Arial"/>
          <w:sz w:val="18"/>
          <w:szCs w:val="18"/>
          <w:b w:val="1"/>
          <w:bCs w:val="1"/>
          <w:color w:val="00B2A9"/>
        </w:rPr>
      </w:pPr>
      <w:r>
        <w:rPr>
          <w:rFonts w:ascii="Arial" w:cs="Arial" w:eastAsia="Arial" w:hAnsi="Arial"/>
          <w:sz w:val="18"/>
          <w:szCs w:val="18"/>
          <w:b w:val="1"/>
          <w:bCs w:val="1"/>
          <w:color w:val="00B2A9"/>
        </w:rPr>
        <w:t>Commitments and Contingencies</w:t>
      </w:r>
    </w:p>
    <w:p>
      <w:pPr>
        <w:spacing w:after="0" w:line="186" w:lineRule="exact"/>
        <w:rPr>
          <w:sz w:val="20"/>
          <w:szCs w:val="20"/>
          <w:color w:val="auto"/>
        </w:rPr>
      </w:pPr>
    </w:p>
    <w:p>
      <w:pPr>
        <w:ind w:right="80" w:firstLine="196"/>
        <w:spacing w:after="0" w:line="246"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On February 9, 2021, Rubrik, Inc. filed a patent-infringement lawsuit against Commvault Systems, Inc. in the United States District Court for the Western District of Texas – Waco Division. Rubrik asserts U.S. Patents 11,016,761, 10,852,998, 10,133,495, and 9,075,773. Due to the inherent uncertainties of litigation, we cannot accurately predict the ultimate timing or outcome of this matter. We are unable at this time to determine whether the outcome of the litigation will have a material impact on our results of operations, financial condition, or cash flows. We believe that Rubrik’s claims are without merit, and we intend to vigorously contest them.</w:t>
      </w:r>
    </w:p>
    <w:p>
      <w:pPr>
        <w:spacing w:after="0" w:line="158"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We do not believe that we are currently party to any other pending legal action that could reasonably be expected to have a material adverse effect on our business or operating results.</w:t>
      </w:r>
    </w:p>
    <w:p>
      <w:pPr>
        <w:spacing w:after="0" w:line="367" w:lineRule="exact"/>
        <w:rPr>
          <w:sz w:val="20"/>
          <w:szCs w:val="20"/>
          <w:color w:val="auto"/>
        </w:rPr>
      </w:pPr>
    </w:p>
    <w:p>
      <w:pPr>
        <w:ind w:left="340" w:hanging="334"/>
        <w:spacing w:after="0"/>
        <w:tabs>
          <w:tab w:leader="none" w:pos="340" w:val="left"/>
        </w:tabs>
        <w:numPr>
          <w:ilvl w:val="0"/>
          <w:numId w:val="7"/>
        </w:numPr>
        <w:rPr>
          <w:rFonts w:ascii="Arial" w:cs="Arial" w:eastAsia="Arial" w:hAnsi="Arial"/>
          <w:sz w:val="18"/>
          <w:szCs w:val="18"/>
          <w:b w:val="1"/>
          <w:bCs w:val="1"/>
          <w:color w:val="00B2A9"/>
        </w:rPr>
      </w:pPr>
      <w:r>
        <w:rPr>
          <w:rFonts w:ascii="Arial" w:cs="Arial" w:eastAsia="Arial" w:hAnsi="Arial"/>
          <w:sz w:val="18"/>
          <w:szCs w:val="18"/>
          <w:b w:val="1"/>
          <w:bCs w:val="1"/>
          <w:color w:val="00B2A9"/>
        </w:rPr>
        <w:t>Capitalization</w:t>
      </w:r>
    </w:p>
    <w:p>
      <w:pPr>
        <w:spacing w:after="0" w:line="186"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During the three months ended June 30, 2021, we repurchased $90,048 of common stock (1,249 shares). There were no repurchases of common stock during the first quarter of fiscal year 2021. Our stock repurchase program has been funded by our existing cash and cash equivalent balances as well as cash flows provided by our operations.</w:t>
      </w:r>
    </w:p>
    <w:p>
      <w:pPr>
        <w:spacing w:after="0" w:line="15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Board has approved, and we intend to execute, a capital allocation policy that provides for the repurchase of $200,000 of our common stock for the period from February 1, 2021 through the end of our 2022 fiscal year, plus the use of approximately 75% of our fiscal 2022 free cash flow for additional repurchases during fiscal year 2022. From the period beginning February 1, 2021 through June 30, 2021 we have repurchased $152,175 of our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66" w:lineRule="exact"/>
        <w:rPr>
          <w:sz w:val="20"/>
          <w:szCs w:val="20"/>
          <w:color w:val="auto"/>
        </w:rPr>
      </w:pPr>
    </w:p>
    <w:p>
      <w:pPr>
        <w:ind w:left="340" w:hanging="334"/>
        <w:spacing w:after="0"/>
        <w:tabs>
          <w:tab w:leader="none" w:pos="340" w:val="left"/>
        </w:tabs>
        <w:numPr>
          <w:ilvl w:val="0"/>
          <w:numId w:val="8"/>
        </w:numPr>
        <w:rPr>
          <w:rFonts w:ascii="Arial" w:cs="Arial" w:eastAsia="Arial" w:hAnsi="Arial"/>
          <w:sz w:val="18"/>
          <w:szCs w:val="18"/>
          <w:b w:val="1"/>
          <w:bCs w:val="1"/>
          <w:color w:val="00B2A9"/>
        </w:rPr>
      </w:pPr>
      <w:r>
        <w:rPr>
          <w:rFonts w:ascii="Arial" w:cs="Arial" w:eastAsia="Arial" w:hAnsi="Arial"/>
          <w:sz w:val="18"/>
          <w:szCs w:val="18"/>
          <w:b w:val="1"/>
          <w:bCs w:val="1"/>
          <w:color w:val="00B2A9"/>
        </w:rPr>
        <w:t>Stock Plans</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General and administrative expenses and Restructuring expenses for the three months ended June 30, 2021 and 2020. Stock-based compensation is attributable to stock options, restricted stock units, performance based awards and the employee stock purchase plan.</w:t>
      </w:r>
    </w:p>
    <w:p>
      <w:pPr>
        <w:spacing w:after="0" w:line="270" w:lineRule="exact"/>
        <w:rPr>
          <w:sz w:val="20"/>
          <w:szCs w:val="20"/>
          <w:color w:val="auto"/>
        </w:rPr>
      </w:pPr>
    </w:p>
    <w:tbl>
      <w:tblPr>
        <w:tblLayout w:type="fixed"/>
        <w:tblInd w:w="1820" w:type="dxa"/>
        <w:tblCellMar>
          <w:top w:w="0" w:type="dxa"/>
          <w:left w:w="0" w:type="dxa"/>
          <w:bottom w:w="0" w:type="dxa"/>
          <w:right w:w="0" w:type="dxa"/>
        </w:tblCellMar>
      </w:tblPr>
      <w:tr>
        <w:trPr>
          <w:trHeight w:val="223"/>
        </w:trPr>
        <w:tc>
          <w:tcPr>
            <w:tcW w:w="4140" w:type="dxa"/>
            <w:vAlign w:val="bottom"/>
          </w:tcPr>
          <w:p>
            <w:pPr>
              <w:spacing w:after="0"/>
              <w:rPr>
                <w:sz w:val="19"/>
                <w:szCs w:val="19"/>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Borders>
              <w:bottom w:val="single" w:sz="8" w:color="auto"/>
            </w:tcBorders>
          </w:tcPr>
          <w:p>
            <w:pPr>
              <w:spacing w:after="0"/>
              <w:rPr>
                <w:sz w:val="19"/>
                <w:szCs w:val="19"/>
                <w:color w:val="auto"/>
              </w:rPr>
            </w:pPr>
          </w:p>
        </w:tc>
      </w:tr>
      <w:tr>
        <w:trPr>
          <w:trHeight w:val="218"/>
        </w:trPr>
        <w:tc>
          <w:tcPr>
            <w:tcW w:w="4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9"/>
                <w:szCs w:val="19"/>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 revenue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666</w:t>
            </w: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7,308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7,204</w:t>
            </w:r>
          </w:p>
        </w:tc>
      </w:tr>
      <w:tr>
        <w:trPr>
          <w:trHeight w:val="214"/>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7,185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5,941</w:t>
            </w: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6,011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5,083</w:t>
            </w:r>
          </w:p>
        </w:tc>
      </w:tr>
      <w:tr>
        <w:trPr>
          <w:trHeight w:val="215"/>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1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21,811</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18,951</w:t>
            </w:r>
          </w:p>
        </w:tc>
      </w:tr>
      <w:tr>
        <w:trPr>
          <w:trHeight w:val="22"/>
        </w:trPr>
        <w:tc>
          <w:tcPr>
            <w:tcW w:w="4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As of June 30, 2021, there was $137,596 of unrecognized stock-based compensation expense related to restricted stock unit awards that is expected to be recognized over a weighted-average period of 1.83 years. We account for forfeitures as they occur. To the extent that awards are forfeited, stock-based compensation will be different from our current estimate.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Options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three months ended June 30, 2021 is as follows:</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640"/>
              <w:spacing w:after="0"/>
              <w:rPr>
                <w:sz w:val="20"/>
                <w:szCs w:val="20"/>
                <w:color w:val="auto"/>
              </w:rPr>
            </w:pPr>
            <w:r>
              <w:rPr>
                <w:rFonts w:ascii="Arial" w:cs="Arial" w:eastAsia="Arial" w:hAnsi="Arial"/>
                <w:sz w:val="16"/>
                <w:szCs w:val="16"/>
                <w:b w:val="1"/>
                <w:bCs w:val="1"/>
                <w:color w:val="auto"/>
              </w:rPr>
              <w:t>Weighted-</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Number of</w:t>
            </w:r>
          </w:p>
        </w:tc>
        <w:tc>
          <w:tcPr>
            <w:tcW w:w="1980" w:type="dxa"/>
            <w:vAlign w:val="bottom"/>
            <w:gridSpan w:val="3"/>
            <w:vMerge w:val="restart"/>
          </w:tcPr>
          <w:p>
            <w:pPr>
              <w:ind w:left="48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9"/>
              </w:rPr>
              <w:t>Average Remaining</w:t>
            </w:r>
          </w:p>
        </w:tc>
        <w:tc>
          <w:tcPr>
            <w:tcW w:w="600" w:type="dxa"/>
            <w:vAlign w:val="bottom"/>
          </w:tcPr>
          <w:p>
            <w:pPr>
              <w:spacing w:after="0"/>
              <w:rPr>
                <w:sz w:val="13"/>
                <w:szCs w:val="13"/>
                <w:color w:val="auto"/>
              </w:rPr>
            </w:pP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59"/>
        </w:trPr>
        <w:tc>
          <w:tcPr>
            <w:tcW w:w="334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Options</w:t>
            </w:r>
          </w:p>
        </w:tc>
        <w:tc>
          <w:tcPr>
            <w:tcW w:w="1440" w:type="dxa"/>
            <w:vAlign w:val="bottom"/>
            <w:gridSpan w:val="2"/>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172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Contractual Term</w:t>
            </w:r>
          </w:p>
        </w:tc>
        <w:tc>
          <w:tcPr>
            <w:tcW w:w="6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40" w:type="dxa"/>
            <w:vAlign w:val="bottom"/>
            <w:gridSpan w:val="3"/>
            <w:vMerge w:val="continue"/>
          </w:tcPr>
          <w:p>
            <w:pPr>
              <w:spacing w:after="0"/>
              <w:rPr>
                <w:sz w:val="14"/>
                <w:szCs w:val="14"/>
                <w:color w:val="auto"/>
              </w:rPr>
            </w:pPr>
          </w:p>
        </w:tc>
        <w:tc>
          <w:tcPr>
            <w:tcW w:w="1440" w:type="dxa"/>
            <w:vAlign w:val="bottom"/>
            <w:gridSpan w:val="2"/>
          </w:tcPr>
          <w:p>
            <w:pPr>
              <w:ind w:left="360"/>
              <w:spacing w:after="0" w:line="172" w:lineRule="exact"/>
              <w:rPr>
                <w:sz w:val="20"/>
                <w:szCs w:val="20"/>
                <w:color w:val="auto"/>
              </w:rPr>
            </w:pPr>
            <w:r>
              <w:rPr>
                <w:rFonts w:ascii="Arial" w:cs="Arial" w:eastAsia="Arial" w:hAnsi="Arial"/>
                <w:sz w:val="16"/>
                <w:szCs w:val="16"/>
                <w:b w:val="1"/>
                <w:bCs w:val="1"/>
                <w:color w:val="auto"/>
              </w:rPr>
              <w:t>Options</w:t>
            </w:r>
          </w:p>
        </w:tc>
        <w:tc>
          <w:tcPr>
            <w:tcW w:w="1980" w:type="dxa"/>
            <w:vAlign w:val="bottom"/>
            <w:gridSpan w:val="3"/>
          </w:tcPr>
          <w:p>
            <w:pPr>
              <w:ind w:left="400"/>
              <w:spacing w:after="0" w:line="172" w:lineRule="exact"/>
              <w:rPr>
                <w:sz w:val="20"/>
                <w:szCs w:val="20"/>
                <w:color w:val="auto"/>
              </w:rPr>
            </w:pPr>
            <w:r>
              <w:rPr>
                <w:rFonts w:ascii="Arial" w:cs="Arial" w:eastAsia="Arial" w:hAnsi="Arial"/>
                <w:sz w:val="16"/>
                <w:szCs w:val="16"/>
                <w:b w:val="1"/>
                <w:bCs w:val="1"/>
                <w:color w:val="auto"/>
              </w:rPr>
              <w:t>Exercise Price</w:t>
            </w:r>
          </w:p>
        </w:tc>
        <w:tc>
          <w:tcPr>
            <w:tcW w:w="1720" w:type="dxa"/>
            <w:vAlign w:val="bottom"/>
            <w:gridSpan w:val="2"/>
          </w:tcPr>
          <w:p>
            <w:pPr>
              <w:jc w:val="center"/>
              <w:ind w:right="100"/>
              <w:spacing w:after="0" w:line="172" w:lineRule="exact"/>
              <w:rPr>
                <w:sz w:val="20"/>
                <w:szCs w:val="20"/>
                <w:color w:val="auto"/>
              </w:rPr>
            </w:pPr>
            <w:r>
              <w:rPr>
                <w:rFonts w:ascii="Arial" w:cs="Arial" w:eastAsia="Arial" w:hAnsi="Arial"/>
                <w:sz w:val="16"/>
                <w:szCs w:val="16"/>
                <w:b w:val="1"/>
                <w:bCs w:val="1"/>
                <w:color w:val="auto"/>
                <w:w w:val="99"/>
              </w:rPr>
              <w:t>(Years)</w:t>
            </w:r>
          </w:p>
        </w:tc>
        <w:tc>
          <w:tcPr>
            <w:tcW w:w="1720" w:type="dxa"/>
            <w:vAlign w:val="bottom"/>
            <w:gridSpan w:val="2"/>
          </w:tcPr>
          <w:p>
            <w:pPr>
              <w:jc w:val="right"/>
              <w:ind w:right="241"/>
              <w:spacing w:after="0" w:line="172" w:lineRule="exact"/>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4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Outstanding as of March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62.06</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6"/>
                <w:szCs w:val="16"/>
                <w:color w:val="auto"/>
              </w:rPr>
              <w:t>Options granted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45.87</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6"/>
                <w:szCs w:val="16"/>
                <w:color w:val="auto"/>
              </w:rPr>
              <w:t>Options forfeited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Options expired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81.21</w:t>
            </w:r>
          </w:p>
        </w:tc>
        <w:tc>
          <w:tcPr>
            <w:tcW w:w="8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40" w:type="dxa"/>
            <w:vAlign w:val="bottom"/>
            <w:gridSpan w:val="3"/>
          </w:tcPr>
          <w:p>
            <w:pPr>
              <w:ind w:left="460"/>
              <w:spacing w:after="0"/>
              <w:rPr>
                <w:sz w:val="20"/>
                <w:szCs w:val="20"/>
                <w:color w:val="auto"/>
              </w:rPr>
            </w:pPr>
            <w:r>
              <w:rPr>
                <w:rFonts w:ascii="Arial" w:cs="Arial" w:eastAsia="Arial" w:hAnsi="Arial"/>
                <w:sz w:val="16"/>
                <w:szCs w:val="16"/>
                <w:color w:val="auto"/>
              </w:rPr>
              <w:t>Outstanding as of June 30,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67.38</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14,645</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Exercisable as of June 30,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67.38</w:t>
            </w: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14,645</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The total intrinsic value of options exercised was $10,835 for the three months ended June 30, 2021 and $115 for the three months ended June 30,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three months ended June 30, 2021 is as follows:</w:t>
      </w:r>
    </w:p>
    <w:p>
      <w:pPr>
        <w:spacing w:after="0" w:line="259"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Number of</w:t>
            </w:r>
          </w:p>
        </w:tc>
        <w:tc>
          <w:tcPr>
            <w:tcW w:w="200" w:type="dxa"/>
            <w:vAlign w:val="bottom"/>
          </w:tcPr>
          <w:p>
            <w:pPr>
              <w:spacing w:after="0"/>
              <w:rPr>
                <w:sz w:val="15"/>
                <w:szCs w:val="15"/>
                <w:color w:val="auto"/>
              </w:rPr>
            </w:pPr>
          </w:p>
        </w:tc>
        <w:tc>
          <w:tcPr>
            <w:tcW w:w="14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Weighted-</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121"/>
              <w:spacing w:after="0" w:line="159" w:lineRule="exact"/>
              <w:rPr>
                <w:sz w:val="20"/>
                <w:szCs w:val="20"/>
                <w:color w:val="auto"/>
              </w:rPr>
            </w:pPr>
            <w:r>
              <w:rPr>
                <w:rFonts w:ascii="Arial" w:cs="Arial" w:eastAsia="Arial" w:hAnsi="Arial"/>
                <w:sz w:val="16"/>
                <w:szCs w:val="16"/>
                <w:b w:val="1"/>
                <w:bCs w:val="1"/>
                <w:color w:val="auto"/>
                <w:w w:val="97"/>
              </w:rPr>
              <w:t>Average Grant</w:t>
            </w:r>
          </w:p>
        </w:tc>
        <w:tc>
          <w:tcPr>
            <w:tcW w:w="0" w:type="dxa"/>
            <w:vAlign w:val="bottom"/>
          </w:tcPr>
          <w:p>
            <w:pPr>
              <w:spacing w:after="0"/>
              <w:rPr>
                <w:sz w:val="1"/>
                <w:szCs w:val="1"/>
                <w:color w:val="auto"/>
              </w:rPr>
            </w:pPr>
          </w:p>
        </w:tc>
      </w:tr>
      <w:tr>
        <w:trPr>
          <w:trHeight w:val="186"/>
        </w:trPr>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Non-vested Restricted Stock Units</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6"/>
                <w:szCs w:val="16"/>
                <w:color w:val="auto"/>
              </w:rPr>
            </w:pPr>
          </w:p>
        </w:tc>
        <w:tc>
          <w:tcPr>
            <w:tcW w:w="148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Date Fair Value</w:t>
            </w:r>
          </w:p>
        </w:tc>
        <w:tc>
          <w:tcPr>
            <w:tcW w:w="0" w:type="dxa"/>
            <w:vAlign w:val="bottom"/>
          </w:tcPr>
          <w:p>
            <w:pPr>
              <w:spacing w:after="0"/>
              <w:rPr>
                <w:sz w:val="1"/>
                <w:szCs w:val="1"/>
                <w:color w:val="auto"/>
              </w:rPr>
            </w:pPr>
          </w:p>
        </w:tc>
      </w:tr>
      <w:tr>
        <w:trPr>
          <w:trHeight w:val="20"/>
        </w:trPr>
        <w:tc>
          <w:tcPr>
            <w:tcW w:w="26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Non-vested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44.90</w:t>
            </w:r>
          </w:p>
        </w:tc>
        <w:tc>
          <w:tcPr>
            <w:tcW w:w="0" w:type="dxa"/>
            <w:vAlign w:val="bottom"/>
          </w:tcPr>
          <w:p>
            <w:pPr>
              <w:spacing w:after="0"/>
              <w:rPr>
                <w:sz w:val="1"/>
                <w:szCs w:val="1"/>
                <w:color w:val="auto"/>
              </w:rPr>
            </w:pPr>
          </w:p>
        </w:tc>
      </w:tr>
      <w:tr>
        <w:trPr>
          <w:trHeight w:val="209"/>
        </w:trPr>
        <w:tc>
          <w:tcPr>
            <w:tcW w:w="5680" w:type="dxa"/>
            <w:vAlign w:val="bottom"/>
            <w:gridSpan w:val="2"/>
          </w:tcPr>
          <w:p>
            <w:pPr>
              <w:ind w:left="320"/>
              <w:spacing w:after="0"/>
              <w:rPr>
                <w:sz w:val="20"/>
                <w:szCs w:val="20"/>
                <w:color w:val="auto"/>
              </w:rPr>
            </w:pPr>
            <w:r>
              <w:rPr>
                <w:rFonts w:ascii="Arial" w:cs="Arial" w:eastAsia="Arial" w:hAnsi="Arial"/>
                <w:sz w:val="16"/>
                <w:szCs w:val="16"/>
                <w:color w:val="auto"/>
              </w:rPr>
              <w:t>Awarded</w:t>
            </w:r>
          </w:p>
        </w:tc>
        <w:tc>
          <w:tcPr>
            <w:tcW w:w="1240" w:type="dxa"/>
            <w:vAlign w:val="bottom"/>
          </w:tcPr>
          <w:p>
            <w:pPr>
              <w:jc w:val="right"/>
              <w:spacing w:after="0"/>
              <w:rPr>
                <w:sz w:val="20"/>
                <w:szCs w:val="20"/>
                <w:color w:val="auto"/>
              </w:rPr>
            </w:pPr>
            <w:r>
              <w:rPr>
                <w:rFonts w:ascii="Arial" w:cs="Arial" w:eastAsia="Arial" w:hAnsi="Arial"/>
                <w:sz w:val="16"/>
                <w:szCs w:val="16"/>
                <w:color w:val="auto"/>
              </w:rPr>
              <w:t>585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73.66</w:t>
            </w:r>
          </w:p>
        </w:tc>
        <w:tc>
          <w:tcPr>
            <w:tcW w:w="0" w:type="dxa"/>
            <w:vAlign w:val="bottom"/>
          </w:tcPr>
          <w:p>
            <w:pPr>
              <w:spacing w:after="0"/>
              <w:rPr>
                <w:sz w:val="1"/>
                <w:szCs w:val="1"/>
                <w:color w:val="auto"/>
              </w:rPr>
            </w:pPr>
          </w:p>
        </w:tc>
      </w:tr>
      <w:tr>
        <w:trPr>
          <w:trHeight w:val="215"/>
        </w:trPr>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47.77</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Non-vested as of June 30,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weighted-average fair value of restricted stock units awarded was $73.66 per unit during the three months ended June 30, 2021, $36.62 per unit during the three months ended June 30, 2020. The weighted-average fair value of awards includes the awards with a market condition described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In the three months ended June 30, 2021, we granted 117 performance restricted stock units ("PSUs") to certain executives. Vesting of these awards is contingent upon i) us meeting certain revenue and non-GAAP performance goals (performance-based) in fiscal 2022 and ii) our customary service periods. The awards vest over three years. These awards generally have potential to vest at 200% based on actual fiscal 2022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In the three months ended June 30, 2021, we granted 105 market performance stock units to certain executives. The vesting of these awards is contingent upon us meeting certain total shareholder return ("TSR") levels as compared to the Russell 3000 market index over the next three years. The awards vest in three annual tranches and have a maximum potential to vest at 200% (210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three months ended June 30, 2021 was $87.74 per unit. The awards are included in the restricted stock unit table.</w:t>
      </w:r>
    </w:p>
    <w:p>
      <w:pPr>
        <w:spacing w:after="0" w:line="200" w:lineRule="exact"/>
        <w:rPr>
          <w:sz w:val="20"/>
          <w:szCs w:val="20"/>
          <w:color w:val="auto"/>
        </w:rPr>
      </w:pPr>
    </w:p>
    <w:p>
      <w:pPr>
        <w:spacing w:after="0" w:line="333" w:lineRule="exact"/>
        <w:rPr>
          <w:sz w:val="20"/>
          <w:szCs w:val="20"/>
          <w:color w:val="auto"/>
        </w:rPr>
      </w:pPr>
    </w:p>
    <w:p>
      <w:pPr>
        <w:ind w:left="340" w:hanging="334"/>
        <w:spacing w:after="0"/>
        <w:tabs>
          <w:tab w:leader="none" w:pos="340" w:val="left"/>
        </w:tabs>
        <w:numPr>
          <w:ilvl w:val="0"/>
          <w:numId w:val="9"/>
        </w:numPr>
        <w:rPr>
          <w:rFonts w:ascii="Arial" w:cs="Arial" w:eastAsia="Arial" w:hAnsi="Arial"/>
          <w:sz w:val="18"/>
          <w:szCs w:val="18"/>
          <w:b w:val="1"/>
          <w:bCs w:val="1"/>
          <w:color w:val="00B2A9"/>
        </w:rPr>
      </w:pPr>
      <w:r>
        <w:rPr>
          <w:rFonts w:ascii="Arial" w:cs="Arial" w:eastAsia="Arial" w:hAnsi="Arial"/>
          <w:sz w:val="18"/>
          <w:szCs w:val="18"/>
          <w:b w:val="1"/>
          <w:bCs w:val="1"/>
          <w:color w:val="00B2A9"/>
        </w:rPr>
        <w:t>Income Taxes</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Income tax expense was $1,731 in the three months ended June 30, 2021 compared to expense of $4,743 in the three months ended June 30, 2020. Current quarter income tax expense relates primarily to current foreign taxes. In fiscal 2018, we determined that it was more likely than not that we will not realize the benefits of our gross deferred tax assets and therefore recorded a valuation allowance to reduce the carrying value of these gross deferred tax assets, net of the impact of the reversal of taxable temporary differences, to zero. Our position remains unchanged with respect to the realizability of our deferred tax assets as of June 30, 2021.</w:t>
      </w:r>
    </w:p>
    <w:p>
      <w:pPr>
        <w:spacing w:after="0" w:line="370" w:lineRule="exact"/>
        <w:rPr>
          <w:sz w:val="20"/>
          <w:szCs w:val="20"/>
          <w:color w:val="auto"/>
        </w:rPr>
      </w:pPr>
    </w:p>
    <w:p>
      <w:pPr>
        <w:ind w:left="340" w:hanging="334"/>
        <w:spacing w:after="0"/>
        <w:tabs>
          <w:tab w:leader="none" w:pos="340" w:val="left"/>
        </w:tabs>
        <w:numPr>
          <w:ilvl w:val="0"/>
          <w:numId w:val="10"/>
        </w:numPr>
        <w:rPr>
          <w:rFonts w:ascii="Arial" w:cs="Arial" w:eastAsia="Arial" w:hAnsi="Arial"/>
          <w:sz w:val="18"/>
          <w:szCs w:val="18"/>
          <w:b w:val="1"/>
          <w:bCs w:val="1"/>
          <w:color w:val="00B2A9"/>
        </w:rPr>
      </w:pPr>
      <w:r>
        <w:rPr>
          <w:rFonts w:ascii="Arial" w:cs="Arial" w:eastAsia="Arial" w:hAnsi="Arial"/>
          <w:sz w:val="18"/>
          <w:szCs w:val="18"/>
          <w:b w:val="1"/>
          <w:bCs w:val="1"/>
          <w:color w:val="00B2A9"/>
        </w:rPr>
        <w:t>Restructuring</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restructuring plan, initiated in the first quarter of fiscal 2019, is aimed to increase efficiency in our sales, marketing and distribution functions as well as reduce costs across all functional areas. These restructuring charges relate primarily to severance and related costs associated with headcount reductions, stock-based compensation related to modifications of existing unvested awards granted to certain employees impacted by the restructuring plan and lease abandonment charges.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June 30, 2021 and 2020, restructuring charges were comprised of the following:</w:t>
      </w:r>
    </w:p>
    <w:p>
      <w:pPr>
        <w:spacing w:after="0" w:line="266" w:lineRule="exact"/>
        <w:rPr>
          <w:sz w:val="20"/>
          <w:szCs w:val="20"/>
          <w:color w:val="auto"/>
        </w:rPr>
      </w:pPr>
    </w:p>
    <w:tbl>
      <w:tblPr>
        <w:tblLayout w:type="fixed"/>
        <w:tblInd w:w="2040" w:type="dxa"/>
        <w:tblCellMar>
          <w:top w:w="0" w:type="dxa"/>
          <w:left w:w="0" w:type="dxa"/>
          <w:bottom w:w="0" w:type="dxa"/>
          <w:right w:w="0" w:type="dxa"/>
        </w:tblCellMar>
      </w:tblPr>
      <w:tr>
        <w:trPr>
          <w:trHeight w:val="214"/>
        </w:trPr>
        <w:tc>
          <w:tcPr>
            <w:tcW w:w="380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r>
      <w:tr>
        <w:trPr>
          <w:trHeight w:val="208"/>
        </w:trPr>
        <w:tc>
          <w:tcPr>
            <w:tcW w:w="38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Employee severance and related costs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r>
      <w:tr>
        <w:trPr>
          <w:trHeight w:val="212"/>
        </w:trPr>
        <w:tc>
          <w:tcPr>
            <w:tcW w:w="3800" w:type="dxa"/>
            <w:vAlign w:val="bottom"/>
          </w:tcPr>
          <w:p>
            <w:pPr>
              <w:spacing w:after="0" w:line="212" w:lineRule="exact"/>
              <w:rPr>
                <w:sz w:val="20"/>
                <w:szCs w:val="20"/>
                <w:color w:val="auto"/>
              </w:rPr>
            </w:pPr>
            <w:r>
              <w:rPr>
                <w:rFonts w:ascii="Arial" w:cs="Arial" w:eastAsia="Arial" w:hAnsi="Arial"/>
                <w:sz w:val="16"/>
                <w:szCs w:val="16"/>
                <w:color w:val="auto"/>
              </w:rPr>
              <w:t xml:space="preserve">Lease impairments and related costs </w:t>
            </w:r>
            <w:r>
              <w:rPr>
                <w:rFonts w:ascii="Arial" w:cs="Arial" w:eastAsia="Arial" w:hAnsi="Arial"/>
                <w:sz w:val="20"/>
                <w:szCs w:val="20"/>
                <w:color w:val="auto"/>
                <w:vertAlign w:val="superscript"/>
              </w:rPr>
              <w:t>(1)</w:t>
            </w:r>
          </w:p>
        </w:tc>
        <w:tc>
          <w:tcPr>
            <w:tcW w:w="10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8"/>
        </w:trPr>
        <w:tc>
          <w:tcPr>
            <w:tcW w:w="3800" w:type="dxa"/>
            <w:vAlign w:val="bottom"/>
          </w:tcPr>
          <w:p>
            <w:pPr>
              <w:spacing w:after="0"/>
              <w:rPr>
                <w:sz w:val="20"/>
                <w:szCs w:val="20"/>
                <w:color w:val="auto"/>
              </w:rPr>
            </w:pPr>
            <w:r>
              <w:rPr>
                <w:rFonts w:ascii="Arial" w:cs="Arial" w:eastAsia="Arial" w:hAnsi="Arial"/>
                <w:sz w:val="16"/>
                <w:szCs w:val="16"/>
                <w:color w:val="auto"/>
              </w:rPr>
              <w:t>Total restructuring charges</w:t>
            </w: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w:t>
            </w:r>
          </w:p>
        </w:tc>
      </w:tr>
      <w:tr>
        <w:trPr>
          <w:trHeight w:val="20"/>
        </w:trPr>
        <w:tc>
          <w:tcPr>
            <w:tcW w:w="3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640" w:firstLine="2"/>
        <w:spacing w:after="0" w:line="269" w:lineRule="auto"/>
        <w:tabs>
          <w:tab w:leader="none" w:pos="812"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Lease impairment charges for the three months ended June 30, 2020 relate to two offices. There were no lease impairment charges for the three months ended June 30, 2021.</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accruals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activity in our restructuring accruals for the three months ended June 30, 2021 is as follows:</w:t>
      </w:r>
    </w:p>
    <w:p>
      <w:pPr>
        <w:spacing w:after="0" w:line="107" w:lineRule="exact"/>
        <w:rPr>
          <w:sz w:val="20"/>
          <w:szCs w:val="20"/>
          <w:color w:val="auto"/>
        </w:rPr>
      </w:pPr>
    </w:p>
    <w:tbl>
      <w:tblPr>
        <w:tblLayout w:type="fixed"/>
        <w:tblInd w:w="2380" w:type="dxa"/>
        <w:tblCellMar>
          <w:top w:w="0" w:type="dxa"/>
          <w:left w:w="0" w:type="dxa"/>
          <w:bottom w:w="0" w:type="dxa"/>
          <w:right w:w="0" w:type="dxa"/>
        </w:tblCellMar>
      </w:tblPr>
      <w:tr>
        <w:trPr>
          <w:trHeight w:val="214"/>
        </w:trPr>
        <w:tc>
          <w:tcPr>
            <w:tcW w:w="50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Total</w:t>
            </w:r>
          </w:p>
        </w:tc>
      </w:tr>
      <w:tr>
        <w:trPr>
          <w:trHeight w:val="208"/>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2021</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9"/>
              </w:rPr>
              <w:t>3,095</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Employee severance and related costs</w:t>
            </w:r>
          </w:p>
        </w:tc>
        <w:tc>
          <w:tcPr>
            <w:tcW w:w="320" w:type="dxa"/>
            <w:vAlign w:val="bottom"/>
          </w:tcPr>
          <w:p>
            <w:pPr>
              <w:spacing w:after="0"/>
              <w:rPr>
                <w:sz w:val="18"/>
                <w:szCs w:val="18"/>
                <w:color w:val="auto"/>
              </w:rPr>
            </w:pPr>
          </w:p>
        </w:tc>
        <w:tc>
          <w:tcPr>
            <w:tcW w:w="1100" w:type="dxa"/>
            <w:vAlign w:val="bottom"/>
          </w:tcPr>
          <w:p>
            <w:pPr>
              <w:jc w:val="center"/>
              <w:ind w:left="461"/>
              <w:spacing w:after="0"/>
              <w:rPr>
                <w:sz w:val="20"/>
                <w:szCs w:val="20"/>
                <w:color w:val="auto"/>
              </w:rPr>
            </w:pPr>
            <w:r>
              <w:rPr>
                <w:rFonts w:ascii="Arial" w:cs="Arial" w:eastAsia="Arial" w:hAnsi="Arial"/>
                <w:sz w:val="16"/>
                <w:szCs w:val="16"/>
                <w:color w:val="auto"/>
                <w:w w:val="99"/>
              </w:rPr>
              <w:t>1,324</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41"/>
              <w:spacing w:after="0"/>
              <w:rPr>
                <w:sz w:val="20"/>
                <w:szCs w:val="20"/>
                <w:color w:val="auto"/>
              </w:rPr>
            </w:pPr>
            <w:r>
              <w:rPr>
                <w:rFonts w:ascii="Arial" w:cs="Arial" w:eastAsia="Arial" w:hAnsi="Arial"/>
                <w:sz w:val="16"/>
                <w:szCs w:val="16"/>
                <w:color w:val="auto"/>
                <w:w w:val="98"/>
              </w:rPr>
              <w:t>(2,602)</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June 30, 2021</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w w:val="99"/>
              </w:rPr>
              <w:t>1,817</w:t>
            </w:r>
          </w:p>
        </w:tc>
      </w:tr>
      <w:tr>
        <w:trPr>
          <w:trHeight w:val="22"/>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B2A9"/>
        </w:rPr>
        <w:t>Item 2 - Management’s Discussion and Analysis of Financial Condition and Results of Operations</w:t>
      </w:r>
    </w:p>
    <w:p>
      <w:pPr>
        <w:spacing w:after="0" w:line="115"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2021. Our actual results may differ materially from those contained in or implied by any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358"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Commvault Systems, Inc. is a global data protection and information management software company offering customers enterprise level, intelligent data management solutions built from the ground up on a single platform and unified code base. Commvault was incorporated in Delaware in 1996.</w:t>
      </w:r>
    </w:p>
    <w:p>
      <w:pPr>
        <w:spacing w:after="0" w:line="233"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At Commvault, we believe in solving hard problems for our customers. To do this, we provide capabilities which enable our customers to accelerate their digital transformation in today's ever evolving workforce using tools that are light touch and utilize artificial intelligence and machine learning to drive automation. Our product portfolio empowers our customers to reduce complexity, reign in data fragmentation, and accelerate their cloud journey. All software functionality shares the same back-end technologies to deliver the benefits of a holistic approach to protecting, managing, and accessing data. Our software addresses many aspects of storage and data management in the enterprise, while providing scalability and control of data and information. We believe our technology provides the broadest set of capabilities in the industry, which allows customers to reduce storage costs and administrative overhead. We also provide our customers with a broad range of professional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0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45% and 44% of our total revenues for the three months ended June 30, 2021 and 2020, respectively.</w:t>
      </w:r>
    </w:p>
    <w:p>
      <w:pPr>
        <w:spacing w:after="0" w:line="15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Our total software and products revenue in any particular period is, to a certain extent, dependent upon our ability to generate revenues from large customer software and products deals. Larger deals (transactions greater than $0.1 million) represented 69% and 73% of our total software and products revenue in the three months ended June 30, 2021 and 2020, respectively.</w:t>
      </w:r>
    </w:p>
    <w:p>
      <w:pPr>
        <w:spacing w:after="0" w:line="153"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Software and products revenue generated through indirect distribution channels accounted for approximately 90% of total software and products revenue in both the three months ended June 30, 2021 and 2020. Software and products revenue generated through direct distribution channels accounted for approximately 10% of total software and products revenue in both the three months ended June 30, 2021 and 2020.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plan to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5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37% of our total revenues through Arrow in both the three months ended June 30, 2021 and 2020. If Arrow were to discontinue or reduce the sales of our products, or if our agreement with</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18"/>
          <w:szCs w:val="18"/>
          <w:color w:val="auto"/>
        </w:rPr>
        <w:t>Arrow were terminated, and if we were unable to take back the management of our reseller channel or find another North American distributor to replace Arrow, then such events would have a material adverse effect on our future business.</w:t>
      </w:r>
    </w:p>
    <w:p>
      <w:pPr>
        <w:spacing w:after="0" w:line="150"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Our services revenue was 55% of our total revenues for the three months ended June 30, 2021 and 56% of our total revenues for the three months ended June 30, 2020.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newly launched software-as-a-service solution, branded Metallic, is also included in services revenue. Revenue from Metallic is recognized ratably over the contract period.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Sales outside the United States were 45% of our total revenue for the three months ended June 30, 2021 and 42% of our total revenue for the three months ended June 30, 2020.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58"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Using the average foreign currency exchange rates from the three months ended June 30, 2020, our software and products revenue would have been lower by $3.1 million, our services revenue would have been lower by $4.5 million, our cost of sales would have been lower by $0.9 million and our operating expenses would have been lower by $3.5 million from non-U.S. operations for the three months ended June 30, 2021.</w:t>
      </w:r>
    </w:p>
    <w:p>
      <w:pPr>
        <w:spacing w:after="0" w:line="155"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approximately $0.1 million and $0.8 million for the three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86"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7"/>
          <w:szCs w:val="17"/>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44"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55" w:lineRule="exact"/>
        <w:rPr>
          <w:sz w:val="20"/>
          <w:szCs w:val="20"/>
          <w:color w:val="auto"/>
        </w:rPr>
      </w:pPr>
    </w:p>
    <w:p>
      <w:pPr>
        <w:ind w:left="1900" w:hanging="225"/>
        <w:spacing w:after="0"/>
        <w:tabs>
          <w:tab w:leader="none" w:pos="1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64" w:lineRule="exact"/>
        <w:rPr>
          <w:rFonts w:ascii="Arial" w:cs="Arial" w:eastAsia="Arial" w:hAnsi="Arial"/>
          <w:sz w:val="18"/>
          <w:szCs w:val="18"/>
          <w:color w:val="auto"/>
        </w:rPr>
      </w:pPr>
    </w:p>
    <w:p>
      <w:pPr>
        <w:ind w:left="1900" w:hanging="225"/>
        <w:spacing w:after="0"/>
        <w:tabs>
          <w:tab w:leader="none" w:pos="1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64" w:lineRule="exact"/>
        <w:rPr>
          <w:rFonts w:ascii="Arial" w:cs="Arial" w:eastAsia="Arial" w:hAnsi="Arial"/>
          <w:sz w:val="18"/>
          <w:szCs w:val="18"/>
          <w:color w:val="auto"/>
        </w:rPr>
      </w:pPr>
    </w:p>
    <w:p>
      <w:pPr>
        <w:ind w:left="1900" w:hanging="225"/>
        <w:spacing w:after="0"/>
        <w:tabs>
          <w:tab w:leader="none" w:pos="1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w:t>
      </w:r>
    </w:p>
    <w:p>
      <w:pPr>
        <w:spacing w:after="0" w:line="16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There have been no significant changes in our critical accounting policies during the three months ended June 30, 2021 as compared to the critical accounting policies and estimates disclosed in “Management’s Discussion and Analysis of Financial Condition and Results of Operations - Critical Accounting Policies” included in our Annual Report on Form 10-K for the year ended March 31,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B2A9"/>
        </w:rPr>
        <w:t>Results of Operations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65405</wp:posOffset>
            </wp:positionV>
            <wp:extent cx="5553075" cy="1472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3075" cy="147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revenues increased $10.4 million, or 6%.</w:t>
      </w:r>
    </w:p>
    <w:p>
      <w:pPr>
        <w:spacing w:after="0" w:line="85" w:lineRule="exact"/>
        <w:rPr>
          <w:sz w:val="20"/>
          <w:szCs w:val="20"/>
          <w:color w:val="auto"/>
        </w:rPr>
      </w:pPr>
    </w:p>
    <w:p>
      <w:pPr>
        <w:ind w:left="1280" w:hanging="121"/>
        <w:spacing w:after="0" w:line="251" w:lineRule="auto"/>
        <w:tabs>
          <w:tab w:leader="none" w:pos="1275"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45% of our total revenue in the three months ended June 30, 2021 and 44% of our total revenue in the three months ended June 30, 2020.</w:t>
      </w:r>
    </w:p>
    <w:p>
      <w:pPr>
        <w:spacing w:after="0" w:line="83" w:lineRule="exact"/>
        <w:rPr>
          <w:rFonts w:ascii="Arial" w:cs="Arial" w:eastAsia="Arial" w:hAnsi="Arial"/>
          <w:sz w:val="18"/>
          <w:szCs w:val="18"/>
          <w:i w:val="1"/>
          <w:iCs w:val="1"/>
          <w:color w:val="auto"/>
        </w:rPr>
      </w:pPr>
    </w:p>
    <w:p>
      <w:pPr>
        <w:ind w:left="1280" w:hanging="121"/>
        <w:spacing w:after="0" w:line="251" w:lineRule="auto"/>
        <w:tabs>
          <w:tab w:leader="none" w:pos="1275"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69% of our software and products revenue in the three months ended June 30, 2021 and 73% of our software and products revenue in the three months ended June 30, 2020.</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–Software and products revenue increased $5.6 million, or 7%, as a result of the following:</w:t>
      </w:r>
    </w:p>
    <w:p>
      <w:pPr>
        <w:spacing w:after="0" w:line="85" w:lineRule="exact"/>
        <w:rPr>
          <w:sz w:val="20"/>
          <w:szCs w:val="20"/>
          <w:color w:val="auto"/>
        </w:rPr>
      </w:pPr>
    </w:p>
    <w:p>
      <w:pPr>
        <w:ind w:left="1280" w:hanging="121"/>
        <w:spacing w:after="0"/>
        <w:tabs>
          <w:tab w:leader="none" w:pos="1280" w:val="left"/>
        </w:tabs>
        <w:numPr>
          <w:ilvl w:val="2"/>
          <w:numId w:val="14"/>
        </w:numPr>
        <w:rPr>
          <w:rFonts w:ascii="Arial" w:cs="Arial" w:eastAsia="Arial" w:hAnsi="Arial"/>
          <w:sz w:val="18"/>
          <w:szCs w:val="18"/>
          <w:i w:val="1"/>
          <w:iCs w:val="1"/>
          <w:color w:val="auto"/>
        </w:rPr>
      </w:pPr>
      <w:r>
        <w:rPr>
          <w:rFonts w:ascii="Arial" w:cs="Arial" w:eastAsia="Arial" w:hAnsi="Arial"/>
          <w:sz w:val="18"/>
          <w:szCs w:val="18"/>
          <w:color w:val="auto"/>
        </w:rPr>
        <w:t>An increase of $4.7 million, or 23%, in transactions less than $0.1 million.</w:t>
      </w:r>
    </w:p>
    <w:p>
      <w:pPr>
        <w:spacing w:after="0" w:line="97" w:lineRule="exact"/>
        <w:rPr>
          <w:rFonts w:ascii="Arial" w:cs="Arial" w:eastAsia="Arial" w:hAnsi="Arial"/>
          <w:sz w:val="18"/>
          <w:szCs w:val="18"/>
          <w:i w:val="1"/>
          <w:iCs w:val="1"/>
          <w:color w:val="auto"/>
        </w:rPr>
      </w:pPr>
    </w:p>
    <w:p>
      <w:pPr>
        <w:ind w:left="1280" w:hanging="121"/>
        <w:spacing w:after="0"/>
        <w:tabs>
          <w:tab w:leader="none" w:pos="12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 increase of $0.9 million, or 2%, in larger deal revenue.</w:t>
      </w:r>
    </w:p>
    <w:p>
      <w:pPr>
        <w:spacing w:after="0" w:line="97" w:lineRule="exact"/>
        <w:rPr>
          <w:rFonts w:ascii="Arial" w:cs="Arial" w:eastAsia="Arial" w:hAnsi="Arial"/>
          <w:sz w:val="18"/>
          <w:szCs w:val="18"/>
          <w:color w:val="auto"/>
        </w:rPr>
      </w:pPr>
    </w:p>
    <w:p>
      <w:pPr>
        <w:ind w:left="1280" w:hanging="121"/>
        <w:spacing w:after="0" w:line="251" w:lineRule="auto"/>
        <w:tabs>
          <w:tab w:leader="none" w:pos="1275" w:val="left"/>
        </w:tabs>
        <w:numPr>
          <w:ilvl w:val="2"/>
          <w:numId w:val="14"/>
        </w:numPr>
        <w:rPr>
          <w:rFonts w:ascii="Arial" w:cs="Arial" w:eastAsia="Arial" w:hAnsi="Arial"/>
          <w:sz w:val="18"/>
          <w:szCs w:val="18"/>
          <w:i w:val="1"/>
          <w:iCs w:val="1"/>
          <w:color w:val="auto"/>
        </w:rPr>
      </w:pPr>
      <w:r>
        <w:rPr>
          <w:rFonts w:ascii="Arial" w:cs="Arial" w:eastAsia="Arial" w:hAnsi="Arial"/>
          <w:sz w:val="18"/>
          <w:szCs w:val="18"/>
          <w:color w:val="auto"/>
        </w:rPr>
        <w:t>An increase of 34% in the volume of larger deal revenue transactions to 185 deals for the three months ended June 30, 2021, up from 138 deals for the three months ended June 30, 2020.</w:t>
      </w:r>
    </w:p>
    <w:p>
      <w:pPr>
        <w:spacing w:after="0" w:line="70" w:lineRule="exact"/>
        <w:rPr>
          <w:rFonts w:ascii="Arial" w:cs="Arial" w:eastAsia="Arial" w:hAnsi="Arial"/>
          <w:sz w:val="18"/>
          <w:szCs w:val="18"/>
          <w:i w:val="1"/>
          <w:iCs w:val="1"/>
          <w:color w:val="auto"/>
        </w:rPr>
      </w:pPr>
    </w:p>
    <w:p>
      <w:pPr>
        <w:jc w:val="both"/>
        <w:ind w:left="1280" w:hanging="121"/>
        <w:spacing w:after="0" w:line="248" w:lineRule="auto"/>
        <w:tabs>
          <w:tab w:leader="none" w:pos="1275" w:val="left"/>
        </w:tabs>
        <w:numPr>
          <w:ilvl w:val="2"/>
          <w:numId w:val="14"/>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$305 thousand and $403 thousand for the three months ended June 30, 2021 and 2020, respectively, representing a 24% decrease. The prior year first quarter included a high seven figure transaction that significantly impacted the average dollar amount per transaction.</w:t>
      </w:r>
    </w:p>
    <w:p>
      <w:pPr>
        <w:spacing w:after="0" w:line="69" w:lineRule="exact"/>
        <w:rPr>
          <w:rFonts w:ascii="Arial" w:cs="Arial" w:eastAsia="Arial" w:hAnsi="Arial"/>
          <w:sz w:val="18"/>
          <w:szCs w:val="18"/>
          <w:i w:val="1"/>
          <w:iCs w:val="1"/>
          <w:color w:val="auto"/>
        </w:rPr>
      </w:pPr>
    </w:p>
    <w:p>
      <w:pPr>
        <w:ind w:left="640" w:right="20" w:hanging="159"/>
        <w:spacing w:after="0" w:line="272"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55% of our total revenue in the three months ended June 30, 2021 and 56% of our total revenue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Services revenue increased $4.8 million primarily due to the following:</w:t>
      </w:r>
    </w:p>
    <w:p>
      <w:pPr>
        <w:spacing w:after="0" w:line="65" w:lineRule="exact"/>
        <w:rPr>
          <w:rFonts w:ascii="Arial" w:cs="Arial" w:eastAsia="Arial" w:hAnsi="Arial"/>
          <w:sz w:val="18"/>
          <w:szCs w:val="18"/>
          <w:i w:val="1"/>
          <w:iCs w:val="1"/>
          <w:color w:val="auto"/>
        </w:rPr>
      </w:pPr>
    </w:p>
    <w:p>
      <w:pPr>
        <w:ind w:left="1280" w:hanging="161"/>
        <w:spacing w:after="0"/>
        <w:tabs>
          <w:tab w:leader="none" w:pos="12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 increase of $4.5 million of other services revenue, driven primarily by the year over year increase in revenue from Metallic.</w:t>
      </w:r>
    </w:p>
    <w:p>
      <w:pPr>
        <w:spacing w:after="0" w:line="96" w:lineRule="exact"/>
        <w:rPr>
          <w:rFonts w:ascii="Arial" w:cs="Arial" w:eastAsia="Arial" w:hAnsi="Arial"/>
          <w:sz w:val="17"/>
          <w:szCs w:val="17"/>
          <w:color w:val="auto"/>
        </w:rPr>
      </w:pPr>
    </w:p>
    <w:p>
      <w:pPr>
        <w:ind w:left="1280" w:hanging="16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increase of $0.3 million in revenue from customer support agreements.</w:t>
      </w:r>
    </w:p>
    <w:p>
      <w:pPr>
        <w:spacing w:after="0" w:line="98"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63%, 26% and 11% of total software and products revenue, respectively, for the three months ended June 30, 2021. Software and products revenue increased year over year by 2% in the Americas, 14% in EMEA and 27% in APJ.</w:t>
      </w:r>
    </w:p>
    <w:p>
      <w:pPr>
        <w:spacing w:after="0" w:line="155" w:lineRule="exact"/>
        <w:rPr>
          <w:sz w:val="20"/>
          <w:szCs w:val="20"/>
          <w:color w:val="auto"/>
        </w:rPr>
      </w:pPr>
    </w:p>
    <w:p>
      <w:pPr>
        <w:ind w:left="640" w:hanging="316"/>
        <w:spacing w:after="0" w:line="251" w:lineRule="auto"/>
        <w:tabs>
          <w:tab w:leader="none" w:pos="65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The increase in Americas software and products revenue was primarily the result of a 43% increase in transactions less than $0.1 million.</w:t>
      </w:r>
    </w:p>
    <w:p>
      <w:pPr>
        <w:spacing w:after="0" w:line="150" w:lineRule="exact"/>
        <w:rPr>
          <w:rFonts w:ascii="Arial" w:cs="Arial" w:eastAsia="Arial" w:hAnsi="Arial"/>
          <w:sz w:val="18"/>
          <w:szCs w:val="18"/>
          <w:i w:val="1"/>
          <w:iCs w:val="1"/>
          <w:color w:val="auto"/>
        </w:rPr>
      </w:pPr>
    </w:p>
    <w:p>
      <w:pPr>
        <w:ind w:left="640" w:hanging="316"/>
        <w:spacing w:after="0" w:line="251"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 20% increase in revenue on deals under $0.1 million. Using exchange rates from the prior year, the increase in software and products revenue would have been 4%.</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APJ was the result of larger deal transactions increasing more than two times over the prior year period, partially offset by a decrease in deals under $0.1 million. Using exchange rates from the prior year, the increase in software and products revenue would have been 16%.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0" w:name="page21"/>
    <w:bookmarkEnd w:id="20"/>
    <w:p>
      <w:pPr>
        <w:ind w:firstLine="437"/>
        <w:spacing w:after="0" w:line="25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225425</wp:posOffset>
            </wp:positionV>
            <wp:extent cx="5620385" cy="2995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0385" cy="299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8"/>
        <w:spacing w:after="0" w:line="251" w:lineRule="auto"/>
        <w:rPr>
          <w:sz w:val="20"/>
          <w:szCs w:val="20"/>
          <w:color w:val="auto"/>
        </w:rPr>
      </w:pPr>
      <w:r>
        <w:rPr>
          <w:rFonts w:ascii="Arial" w:cs="Arial" w:eastAsia="Arial" w:hAnsi="Arial"/>
          <w:sz w:val="18"/>
          <w:szCs w:val="18"/>
          <w:color w:val="auto"/>
        </w:rPr>
        <w:t>– Total cost of revenues increased $0.7 million, and represented 14% of our total revenues for both the three months ended June 30, 2021 and 2020.</w:t>
      </w:r>
    </w:p>
    <w:p>
      <w:pPr>
        <w:spacing w:after="0" w:line="70" w:lineRule="exact"/>
        <w:rPr>
          <w:sz w:val="20"/>
          <w:szCs w:val="20"/>
          <w:color w:val="auto"/>
        </w:rPr>
      </w:pPr>
    </w:p>
    <w:p>
      <w:pPr>
        <w:ind w:left="640" w:hanging="318"/>
        <w:spacing w:after="0" w:line="247" w:lineRule="auto"/>
        <w:rPr>
          <w:sz w:val="20"/>
          <w:szCs w:val="20"/>
          <w:color w:val="auto"/>
        </w:rPr>
      </w:pPr>
      <w:r>
        <w:rPr>
          <w:rFonts w:ascii="Arial" w:cs="Arial" w:eastAsia="Arial" w:hAnsi="Arial"/>
          <w:sz w:val="18"/>
          <w:szCs w:val="18"/>
          <w:color w:val="auto"/>
        </w:rPr>
        <w:t>– Cost of software and products revenue decreased $3.5 million, and represented 3% of our total software and products revenue for the three months ended June 30, 2021 compared to 8% for the three months ended June 30, 2020. The decrease is the result of reduced sales of hardware associated with our appliance as well as reduced software royalties associated with sales of HyperScale appliances and software. Beginning with the launch of HyperScale X in the middle of fiscal 2021, we began transitioning to a software only model. HyperScale X also has reduced software royalties relative to prior versions of HyperScale.</w:t>
      </w:r>
    </w:p>
    <w:p>
      <w:pPr>
        <w:spacing w:after="0" w:line="87" w:lineRule="exact"/>
        <w:rPr>
          <w:sz w:val="20"/>
          <w:szCs w:val="20"/>
          <w:color w:val="auto"/>
        </w:rPr>
      </w:pPr>
    </w:p>
    <w:p>
      <w:pPr>
        <w:ind w:left="640" w:hanging="318"/>
        <w:spacing w:after="0" w:line="247" w:lineRule="auto"/>
        <w:rPr>
          <w:sz w:val="20"/>
          <w:szCs w:val="20"/>
          <w:color w:val="auto"/>
        </w:rPr>
      </w:pPr>
      <w:r>
        <w:rPr>
          <w:rFonts w:ascii="Arial" w:cs="Arial" w:eastAsia="Arial" w:hAnsi="Arial"/>
          <w:sz w:val="18"/>
          <w:szCs w:val="18"/>
          <w:color w:val="auto"/>
        </w:rPr>
        <w:t>– Cost of services revenue increased $4.2 million, representing 23% of our total services revenue for the three months ended June 30, 2021 compared to 19% for the three months ended June 30, 2020. The increase in cost of services revenue is primarily related to an increase in the cost of infrastructure related to Metallic, as well as an increase in employee compensation and related expenses compared to the prior year due to the temporary pay cuts enacted in the first quarter of 2021.</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21" w:name="page22"/>
    <w:bookmarkEnd w:id="21"/>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65405</wp:posOffset>
            </wp:positionV>
            <wp:extent cx="5553075" cy="3213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3075" cy="321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0" w:hanging="119"/>
        <w:spacing w:after="0" w:line="251" w:lineRule="auto"/>
        <w:rPr>
          <w:sz w:val="20"/>
          <w:szCs w:val="20"/>
          <w:color w:val="auto"/>
        </w:rPr>
      </w:pPr>
      <w:r>
        <w:rPr>
          <w:rFonts w:ascii="Arial" w:cs="Arial" w:eastAsia="Arial" w:hAnsi="Arial"/>
          <w:sz w:val="18"/>
          <w:szCs w:val="18"/>
          <w:color w:val="auto"/>
        </w:rPr>
        <w:t>– Sales and marketing expenses decreased $5.3 million, or 7%, primarily due to a decrease in employee compensation and related costs.</w:t>
      </w:r>
    </w:p>
    <w:p>
      <w:pPr>
        <w:spacing w:after="0" w:line="83" w:lineRule="exact"/>
        <w:rPr>
          <w:sz w:val="20"/>
          <w:szCs w:val="20"/>
          <w:color w:val="auto"/>
        </w:rPr>
      </w:pPr>
    </w:p>
    <w:p>
      <w:pPr>
        <w:ind w:left="440" w:right="20" w:hanging="119"/>
        <w:spacing w:after="0" w:line="251" w:lineRule="auto"/>
        <w:rPr>
          <w:sz w:val="20"/>
          <w:szCs w:val="20"/>
          <w:color w:val="auto"/>
        </w:rPr>
      </w:pPr>
      <w:r>
        <w:rPr>
          <w:rFonts w:ascii="Arial" w:cs="Arial" w:eastAsia="Arial" w:hAnsi="Arial"/>
          <w:sz w:val="18"/>
          <w:szCs w:val="18"/>
          <w:color w:val="auto"/>
        </w:rPr>
        <w:t>– Research and development expenses increased $5.0 million, or 16%, as a result of an increase in employee compensation and related expenses attributable to the expansion of our engineering group.</w:t>
      </w:r>
    </w:p>
    <w:p>
      <w:pPr>
        <w:spacing w:after="0" w:line="70" w:lineRule="exact"/>
        <w:rPr>
          <w:sz w:val="20"/>
          <w:szCs w:val="20"/>
          <w:color w:val="auto"/>
        </w:rPr>
      </w:pPr>
    </w:p>
    <w:p>
      <w:pPr>
        <w:ind w:left="1080" w:hanging="121"/>
        <w:spacing w:after="0" w:line="251" w:lineRule="auto"/>
        <w:tabs>
          <w:tab w:leader="none" w:pos="1075" w:val="left"/>
        </w:tabs>
        <w:numPr>
          <w:ilvl w:val="1"/>
          <w:numId w:val="17"/>
        </w:numPr>
        <w:rPr>
          <w:rFonts w:ascii="Arial" w:cs="Arial" w:eastAsia="Arial" w:hAnsi="Arial"/>
          <w:sz w:val="18"/>
          <w:szCs w:val="18"/>
          <w:color w:val="auto"/>
          <w:strike w:val="1"/>
        </w:rPr>
      </w:pPr>
      <w:r>
        <w:rPr>
          <w:rFonts w:ascii="Arial" w:cs="Arial" w:eastAsia="Arial" w:hAnsi="Arial"/>
          <w:sz w:val="18"/>
          <w:szCs w:val="18"/>
          <w:color w:val="auto"/>
        </w:rPr>
        <w:t>The increase in employee compensation included an increase in stock-based compensation of $1.2 million compared to prior year.</w:t>
      </w:r>
    </w:p>
    <w:p>
      <w:pPr>
        <w:spacing w:after="0" w:line="83" w:lineRule="exact"/>
        <w:rPr>
          <w:rFonts w:ascii="Arial" w:cs="Arial" w:eastAsia="Arial" w:hAnsi="Arial"/>
          <w:sz w:val="18"/>
          <w:szCs w:val="18"/>
          <w:color w:val="auto"/>
          <w:strike w:val="1"/>
        </w:rPr>
      </w:pPr>
    </w:p>
    <w:p>
      <w:pPr>
        <w:ind w:left="1080" w:hanging="121"/>
        <w:spacing w:after="0" w:line="251" w:lineRule="auto"/>
        <w:tabs>
          <w:tab w:leader="none" w:pos="1075" w:val="left"/>
        </w:tabs>
        <w:numPr>
          <w:ilvl w:val="1"/>
          <w:numId w:val="17"/>
        </w:numPr>
        <w:rPr>
          <w:rFonts w:ascii="Arial" w:cs="Arial" w:eastAsia="Arial" w:hAnsi="Arial"/>
          <w:sz w:val="18"/>
          <w:szCs w:val="18"/>
          <w:color w:val="auto"/>
          <w:strike w:val="1"/>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65" w:lineRule="exact"/>
        <w:rPr>
          <w:rFonts w:ascii="Arial" w:cs="Arial" w:eastAsia="Arial" w:hAnsi="Arial"/>
          <w:sz w:val="18"/>
          <w:szCs w:val="18"/>
          <w:color w:val="auto"/>
          <w:strike w:val="1"/>
        </w:rPr>
      </w:pPr>
    </w:p>
    <w:p>
      <w:pPr>
        <w:ind w:left="320"/>
        <w:spacing w:after="0"/>
        <w:rPr>
          <w:rFonts w:ascii="Arial" w:cs="Arial" w:eastAsia="Arial" w:hAnsi="Arial"/>
          <w:sz w:val="18"/>
          <w:szCs w:val="18"/>
          <w:color w:val="auto"/>
          <w:strike w:val="1"/>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$4.9 million, or 23%, primarily due to the following:</w:t>
      </w:r>
    </w:p>
    <w:p>
      <w:pPr>
        <w:spacing w:after="0" w:line="102" w:lineRule="exact"/>
        <w:rPr>
          <w:rFonts w:ascii="Arial" w:cs="Arial" w:eastAsia="Arial" w:hAnsi="Arial"/>
          <w:sz w:val="18"/>
          <w:szCs w:val="18"/>
          <w:color w:val="auto"/>
          <w:strike w:val="1"/>
        </w:rPr>
      </w:pPr>
    </w:p>
    <w:p>
      <w:pPr>
        <w:ind w:left="1080" w:hanging="121"/>
        <w:spacing w:after="0" w:line="251" w:lineRule="auto"/>
        <w:tabs>
          <w:tab w:leader="none" w:pos="10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Increase in employee compensation and related expenses compared to the prior year due to the temporary pay cuts enacted in the first quarter of 2021.</w:t>
      </w:r>
    </w:p>
    <w:p>
      <w:pPr>
        <w:spacing w:after="0" w:line="83" w:lineRule="exact"/>
        <w:rPr>
          <w:rFonts w:ascii="Arial" w:cs="Arial" w:eastAsia="Arial" w:hAnsi="Arial"/>
          <w:sz w:val="18"/>
          <w:szCs w:val="18"/>
          <w:color w:val="auto"/>
        </w:rPr>
      </w:pPr>
    </w:p>
    <w:p>
      <w:pPr>
        <w:ind w:left="1080" w:hanging="121"/>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Increase in legal expenses of $2.4 million for legal costs related to intellectual property matters.</w:t>
      </w:r>
    </w:p>
    <w:p>
      <w:pPr>
        <w:spacing w:after="0" w:line="97" w:lineRule="exact"/>
        <w:rPr>
          <w:rFonts w:ascii="Arial" w:cs="Arial" w:eastAsia="Arial" w:hAnsi="Arial"/>
          <w:sz w:val="18"/>
          <w:szCs w:val="18"/>
          <w:color w:val="auto"/>
        </w:rPr>
      </w:pPr>
    </w:p>
    <w:p>
      <w:pPr>
        <w:ind w:left="1080" w:hanging="121"/>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Stock-based compensation increased $1.2 million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58420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22" w:name="page23"/>
    <w:bookmarkEnd w:id="22"/>
    <w:p>
      <w:pPr>
        <w:ind w:left="640" w:hanging="119"/>
        <w:spacing w:after="0" w:line="258" w:lineRule="auto"/>
        <w:rPr>
          <w:sz w:val="20"/>
          <w:szCs w:val="20"/>
          <w:color w:val="auto"/>
        </w:rPr>
      </w:pP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Restructuring: Our restructuring plan is intended to increase efficiency in our sales, marketing and distribution functions as well as reduce costs across all functional areas. Restructuring expenses were $1.4 million and $2.3 million in the three months ended June 30, 2021 and 2020, respectively. These restructuring charges relate primarily to severance and related costs associated with headcount reductions. These charges include $0.1 million in both the three months ended June 30, 2021 and 2020, respectively,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67" w:lineRule="exact"/>
        <w:rPr>
          <w:sz w:val="20"/>
          <w:szCs w:val="20"/>
          <w:color w:val="auto"/>
        </w:rPr>
      </w:pPr>
    </w:p>
    <w:p>
      <w:pPr>
        <w:jc w:val="both"/>
        <w:ind w:left="640" w:hanging="118"/>
        <w:spacing w:after="0" w:line="248" w:lineRule="auto"/>
        <w:rPr>
          <w:sz w:val="20"/>
          <w:szCs w:val="20"/>
          <w:color w:val="auto"/>
        </w:rPr>
      </w:pPr>
      <w:r>
        <w:rPr>
          <w:rFonts w:ascii="Arial" w:cs="Arial" w:eastAsia="Arial" w:hAnsi="Arial"/>
          <w:sz w:val="18"/>
          <w:szCs w:val="18"/>
          <w:color w:val="auto"/>
        </w:rPr>
        <w:t>–Depreciation and amortization expense decreased $2.8 million, from $5.1 million in the three months ended June 30, 2020 to $2.3 million in the three months ended June 30, 2021, driven by the elimination of amortization of intangible assets related to Hedvig due to their impairment in the second quarter of fiscal 2021.</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Income Tax Expense</w:t>
      </w:r>
    </w:p>
    <w:p>
      <w:pPr>
        <w:spacing w:after="0" w:line="116"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Income tax expense was $1.7 million in the three months ended June 30, 2021 compared to expense of $4.7 million in the three months ended June 30, 2020. The income tax expense for the three months ended June 30, 2021 relates primarily to current foreign taxes.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As of June 30, 2021, our cash balance was $359.1 million. In recent fiscal years, our principal source of liquidity has been cash provided by operations.</w:t>
      </w:r>
    </w:p>
    <w:p>
      <w:pPr>
        <w:spacing w:after="0" w:line="15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As of June 30, 2021, the amount of cash and cash equivalents held outside of the United States by our foreign legal entities was approximately $186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5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During the three months ended June 30, 2021, we repurchased $90.0 million of our common stock (1.2 million shares) under our share repurchase program. Our stock repurchase program has been funded by our existing cash and cash equivalent balances as well as cash flows provided by our operations.</w:t>
      </w:r>
    </w:p>
    <w:p>
      <w:pPr>
        <w:spacing w:after="0" w:line="15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Board has approved, and we intend to execute, a capital allocation policy that provides for the repurchase of $200 million of our common stock for the period from February 1, 2021 through the end of our 2022 fiscal year, plus the use of approximately 75% of our fiscal 2022 free cash flow for additional repurchases during fiscal year 2022. Since February 1, 2021 through June 30, 2021 we have repurchased $152.2 million of common stock.</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266" w:lineRule="exact"/>
        <w:rPr>
          <w:sz w:val="20"/>
          <w:szCs w:val="20"/>
          <w:color w:val="auto"/>
        </w:rPr>
      </w:pPr>
    </w:p>
    <w:tbl>
      <w:tblPr>
        <w:tblLayout w:type="fixed"/>
        <w:tblInd w:w="72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294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r>
      <w:tr>
        <w:trPr>
          <w:trHeight w:val="208"/>
        </w:trPr>
        <w:tc>
          <w:tcPr>
            <w:tcW w:w="62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w w:val="95"/>
              </w:rPr>
              <w:t>2021</w:t>
            </w: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r>
      <w:tr>
        <w:trPr>
          <w:trHeight w:val="20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37,211</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15,285</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31,157</w:t>
            </w: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(74,613)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w:t>
            </w:r>
          </w:p>
        </w:tc>
      </w:tr>
      <w:tr>
        <w:trPr>
          <w:trHeight w:val="21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rate-changes in cash</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756</w:t>
            </w: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2,677</w:t>
            </w: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(38,088)</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49,350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1064895</wp:posOffset>
            </wp:positionH>
            <wp:positionV relativeFrom="page">
              <wp:posOffset>779145</wp:posOffset>
            </wp:positionV>
            <wp:extent cx="5553075" cy="1682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3075" cy="168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119"/>
        <w:spacing w:after="0" w:line="251" w:lineRule="auto"/>
        <w:rPr>
          <w:sz w:val="20"/>
          <w:szCs w:val="20"/>
          <w:color w:val="auto"/>
        </w:rPr>
      </w:pPr>
      <w:r>
        <w:rPr>
          <w:rFonts w:ascii="Arial" w:cs="Arial" w:eastAsia="Arial" w:hAnsi="Arial"/>
          <w:sz w:val="18"/>
          <w:szCs w:val="18"/>
          <w:color w:val="auto"/>
        </w:rPr>
        <w:t>– Net cash provided by operating activities was impacted by net income adjusted for the impact of non-cash charges, a decrease in accounts receivable, partially offset by a decease in accrued liabilities.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Net cash used in investing activities was related to $1.4 million of capital expenditures.</w:t>
      </w:r>
    </w:p>
    <w:p>
      <w:pPr>
        <w:spacing w:after="0" w:line="97" w:lineRule="exact"/>
        <w:rPr>
          <w:sz w:val="20"/>
          <w:szCs w:val="20"/>
          <w:color w:val="auto"/>
        </w:rPr>
      </w:pPr>
    </w:p>
    <w:p>
      <w:pPr>
        <w:ind w:left="640" w:hanging="119"/>
        <w:spacing w:after="0" w:line="251" w:lineRule="auto"/>
        <w:rPr>
          <w:sz w:val="20"/>
          <w:szCs w:val="20"/>
          <w:color w:val="auto"/>
        </w:rPr>
      </w:pPr>
      <w:r>
        <w:rPr>
          <w:rFonts w:ascii="Arial" w:cs="Arial" w:eastAsia="Arial" w:hAnsi="Arial"/>
          <w:sz w:val="18"/>
          <w:szCs w:val="18"/>
          <w:color w:val="auto"/>
        </w:rPr>
        <w:t>– Net cash used in financing activities was the result of $90.0 million of repurchases of common shares partially offset by $15.4 million of proceeds from the exercise of stock options.</w:t>
      </w:r>
    </w:p>
    <w:p>
      <w:pPr>
        <w:spacing w:after="0" w:line="19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Working capital decreased $39.8 million from $234.4 million as of March 31, 2021 to $194.6 million as of June 30, 2021. The net decrease in working capital is primarily the result of cash used for share repurchases during the quarter.</w:t>
      </w:r>
    </w:p>
    <w:p>
      <w:pPr>
        <w:spacing w:after="0" w:line="150"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07" w:lineRule="exact"/>
        <w:rPr>
          <w:sz w:val="20"/>
          <w:szCs w:val="20"/>
          <w:color w:val="auto"/>
        </w:rPr>
      </w:pPr>
    </w:p>
    <w:p>
      <w:pPr>
        <w:jc w:val="both"/>
        <w:ind w:right="20" w:firstLine="437"/>
        <w:spacing w:after="0" w:line="251" w:lineRule="auto"/>
        <w:rPr>
          <w:sz w:val="20"/>
          <w:szCs w:val="20"/>
          <w:color w:val="auto"/>
        </w:rPr>
      </w:pPr>
      <w:r>
        <w:rPr>
          <w:rFonts w:ascii="Arial" w:cs="Arial" w:eastAsia="Arial" w:hAnsi="Arial"/>
          <w:sz w:val="18"/>
          <w:szCs w:val="18"/>
          <w:color w:val="auto"/>
        </w:rPr>
        <w:t>As of June 30, 2021, we did not have off-balance sheet financing arrangements, including any relationships with unconsolidated entities or financial partnerships, such as entities often referred to as structured finance or special purpose entities.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Indemnifications</w:t>
      </w:r>
    </w:p>
    <w:p>
      <w:pPr>
        <w:spacing w:after="0" w:line="12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B2A9"/>
        </w:rPr>
        <w:t>Item 3 - Quantitative and Qualitative Disclosures about Market Risk</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11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45% of our sales were outside the United States for the three months ended June 30, 2021.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103"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53"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net foreign currency transaction losses of less than $0.1 million and $0.8 million for the three months ended June 30, 2021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 Controls and Procedures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June 30, 2021. Based on that evaluation, the Chief Executive Officer and Chief Financial Officer concluded that our disclosure controls and procedures were effective as of June 30, 2021.</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fiscal 2022 that has materially affected, or is reasonably likely to materially affect, our internal control over financial reporting.</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07"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8"/>
          <w:szCs w:val="18"/>
          <w:b w:val="1"/>
          <w:bCs w:val="1"/>
          <w:color w:val="00B2A9"/>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 Legal Proceedings</w:t>
      </w:r>
    </w:p>
    <w:p>
      <w:pPr>
        <w:spacing w:after="0" w:line="120" w:lineRule="exact"/>
        <w:rPr>
          <w:sz w:val="20"/>
          <w:szCs w:val="20"/>
          <w:color w:val="auto"/>
        </w:rPr>
      </w:pPr>
    </w:p>
    <w:p>
      <w:pPr>
        <w:jc w:val="both"/>
        <w:ind w:right="100" w:firstLine="437"/>
        <w:spacing w:after="0" w:line="246"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On February 9, 2021, Rubrik, Inc. filed a patent-infringement lawsuit against Commvault Systems, Inc. in the United States District Court for the Western District of Texas – Waco Division. Rubrik asserts U.S. Patents 11,016,761, 10,852,998, 10,133,495, and 9,075,773. Due to the inherent uncertainties of litigation, we cannot accurately predict the ultimate timing or outcome of this matter. We are unable at this time to determine whether the outcome of the litigation will have a material impact on our results of operations, financial condition, or cash flows. We believe that Rubrik’s claims are without merit, and we intend to vigorously contest them.</w:t>
      </w:r>
    </w:p>
    <w:p>
      <w:pPr>
        <w:spacing w:after="0" w:line="158" w:lineRule="exact"/>
        <w:rPr>
          <w:sz w:val="20"/>
          <w:szCs w:val="20"/>
          <w:color w:val="auto"/>
        </w:rPr>
      </w:pPr>
    </w:p>
    <w:p>
      <w:pPr>
        <w:jc w:val="both"/>
        <w:ind w:right="100" w:firstLine="437"/>
        <w:spacing w:after="0" w:line="248" w:lineRule="auto"/>
        <w:rPr>
          <w:sz w:val="20"/>
          <w:szCs w:val="20"/>
          <w:color w:val="auto"/>
        </w:rPr>
      </w:pPr>
      <w:r>
        <w:rPr>
          <w:rFonts w:ascii="Arial" w:cs="Arial" w:eastAsia="Arial" w:hAnsi="Arial"/>
          <w:sz w:val="18"/>
          <w:szCs w:val="18"/>
          <w:color w:val="auto"/>
        </w:rPr>
        <w:t>We do not believe that we are currently party to any other pending legal action that could reasonably be expected to have a material adverse effect on our business or operating results. Please refer to Part I, “Item 1A. Risk Factors” in our Annual Report on Form 10-K for the year ended March 31, 2021 for additional information.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1A. Risk Factors</w:t>
      </w:r>
    </w:p>
    <w:p>
      <w:pPr>
        <w:spacing w:after="0" w:line="107" w:lineRule="exact"/>
        <w:rPr>
          <w:sz w:val="20"/>
          <w:szCs w:val="20"/>
          <w:color w:val="auto"/>
        </w:rPr>
      </w:pPr>
    </w:p>
    <w:p>
      <w:pPr>
        <w:jc w:val="both"/>
        <w:ind w:right="100" w:firstLine="437"/>
        <w:spacing w:after="0" w:line="246"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March 31, 2021,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2. Unregistered Sale of Equity Securities and Use of Proceeds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39" w:lineRule="exact"/>
        <w:rPr>
          <w:sz w:val="20"/>
          <w:szCs w:val="20"/>
          <w:color w:val="auto"/>
        </w:rPr>
      </w:pPr>
    </w:p>
    <w:p>
      <w:pPr>
        <w:jc w:val="both"/>
        <w:ind w:right="100" w:firstLine="437"/>
        <w:spacing w:after="0" w:line="251" w:lineRule="auto"/>
        <w:rPr>
          <w:sz w:val="20"/>
          <w:szCs w:val="20"/>
          <w:color w:val="auto"/>
        </w:rPr>
      </w:pPr>
      <w:r>
        <w:rPr>
          <w:rFonts w:ascii="Arial" w:cs="Arial" w:eastAsia="Arial" w:hAnsi="Arial"/>
          <w:sz w:val="18"/>
          <w:szCs w:val="18"/>
          <w:color w:val="auto"/>
        </w:rPr>
        <w:t>During the three months ended June 30, 2021, we repurchased $90.0 million of common stock, or 1,249,200 shares, under our share repurchase program. A summary of our repurchases of common stock is as follows:</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Total number of</w:t>
            </w: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left="441"/>
              <w:spacing w:after="0"/>
              <w:rPr>
                <w:sz w:val="20"/>
                <w:szCs w:val="20"/>
                <w:color w:val="auto"/>
              </w:rPr>
            </w:pPr>
            <w:r>
              <w:rPr>
                <w:rFonts w:ascii="Arial" w:cs="Arial" w:eastAsia="Arial" w:hAnsi="Arial"/>
                <w:sz w:val="16"/>
                <w:szCs w:val="16"/>
                <w:b w:val="1"/>
                <w:bCs w:val="1"/>
                <w:color w:val="auto"/>
                <w:w w:val="98"/>
              </w:rPr>
              <w:t>Approximate</w:t>
            </w: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dollar value of shar</w:t>
            </w: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9"/>
              </w:rPr>
              <w:t>shares purchased as</w:t>
            </w:r>
          </w:p>
        </w:tc>
        <w:tc>
          <w:tcPr>
            <w:tcW w:w="440" w:type="dxa"/>
            <w:vAlign w:val="bottom"/>
          </w:tcPr>
          <w:p>
            <w:pPr>
              <w:spacing w:after="0"/>
              <w:rPr>
                <w:sz w:val="13"/>
                <w:szCs w:val="13"/>
                <w:color w:val="auto"/>
              </w:rPr>
            </w:pPr>
          </w:p>
        </w:tc>
        <w:tc>
          <w:tcPr>
            <w:tcW w:w="1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Average price paid</w:t>
            </w:r>
          </w:p>
        </w:tc>
        <w:tc>
          <w:tcPr>
            <w:tcW w:w="420" w:type="dxa"/>
            <w:vAlign w:val="bottom"/>
          </w:tcPr>
          <w:p>
            <w:pPr>
              <w:spacing w:after="0"/>
              <w:rPr>
                <w:sz w:val="13"/>
                <w:szCs w:val="13"/>
                <w:color w:val="auto"/>
              </w:rPr>
            </w:pPr>
          </w:p>
        </w:tc>
        <w:tc>
          <w:tcPr>
            <w:tcW w:w="16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w w:val="96"/>
              </w:rPr>
              <w:t>Total dollar value of</w:t>
            </w:r>
          </w:p>
        </w:tc>
        <w:tc>
          <w:tcPr>
            <w:tcW w:w="100" w:type="dxa"/>
            <w:vAlign w:val="bottom"/>
          </w:tcPr>
          <w:p>
            <w:pPr>
              <w:spacing w:after="0"/>
              <w:rPr>
                <w:sz w:val="13"/>
                <w:szCs w:val="13"/>
                <w:color w:val="auto"/>
              </w:rPr>
            </w:pPr>
          </w:p>
        </w:tc>
        <w:tc>
          <w:tcPr>
            <w:tcW w:w="1480" w:type="dxa"/>
            <w:vAlign w:val="bottom"/>
          </w:tcPr>
          <w:p>
            <w:pPr>
              <w:jc w:val="center"/>
              <w:ind w:left="121"/>
              <w:spacing w:after="0" w:line="159" w:lineRule="exact"/>
              <w:rPr>
                <w:sz w:val="20"/>
                <w:szCs w:val="20"/>
                <w:color w:val="auto"/>
              </w:rPr>
            </w:pPr>
            <w:r>
              <w:rPr>
                <w:rFonts w:ascii="Arial" w:cs="Arial" w:eastAsia="Arial" w:hAnsi="Arial"/>
                <w:sz w:val="16"/>
                <w:szCs w:val="16"/>
                <w:b w:val="1"/>
                <w:bCs w:val="1"/>
                <w:color w:val="auto"/>
                <w:w w:val="99"/>
              </w:rPr>
              <w:t>that may yet be</w:t>
            </w:r>
          </w:p>
        </w:tc>
        <w:tc>
          <w:tcPr>
            <w:tcW w:w="0" w:type="dxa"/>
            <w:vAlign w:val="bottom"/>
          </w:tcPr>
          <w:p>
            <w:pPr>
              <w:spacing w:after="0"/>
              <w:rPr>
                <w:sz w:val="1"/>
                <w:szCs w:val="1"/>
                <w:color w:val="auto"/>
              </w:rPr>
            </w:pPr>
          </w:p>
        </w:tc>
      </w:tr>
      <w:tr>
        <w:trPr>
          <w:trHeight w:val="159"/>
        </w:trPr>
        <w:tc>
          <w:tcPr>
            <w:tcW w:w="3480" w:type="dxa"/>
            <w:vAlign w:val="bottom"/>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80" w:type="dxa"/>
            <w:vAlign w:val="bottom"/>
            <w:vMerge w:val="restart"/>
          </w:tcPr>
          <w:p>
            <w:pPr>
              <w:spacing w:after="0"/>
              <w:rPr>
                <w:sz w:val="13"/>
                <w:szCs w:val="13"/>
                <w:color w:val="auto"/>
              </w:rPr>
            </w:pPr>
          </w:p>
        </w:tc>
        <w:tc>
          <w:tcPr>
            <w:tcW w:w="178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9"/>
              </w:rPr>
              <w:t>part of publicly</w:t>
            </w:r>
          </w:p>
        </w:tc>
        <w:tc>
          <w:tcPr>
            <w:tcW w:w="44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purchased under t</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announced programs</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purchases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b w:val="1"/>
                <w:bCs w:val="1"/>
                <w:color w:val="auto"/>
                <w:w w:val="98"/>
              </w:rPr>
              <w:t>program</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April 2021</w:t>
            </w:r>
          </w:p>
        </w:tc>
        <w:tc>
          <w:tcPr>
            <w:tcW w:w="1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455,600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31,118,398</w:t>
            </w:r>
          </w:p>
        </w:tc>
        <w:tc>
          <w:tcPr>
            <w:tcW w:w="158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3560" w:type="dxa"/>
            <w:vAlign w:val="bottom"/>
            <w:gridSpan w:val="2"/>
          </w:tcPr>
          <w:p>
            <w:pPr>
              <w:ind w:left="340"/>
              <w:spacing w:after="0"/>
              <w:rPr>
                <w:sz w:val="20"/>
                <w:szCs w:val="20"/>
                <w:color w:val="auto"/>
              </w:rPr>
            </w:pPr>
            <w:r>
              <w:rPr>
                <w:rFonts w:ascii="Arial" w:cs="Arial" w:eastAsia="Arial" w:hAnsi="Arial"/>
                <w:sz w:val="16"/>
                <w:szCs w:val="16"/>
                <w:color w:val="auto"/>
              </w:rPr>
              <w:t>May 2021</w:t>
            </w: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428,200</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69.94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29,949,069</w:t>
            </w:r>
          </w:p>
        </w:tc>
        <w:tc>
          <w:tcPr>
            <w:tcW w:w="1580" w:type="dxa"/>
            <w:vAlign w:val="bottom"/>
            <w:gridSpan w:val="2"/>
          </w:tcPr>
          <w:p>
            <w:pPr>
              <w:jc w:val="center"/>
              <w:ind w:left="56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2"/>
        </w:trPr>
        <w:tc>
          <w:tcPr>
            <w:tcW w:w="3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June 2021</w:t>
            </w: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365,400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79.31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28,980,687</w:t>
            </w:r>
          </w:p>
        </w:tc>
        <w:tc>
          <w:tcPr>
            <w:tcW w:w="158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5"/>
        </w:trPr>
        <w:tc>
          <w:tcPr>
            <w:tcW w:w="3560" w:type="dxa"/>
            <w:vAlign w:val="bottom"/>
            <w:gridSpan w:val="2"/>
          </w:tcPr>
          <w:p>
            <w:pPr>
              <w:ind w:left="340"/>
              <w:spacing w:after="0"/>
              <w:rPr>
                <w:sz w:val="20"/>
                <w:szCs w:val="20"/>
                <w:color w:val="auto"/>
              </w:rPr>
            </w:pPr>
            <w:r>
              <w:rPr>
                <w:rFonts w:ascii="Arial" w:cs="Arial" w:eastAsia="Arial" w:hAnsi="Arial"/>
                <w:sz w:val="16"/>
                <w:szCs w:val="16"/>
                <w:color w:val="auto"/>
              </w:rPr>
              <w:t>Three months ended June 30, 2021</w:t>
            </w:r>
          </w:p>
        </w:tc>
        <w:tc>
          <w:tcPr>
            <w:tcW w:w="1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1,249,200</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72.08</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90,048,154</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ind w:left="320" w:right="100" w:firstLine="4"/>
        <w:spacing w:after="0" w:line="24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has approved, and we intend to execute, a capital allocation policy that provides for the repurchase of $200 million of our common stock for the period from February 1, 2021 through the end of our 2022 fiscal year, plus the use of approximately 75% of our fiscal 2022 free cash flow for additional repurchases during fiscal year 2022. Since February 1, 2021 through June 30, 2021 we have repurchased $152.2 million of common stock.</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Defaults upon Senior Securities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Mine Safety Disclosures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00B2A9"/>
        </w:rPr>
        <w:t>Item 5. Other Information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6. Exhibits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Exhibit No.</w:t>
            </w:r>
          </w:p>
        </w:tc>
        <w:tc>
          <w:tcPr>
            <w:tcW w:w="466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29">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0">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1">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2">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94"/>
        </w:trPr>
        <w:tc>
          <w:tcPr>
            <w:tcW w:w="1080" w:type="dxa"/>
            <w:vAlign w:val="bottom"/>
            <w:gridSpan w:val="4"/>
          </w:tcPr>
          <w:p>
            <w:pPr>
              <w:spacing w:after="0"/>
              <w:rPr>
                <w:sz w:val="20"/>
                <w:szCs w:val="20"/>
                <w:color w:val="auto"/>
              </w:rPr>
            </w:pPr>
            <w:r>
              <w:rPr>
                <w:rFonts w:ascii="Arial" w:cs="Arial" w:eastAsia="Arial" w:hAnsi="Arial"/>
                <w:sz w:val="16"/>
                <w:szCs w:val="16"/>
                <w:color w:val="auto"/>
              </w:rPr>
              <w:t>101.INS</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w w:val="99"/>
              </w:rPr>
              <w:t>XBRL Instance Document - the instance document does not appear in the Interactive Data File because its XBRL tags are embedded within</w:t>
            </w:r>
          </w:p>
        </w:tc>
      </w:tr>
      <w:tr>
        <w:trPr>
          <w:trHeight w:val="192"/>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the Inline XBRL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101.SCH</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Schema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101.CAL</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101.DEF</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101.LAB</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Label Linkbase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101.PRE</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p>
    <w:p>
      <w:pPr>
        <w:ind w:left="1180" w:hanging="1156"/>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031" w:right="5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right="400" w:firstLine="437"/>
        <w:spacing w:after="0" w:line="25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980" w:type="dxa"/>
            <w:vAlign w:val="bottom"/>
          </w:tcPr>
          <w:p>
            <w:pPr>
              <w:ind w:left="680"/>
              <w:spacing w:after="0"/>
              <w:rPr>
                <w:sz w:val="20"/>
                <w:szCs w:val="20"/>
                <w:color w:val="auto"/>
              </w:rPr>
            </w:pPr>
            <w:r>
              <w:rPr>
                <w:rFonts w:ascii="Arial" w:cs="Arial" w:eastAsia="Arial" w:hAnsi="Arial"/>
                <w:sz w:val="18"/>
                <w:szCs w:val="18"/>
                <w:color w:val="auto"/>
              </w:rPr>
              <w:t>Commvault Systems, Inc.</w:t>
            </w:r>
          </w:p>
        </w:tc>
      </w:tr>
      <w:tr>
        <w:trPr>
          <w:trHeight w:val="491"/>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20" w:type="dxa"/>
            <w:vAlign w:val="bottom"/>
          </w:tcPr>
          <w:p>
            <w:pPr>
              <w:ind w:left="160"/>
              <w:spacing w:after="0"/>
              <w:rPr>
                <w:sz w:val="20"/>
                <w:szCs w:val="20"/>
                <w:color w:val="auto"/>
              </w:rPr>
            </w:pPr>
            <w:r>
              <w:rPr>
                <w:rFonts w:ascii="Arial" w:cs="Arial" w:eastAsia="Arial" w:hAnsi="Arial"/>
                <w:sz w:val="18"/>
                <w:szCs w:val="18"/>
                <w:color w:val="auto"/>
              </w:rPr>
              <w:t>July 28, 2021</w:t>
            </w:r>
          </w:p>
        </w:tc>
        <w:tc>
          <w:tcPr>
            <w:tcW w:w="3480" w:type="dxa"/>
            <w:vAlign w:val="bottom"/>
          </w:tcPr>
          <w:p>
            <w:pPr>
              <w:ind w:left="28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06"/>
        </w:trPr>
        <w:tc>
          <w:tcPr>
            <w:tcW w:w="7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80" w:type="dxa"/>
            <w:vAlign w:val="bottom"/>
          </w:tcPr>
          <w:p>
            <w:pPr>
              <w:ind w:left="2880"/>
              <w:spacing w:after="0" w:line="205" w:lineRule="exact"/>
              <w:rPr>
                <w:sz w:val="20"/>
                <w:szCs w:val="20"/>
                <w:color w:val="auto"/>
              </w:rPr>
            </w:pPr>
            <w:r>
              <w:rPr>
                <w:rFonts w:ascii="Arial" w:cs="Arial" w:eastAsia="Arial" w:hAnsi="Arial"/>
                <w:sz w:val="18"/>
                <w:szCs w:val="18"/>
                <w:color w:val="auto"/>
              </w:rPr>
              <w:t>Sanjay</w:t>
            </w:r>
          </w:p>
        </w:tc>
        <w:tc>
          <w:tcPr>
            <w:tcW w:w="3980" w:type="dxa"/>
            <w:vAlign w:val="bottom"/>
          </w:tcPr>
          <w:p>
            <w:pPr>
              <w:spacing w:after="0" w:line="206" w:lineRule="exact"/>
              <w:rPr>
                <w:sz w:val="20"/>
                <w:szCs w:val="20"/>
                <w:color w:val="auto"/>
              </w:rPr>
            </w:pPr>
            <w:r>
              <w:rPr>
                <w:rFonts w:ascii="Arial" w:cs="Arial" w:eastAsia="Arial" w:hAnsi="Arial"/>
                <w:sz w:val="18"/>
                <w:szCs w:val="18"/>
                <w:color w:val="auto"/>
              </w:rPr>
              <w:t>Mirchandani</w:t>
            </w:r>
          </w:p>
        </w:tc>
      </w:tr>
      <w:tr>
        <w:trPr>
          <w:trHeight w:val="224"/>
        </w:trPr>
        <w:tc>
          <w:tcPr>
            <w:tcW w:w="7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460" w:type="dxa"/>
            <w:vAlign w:val="bottom"/>
            <w:gridSpan w:val="2"/>
          </w:tcPr>
          <w:p>
            <w:pPr>
              <w:ind w:left="2880"/>
              <w:spacing w:after="0"/>
              <w:rPr>
                <w:sz w:val="20"/>
                <w:szCs w:val="20"/>
                <w:color w:val="auto"/>
              </w:rPr>
            </w:pPr>
            <w:r>
              <w:rPr>
                <w:rFonts w:ascii="Arial" w:cs="Arial" w:eastAsia="Arial" w:hAnsi="Arial"/>
                <w:sz w:val="18"/>
                <w:szCs w:val="18"/>
                <w:color w:val="auto"/>
              </w:rPr>
              <w:t>Director, President and Chief Executive Officer</w:t>
            </w:r>
          </w:p>
        </w:tc>
      </w:tr>
      <w:tr>
        <w:trPr>
          <w:trHeight w:val="491"/>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020" w:type="dxa"/>
            <w:vAlign w:val="bottom"/>
          </w:tcPr>
          <w:p>
            <w:pPr>
              <w:ind w:left="160"/>
              <w:spacing w:after="0"/>
              <w:rPr>
                <w:sz w:val="20"/>
                <w:szCs w:val="20"/>
                <w:color w:val="auto"/>
              </w:rPr>
            </w:pPr>
            <w:r>
              <w:rPr>
                <w:rFonts w:ascii="Arial" w:cs="Arial" w:eastAsia="Arial" w:hAnsi="Arial"/>
                <w:sz w:val="18"/>
                <w:szCs w:val="18"/>
                <w:color w:val="auto"/>
              </w:rPr>
              <w:t>July 28, 2021</w:t>
            </w:r>
          </w:p>
        </w:tc>
        <w:tc>
          <w:tcPr>
            <w:tcW w:w="3480" w:type="dxa"/>
            <w:vAlign w:val="bottom"/>
          </w:tcPr>
          <w:p>
            <w:pPr>
              <w:ind w:left="28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Carolan</w:t>
            </w:r>
          </w:p>
        </w:tc>
      </w:tr>
      <w:tr>
        <w:trPr>
          <w:trHeight w:val="206"/>
        </w:trPr>
        <w:tc>
          <w:tcPr>
            <w:tcW w:w="7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80" w:type="dxa"/>
            <w:vAlign w:val="bottom"/>
          </w:tcPr>
          <w:p>
            <w:pPr>
              <w:ind w:left="2880"/>
              <w:spacing w:after="0" w:line="205" w:lineRule="exact"/>
              <w:rPr>
                <w:sz w:val="20"/>
                <w:szCs w:val="20"/>
                <w:color w:val="auto"/>
              </w:rPr>
            </w:pPr>
            <w:r>
              <w:rPr>
                <w:rFonts w:ascii="Arial" w:cs="Arial" w:eastAsia="Arial" w:hAnsi="Arial"/>
                <w:sz w:val="18"/>
                <w:szCs w:val="18"/>
                <w:color w:val="auto"/>
              </w:rPr>
              <w:t>Brian</w:t>
            </w:r>
          </w:p>
        </w:tc>
        <w:tc>
          <w:tcPr>
            <w:tcW w:w="3980" w:type="dxa"/>
            <w:vAlign w:val="bottom"/>
          </w:tcPr>
          <w:p>
            <w:pPr>
              <w:spacing w:after="0" w:line="206" w:lineRule="exact"/>
              <w:rPr>
                <w:sz w:val="20"/>
                <w:szCs w:val="20"/>
                <w:color w:val="auto"/>
              </w:rPr>
            </w:pPr>
            <w:r>
              <w:rPr>
                <w:rFonts w:ascii="Arial" w:cs="Arial" w:eastAsia="Arial" w:hAnsi="Arial"/>
                <w:sz w:val="18"/>
                <w:szCs w:val="18"/>
                <w:color w:val="auto"/>
              </w:rPr>
              <w:t>Carolan</w:t>
            </w:r>
          </w:p>
        </w:tc>
      </w:tr>
      <w:tr>
        <w:trPr>
          <w:trHeight w:val="224"/>
        </w:trPr>
        <w:tc>
          <w:tcPr>
            <w:tcW w:w="7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460" w:type="dxa"/>
            <w:vAlign w:val="bottom"/>
            <w:gridSpan w:val="2"/>
          </w:tcPr>
          <w:p>
            <w:pPr>
              <w:ind w:left="2880"/>
              <w:spacing w:after="0"/>
              <w:rPr>
                <w:sz w:val="20"/>
                <w:szCs w:val="20"/>
                <w:color w:val="auto"/>
              </w:rPr>
            </w:pPr>
            <w:r>
              <w:rPr>
                <w:rFonts w:ascii="Arial" w:cs="Arial" w:eastAsia="Arial" w:hAnsi="Arial"/>
                <w:sz w:val="18"/>
                <w:szCs w:val="18"/>
                <w:color w:val="auto"/>
              </w:rPr>
              <w:t>Vice President and Chief Financial Officer</w:t>
            </w:r>
          </w:p>
        </w:tc>
      </w:tr>
      <w:tr>
        <w:trPr>
          <w:trHeight w:val="848"/>
        </w:trPr>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80" w:type="dxa"/>
            <w:vAlign w:val="bottom"/>
          </w:tcPr>
          <w:p>
            <w:pPr>
              <w:ind w:left="1780"/>
              <w:spacing w:after="0"/>
              <w:rPr>
                <w:sz w:val="20"/>
                <w:szCs w:val="20"/>
                <w:color w:val="auto"/>
              </w:rPr>
            </w:pPr>
            <w:r>
              <w:rPr>
                <w:rFonts w:ascii="Arial" w:cs="Arial" w:eastAsia="Arial" w:hAnsi="Arial"/>
                <w:sz w:val="18"/>
                <w:szCs w:val="18"/>
                <w:color w:val="auto"/>
              </w:rPr>
              <w:t>26</w:t>
            </w:r>
          </w:p>
        </w:tc>
        <w:tc>
          <w:tcPr>
            <w:tcW w:w="3980" w:type="dxa"/>
            <w:vAlign w:val="bottom"/>
          </w:tcPr>
          <w:p>
            <w:pPr>
              <w:spacing w:after="0"/>
              <w:rPr>
                <w:sz w:val="24"/>
                <w:szCs w:val="24"/>
                <w:color w:val="auto"/>
              </w:rPr>
            </w:pPr>
          </w:p>
        </w:tc>
      </w:tr>
    </w:tbl>
    <w:p>
      <w:pPr>
        <w:sectPr>
          <w:pgSz w:w="11900" w:h="16838" w:orient="portrait"/>
          <w:cols w:equalWidth="0" w:num="1">
            <w:col w:w="11200"/>
          </w:cols>
          <w:pgMar w:left="320" w:top="1031" w:right="3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17" w:lineRule="exact"/>
        <w:rPr>
          <w:sz w:val="20"/>
          <w:szCs w:val="20"/>
          <w:color w:val="auto"/>
        </w:rPr>
      </w:pPr>
    </w:p>
    <w:p>
      <w:pPr>
        <w:ind w:left="640" w:hanging="63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jc w:val="both"/>
        <w:ind w:left="640" w:right="20" w:hanging="634"/>
        <w:spacing w:after="0" w:line="280" w:lineRule="auto"/>
        <w:tabs>
          <w:tab w:leader="none" w:pos="6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jc w:val="both"/>
        <w:ind w:left="640" w:hanging="634"/>
        <w:spacing w:after="0" w:line="260" w:lineRule="auto"/>
        <w:tabs>
          <w:tab w:leader="none" w:pos="6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4" w:lineRule="exact"/>
        <w:rPr>
          <w:rFonts w:ascii="Arial" w:cs="Arial" w:eastAsia="Arial" w:hAnsi="Arial"/>
          <w:sz w:val="17"/>
          <w:szCs w:val="17"/>
          <w:color w:val="auto"/>
        </w:rPr>
      </w:pPr>
    </w:p>
    <w:p>
      <w:pPr>
        <w:jc w:val="both"/>
        <w:ind w:left="1280" w:hanging="320"/>
        <w:spacing w:after="0" w:line="245" w:lineRule="auto"/>
        <w:tabs>
          <w:tab w:leader="none" w:pos="12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48" w:lineRule="auto"/>
        <w:tabs>
          <w:tab w:leader="none" w:pos="12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3"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1" w:lineRule="auto"/>
        <w:tabs>
          <w:tab w:leader="none" w:pos="127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wp:posOffset>
            </wp:positionV>
            <wp:extent cx="3213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Sanjay Mirchandani</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President and 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ectPr>
          <w:pgSz w:w="11900" w:h="16838" w:orient="portrait"/>
          <w:cols w:equalWidth="0" w:num="1">
            <w:col w:w="11240"/>
          </w:cols>
          <w:pgMar w:left="320" w:top="872"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17" w:lineRule="exact"/>
        <w:rPr>
          <w:sz w:val="20"/>
          <w:szCs w:val="20"/>
          <w:color w:val="auto"/>
        </w:rPr>
      </w:pPr>
    </w:p>
    <w:p>
      <w:pPr>
        <w:ind w:left="640" w:hanging="63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jc w:val="both"/>
        <w:ind w:left="640" w:right="20" w:hanging="634"/>
        <w:spacing w:after="0" w:line="280" w:lineRule="auto"/>
        <w:tabs>
          <w:tab w:leader="none" w:pos="6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jc w:val="both"/>
        <w:ind w:left="640" w:hanging="634"/>
        <w:spacing w:after="0" w:line="260" w:lineRule="auto"/>
        <w:tabs>
          <w:tab w:leader="none" w:pos="6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4" w:lineRule="exact"/>
        <w:rPr>
          <w:rFonts w:ascii="Arial" w:cs="Arial" w:eastAsia="Arial" w:hAnsi="Arial"/>
          <w:sz w:val="17"/>
          <w:szCs w:val="17"/>
          <w:color w:val="auto"/>
        </w:rPr>
      </w:pPr>
    </w:p>
    <w:p>
      <w:pPr>
        <w:jc w:val="both"/>
        <w:ind w:left="1280" w:hanging="320"/>
        <w:spacing w:after="0" w:line="245" w:lineRule="auto"/>
        <w:tabs>
          <w:tab w:leader="none" w:pos="12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48" w:lineRule="auto"/>
        <w:tabs>
          <w:tab w:leader="none" w:pos="12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2"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3"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1" w:lineRule="auto"/>
        <w:tabs>
          <w:tab w:leader="none" w:pos="12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wp:posOffset>
            </wp:positionV>
            <wp:extent cx="3213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Carolan</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and Chief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ectPr>
          <w:pgSz w:w="11900" w:h="16838" w:orient="portrait"/>
          <w:cols w:equalWidth="0" w:num="1">
            <w:col w:w="11240"/>
          </w:cols>
          <w:pgMar w:left="320" w:top="872"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2021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114" w:lineRule="exact"/>
        <w:rPr>
          <w:sz w:val="20"/>
          <w:szCs w:val="20"/>
          <w:color w:val="auto"/>
        </w:rPr>
      </w:pPr>
    </w:p>
    <w:p>
      <w:pPr>
        <w:ind w:left="560" w:hanging="31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 w:lineRule="exact"/>
        <w:rPr>
          <w:rFonts w:ascii="Arial" w:cs="Arial" w:eastAsia="Arial" w:hAnsi="Arial"/>
          <w:sz w:val="18"/>
          <w:szCs w:val="18"/>
          <w:color w:val="auto"/>
        </w:rPr>
      </w:pPr>
    </w:p>
    <w:p>
      <w:pPr>
        <w:ind w:left="560" w:hanging="316"/>
        <w:spacing w:after="0" w:line="251" w:lineRule="auto"/>
        <w:tabs>
          <w:tab w:leader="none" w:pos="5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407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July 28, 2021</w:t>
      </w:r>
    </w:p>
    <w:p>
      <w:pPr>
        <w:sectPr>
          <w:pgSz w:w="11900" w:h="16838" w:orient="portrait"/>
          <w:cols w:equalWidth="0" w:num="1">
            <w:col w:w="11240"/>
          </w:cols>
          <w:pgMar w:left="320" w:top="872"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 2021 as filed with the Securities and Exchange Commission (the “Report”), I, Brian Carolan, Vice President and Chief Financial Officer of the Company, certify, pursuant to 18 U.S.C. § 1350, as adopted pursuant to § 906 of the Sarbanes-Oxley Act of 2002, that:</w:t>
      </w:r>
    </w:p>
    <w:p>
      <w:pPr>
        <w:spacing w:after="0" w:line="114" w:lineRule="exact"/>
        <w:rPr>
          <w:sz w:val="20"/>
          <w:szCs w:val="20"/>
          <w:color w:val="auto"/>
        </w:rPr>
      </w:pPr>
    </w:p>
    <w:p>
      <w:pPr>
        <w:ind w:left="560" w:hanging="316"/>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 w:lineRule="exact"/>
        <w:rPr>
          <w:rFonts w:ascii="Arial" w:cs="Arial" w:eastAsia="Arial" w:hAnsi="Arial"/>
          <w:sz w:val="18"/>
          <w:szCs w:val="18"/>
          <w:color w:val="auto"/>
        </w:rPr>
      </w:pPr>
    </w:p>
    <w:p>
      <w:pPr>
        <w:ind w:left="560" w:hanging="316"/>
        <w:spacing w:after="0" w:line="251" w:lineRule="auto"/>
        <w:tabs>
          <w:tab w:leader="none" w:pos="5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407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July 28, 2021</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endash "/>
      <w:numFmt w:val="bullet"/>
      <w:start w:val="1"/>
    </w:lvl>
  </w:abstractNum>
  <w:abstractNum w:abstractNumId="16">
    <w:nsid w:val="628C895D"/>
    <w:multiLevelType w:val="hybridMultilevel"/>
    <w:lvl w:ilvl="0">
      <w:lvlJc w:val="left"/>
      <w:lvlText w:val="\endash "/>
      <w:numFmt w:val="bullet"/>
      <w:start w:val="1"/>
    </w:lvl>
    <w:lvl w:ilvl="1">
      <w:lvlJc w:val="left"/>
      <w:lvlText w:val="•"/>
      <w:numFmt w:val="bullet"/>
      <w:start w:val="1"/>
    </w:lvl>
  </w:abstractNum>
  <w:abstractNum w:abstractNumId="17">
    <w:nsid w:val="333AB105"/>
    <w:multiLevelType w:val="hybridMultilevel"/>
    <w:lvl w:ilvl="0">
      <w:lvlJc w:val="left"/>
      <w:lvlText w:val="\endash "/>
      <w:numFmt w:val="bullet"/>
      <w:start w:val="1"/>
    </w:lvl>
  </w:abstractNum>
  <w:abstractNum w:abstractNumId="18">
    <w:nsid w:val="721DA317"/>
    <w:multiLevelType w:val="hybridMultilevel"/>
    <w:lvl w:ilvl="0">
      <w:lvlJc w:val="left"/>
      <w:lvlText w:val="\endash "/>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2021-07-28T13:04:06Z</dcterms:created>
  <dcterms:modified xsi:type="dcterms:W3CDTF">2021-07-28T13:04:06Z</dcterms:modified>
</cp:coreProperties>
</file>