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70" w:lineRule="exact"/>
        <w:rPr>
          <w:sz w:val="24"/>
          <w:szCs w:val="24"/>
          <w:color w:val="auto"/>
        </w:rPr>
      </w:pPr>
    </w:p>
    <w:p>
      <w:pPr>
        <w:ind w:left="1780" w:hanging="235"/>
        <w:spacing w:after="0"/>
        <w:tabs>
          <w:tab w:leader="none" w:pos="17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463550</wp:posOffset>
            </wp:positionV>
            <wp:extent cx="278701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3"/>
              </w:rPr>
              <w:t>Delaware</w:t>
            </w:r>
          </w:p>
        </w:tc>
        <w:tc>
          <w:tcPr>
            <w:tcW w:w="502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22-3447504</w:t>
            </w:r>
          </w:p>
        </w:tc>
      </w:tr>
      <w:tr>
        <w:trPr>
          <w:trHeight w:val="190"/>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8"/>
              </w:rPr>
              <w:t>(State or other jurisdiction of</w:t>
            </w:r>
          </w:p>
        </w:tc>
        <w:tc>
          <w:tcPr>
            <w:tcW w:w="3120" w:type="dxa"/>
            <w:vAlign w:val="bottom"/>
          </w:tcPr>
          <w:p>
            <w:pPr>
              <w:spacing w:after="0"/>
              <w:rPr>
                <w:sz w:val="16"/>
                <w:szCs w:val="16"/>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9"/>
              </w:rPr>
              <w:t>incorporation or organization)</w:t>
            </w:r>
          </w:p>
        </w:tc>
        <w:tc>
          <w:tcPr>
            <w:tcW w:w="3120" w:type="dxa"/>
            <w:vAlign w:val="bottom"/>
          </w:tcPr>
          <w:p>
            <w:pPr>
              <w:spacing w:after="0"/>
              <w:rPr>
                <w:sz w:val="14"/>
                <w:szCs w:val="14"/>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89"/>
              </w:rPr>
              <w:t>Identification No.)</w:t>
            </w:r>
          </w:p>
        </w:tc>
      </w:tr>
      <w:tr>
        <w:trPr>
          <w:trHeight w:val="353"/>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4"/>
              </w:rPr>
              <w:t>1 Commvault Way</w:t>
            </w: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1"/>
              </w:rPr>
              <w:t>Tinton Falls, New Jersey</w:t>
            </w:r>
          </w:p>
        </w:tc>
        <w:tc>
          <w:tcPr>
            <w:tcW w:w="50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07724</w:t>
            </w:r>
          </w:p>
        </w:tc>
      </w:tr>
      <w:tr>
        <w:trPr>
          <w:trHeight w:val="206"/>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120" w:type="dxa"/>
            <w:vAlign w:val="bottom"/>
          </w:tcPr>
          <w:p>
            <w:pPr>
              <w:spacing w:after="0"/>
              <w:rPr>
                <w:sz w:val="17"/>
                <w:szCs w:val="17"/>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(Zip Code)</w:t>
            </w:r>
          </w:p>
        </w:tc>
      </w:tr>
      <w:tr>
        <w:trPr>
          <w:trHeight w:val="227"/>
        </w:trPr>
        <w:tc>
          <w:tcPr>
            <w:tcW w:w="2400" w:type="dxa"/>
            <w:vAlign w:val="bottom"/>
          </w:tcPr>
          <w:p>
            <w:pPr>
              <w:spacing w:after="0"/>
              <w:rPr>
                <w:sz w:val="19"/>
                <w:szCs w:val="19"/>
                <w:color w:val="auto"/>
              </w:rPr>
            </w:pPr>
          </w:p>
        </w:tc>
        <w:tc>
          <w:tcPr>
            <w:tcW w:w="3120" w:type="dxa"/>
            <w:vAlign w:val="bottom"/>
          </w:tcPr>
          <w:p>
            <w:pPr>
              <w:jc w:val="right"/>
              <w:ind w:right="983"/>
              <w:spacing w:after="0"/>
              <w:rPr>
                <w:sz w:val="20"/>
                <w:szCs w:val="20"/>
                <w:color w:val="auto"/>
              </w:rPr>
            </w:pPr>
            <w:r>
              <w:rPr>
                <w:rFonts w:ascii="Arial" w:cs="Arial" w:eastAsia="Arial" w:hAnsi="Arial"/>
                <w:sz w:val="16"/>
                <w:szCs w:val="16"/>
                <w:b w:val="1"/>
                <w:bCs w:val="1"/>
                <w:color w:val="auto"/>
              </w:rPr>
              <w:t>(732) 870-4000</w:t>
            </w:r>
          </w:p>
        </w:tc>
        <w:tc>
          <w:tcPr>
            <w:tcW w:w="1900" w:type="dxa"/>
            <w:vAlign w:val="bottom"/>
          </w:tcPr>
          <w:p>
            <w:pPr>
              <w:spacing w:after="0"/>
              <w:rPr>
                <w:sz w:val="19"/>
                <w:szCs w:val="19"/>
                <w:color w:val="auto"/>
              </w:rPr>
            </w:pPr>
          </w:p>
        </w:tc>
      </w:tr>
      <w:tr>
        <w:trPr>
          <w:trHeight w:val="164"/>
        </w:trPr>
        <w:tc>
          <w:tcPr>
            <w:tcW w:w="2400" w:type="dxa"/>
            <w:vAlign w:val="bottom"/>
          </w:tcPr>
          <w:p>
            <w:pPr>
              <w:spacing w:after="0"/>
              <w:rPr>
                <w:sz w:val="14"/>
                <w:szCs w:val="14"/>
                <w:color w:val="auto"/>
              </w:rPr>
            </w:pPr>
          </w:p>
        </w:tc>
        <w:tc>
          <w:tcPr>
            <w:tcW w:w="5020" w:type="dxa"/>
            <w:vAlign w:val="bottom"/>
            <w:gridSpan w:val="2"/>
          </w:tcPr>
          <w:p>
            <w:pPr>
              <w:jc w:val="center"/>
              <w:ind w:right="1877"/>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138"/>
        </w:trPr>
        <w:tc>
          <w:tcPr>
            <w:tcW w:w="2400" w:type="dxa"/>
            <w:vAlign w:val="bottom"/>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r>
    </w:tbl>
    <w:p>
      <w:pPr>
        <w:spacing w:after="0" w:line="319"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1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241" w:lineRule="exact"/>
        <w:rPr>
          <w:sz w:val="24"/>
          <w:szCs w:val="24"/>
          <w:color w:val="auto"/>
        </w:rPr>
      </w:pPr>
    </w:p>
    <w:p>
      <w:pPr>
        <w:ind w:left="660"/>
        <w:spacing w:after="0" w:line="161" w:lineRule="exact"/>
        <w:tabs>
          <w:tab w:leader="none" w:pos="3520" w:val="left"/>
          <w:tab w:leader="none" w:pos="6200" w:val="left"/>
          <w:tab w:leader="none" w:pos="89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82" w:lineRule="exact"/>
        <w:rPr>
          <w:sz w:val="24"/>
          <w:szCs w:val="24"/>
          <w:color w:val="auto"/>
        </w:rPr>
      </w:pPr>
    </w:p>
    <w:p>
      <w:pPr>
        <w:jc w:val="center"/>
        <w:ind w:left="540" w:right="260"/>
        <w:spacing w:after="0" w:line="253" w:lineRule="auto"/>
        <w:rPr>
          <w:sz w:val="20"/>
          <w:szCs w:val="20"/>
          <w:color w:val="auto"/>
        </w:rPr>
      </w:pPr>
      <w:r>
        <w:rPr>
          <w:rFonts w:ascii="Arial" w:cs="Arial" w:eastAsia="Arial" w:hAnsi="Arial"/>
          <w:sz w:val="14"/>
          <w:szCs w:val="14"/>
          <w:color w:val="auto"/>
        </w:rPr>
        <w:t>Emerging growth company o       If an emerging growth company, indicate by check mark if the registrant has elected not to use the extended transition period for complying with any new or revised financial accounting standards provided pursuant to Section 13 (a) of the Exchange Act o</w:t>
      </w:r>
    </w:p>
    <w:p>
      <w:pPr>
        <w:spacing w:after="0" w:line="336"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23, 2017, there were 46,185,364 shares of the registrant’s common stock, $0.01 par value, outstanding.</w:t>
      </w:r>
    </w:p>
    <w:p>
      <w:pPr>
        <w:sectPr>
          <w:pgSz w:w="11900" w:h="16838" w:orient="portrait"/>
          <w:cols w:equalWidth="0" w:num="1">
            <w:col w:w="11320"/>
          </w:cols>
          <w:pgMar w:left="24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r>
      <w:tr>
        <w:trPr>
          <w:trHeight w:val="230"/>
        </w:trPr>
        <w:tc>
          <w:tcPr>
            <w:tcW w:w="9940" w:type="dxa"/>
            <w:vAlign w:val="bottom"/>
            <w:gridSpan w:val="20"/>
          </w:tcPr>
          <w:p>
            <w:pPr>
              <w:spacing w:after="0"/>
              <w:rPr>
                <w:sz w:val="20"/>
                <w:szCs w:val="20"/>
                <w:color w:val="auto"/>
              </w:rPr>
            </w:pPr>
            <w:r>
              <w:rPr>
                <w:rFonts w:ascii="Arial" w:cs="Arial" w:eastAsia="Arial" w:hAnsi="Arial"/>
                <w:sz w:val="18"/>
                <w:szCs w:val="18"/>
                <w:b w:val="1"/>
                <w:bCs w:val="1"/>
                <w:color w:val="auto"/>
              </w:rPr>
              <w:t>Part I – FINANCIAL INFORMATION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8"/>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as of September 30, 2017 and March 31, 2017 (as adjusted)</w:t>
              </w:r>
            </w:hyperlink>
          </w:p>
        </w:tc>
        <w:tc>
          <w:tcPr>
            <w:tcW w:w="6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120" w:type="dxa"/>
            <w:vAlign w:val="bottom"/>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Consolidated Statements of Loss for the three and six months ended September 30, 2017 and 2016 (as</w:t>
              </w:r>
            </w:hyperlink>
          </w:p>
        </w:tc>
        <w:tc>
          <w:tcPr>
            <w:tcW w:w="720" w:type="dxa"/>
            <w:vAlign w:val="bottom"/>
            <w:gridSpan w:val="3"/>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adjusted)</w:t>
              </w:r>
            </w:hyperlink>
          </w:p>
        </w:tc>
        <w:tc>
          <w:tcPr>
            <w:tcW w:w="7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40" w:type="dxa"/>
            <w:vAlign w:val="bottom"/>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 for the three and six months ended September 30,</w:t>
              </w:r>
            </w:hyperlink>
          </w:p>
        </w:tc>
        <w:tc>
          <w:tcPr>
            <w:tcW w:w="200" w:type="dxa"/>
            <w:vAlign w:val="bottom"/>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2017 and 2016 (as adjusted)</w:t>
              </w:r>
            </w:hyperlink>
          </w:p>
        </w:tc>
        <w:tc>
          <w:tcPr>
            <w:tcW w:w="6640" w:type="dxa"/>
            <w:vAlign w:val="bottom"/>
            <w:tcBorders>
              <w:top w:val="single" w:sz="8" w:color="0000EE"/>
            </w:tcBorders>
            <w:gridSpan w:val="10"/>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60" w:type="dxa"/>
            <w:vAlign w:val="bottom"/>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 of Stockholders’ Equity for the six months ended September 30, 2017</w:t>
              </w:r>
            </w:hyperlink>
          </w:p>
        </w:tc>
        <w:tc>
          <w:tcPr>
            <w:tcW w:w="1280" w:type="dxa"/>
            <w:vAlign w:val="bottom"/>
            <w:gridSpan w:val="4"/>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20" w:type="dxa"/>
            <w:vAlign w:val="bottom"/>
            <w:gridSpan w:val="1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Unaudited Consolidated Statements of Cash Flows for the six months ended September 30, 2017 and 2016 (as adjusted)</w:t>
              </w:r>
            </w:hyperlink>
          </w:p>
        </w:tc>
        <w:tc>
          <w:tcPr>
            <w:tcW w:w="220" w:type="dxa"/>
            <w:vAlign w:val="bottom"/>
            <w:gridSpan w:val="2"/>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2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220" w:type="dxa"/>
            <w:vAlign w:val="bottom"/>
            <w:gridSpan w:val="2"/>
          </w:tcPr>
          <w:p>
            <w:pPr>
              <w:spacing w:after="0"/>
              <w:rPr>
                <w:sz w:val="21"/>
                <w:szCs w:val="21"/>
                <w:color w:val="auto"/>
              </w:rPr>
            </w:pPr>
          </w:p>
        </w:tc>
        <w:tc>
          <w:tcPr>
            <w:tcW w:w="62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Quantitative and Qualitative Disclosures about Market Risk</w:t>
              </w:r>
            </w:hyperlink>
          </w:p>
        </w:tc>
        <w:tc>
          <w:tcPr>
            <w:tcW w:w="2140" w:type="dxa"/>
            <w:vAlign w:val="bottom"/>
            <w:tcBorders>
              <w:top w:val="single" w:sz="8" w:color="0000EE"/>
            </w:tcBorders>
          </w:tcPr>
          <w:p>
            <w:pPr>
              <w:spacing w:after="0"/>
              <w:rPr>
                <w:sz w:val="21"/>
                <w:szCs w:val="21"/>
                <w:color w:val="auto"/>
              </w:rPr>
            </w:pPr>
          </w:p>
        </w:tc>
        <w:tc>
          <w:tcPr>
            <w:tcW w:w="2420" w:type="dxa"/>
            <w:vAlign w:val="bottom"/>
            <w:gridSpan w:val="6"/>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Controls and Procedures</w:t>
              </w:r>
            </w:hyperlink>
          </w:p>
        </w:tc>
        <w:tc>
          <w:tcPr>
            <w:tcW w:w="7100" w:type="dxa"/>
            <w:vAlign w:val="bottom"/>
            <w:gridSpan w:val="12"/>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c>
          <w:tcPr>
            <w:tcW w:w="20" w:type="dxa"/>
            <w:vAlign w:val="bottom"/>
          </w:tcPr>
          <w:p>
            <w:pPr>
              <w:spacing w:after="0"/>
              <w:rPr>
                <w:sz w:val="21"/>
                <w:szCs w:val="21"/>
                <w:color w:val="auto"/>
              </w:rPr>
            </w:pPr>
          </w:p>
        </w:tc>
      </w:tr>
      <w:tr>
        <w:trPr>
          <w:trHeight w:val="574"/>
        </w:trPr>
        <w:tc>
          <w:tcPr>
            <w:tcW w:w="9940" w:type="dxa"/>
            <w:vAlign w:val="bottom"/>
            <w:gridSpan w:val="2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320" w:type="dxa"/>
            <w:vAlign w:val="bottom"/>
            <w:tcBorders>
              <w:top w:val="single" w:sz="8" w:color="0000EE"/>
            </w:tcBorders>
          </w:tcPr>
          <w:p>
            <w:pPr>
              <w:spacing w:after="0"/>
              <w:rPr>
                <w:sz w:val="21"/>
                <w:szCs w:val="21"/>
                <w:color w:val="auto"/>
              </w:rPr>
            </w:pPr>
          </w:p>
        </w:tc>
        <w:tc>
          <w:tcPr>
            <w:tcW w:w="7220" w:type="dxa"/>
            <w:vAlign w:val="bottom"/>
            <w:gridSpan w:val="13"/>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2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60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 of Equity Securities and Use of Proceeds</w:t>
              </w:r>
            </w:hyperlink>
          </w:p>
        </w:tc>
        <w:tc>
          <w:tcPr>
            <w:tcW w:w="6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4600" w:type="dxa"/>
            <w:vAlign w:val="bottom"/>
            <w:gridSpan w:val="8"/>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Mine Safety Disclosures</w:t>
              </w:r>
            </w:hyperlink>
          </w:p>
        </w:tc>
        <w:tc>
          <w:tcPr>
            <w:tcW w:w="540" w:type="dxa"/>
            <w:vAlign w:val="bottom"/>
            <w:tcBorders>
              <w:top w:val="single" w:sz="8" w:color="0000EE"/>
            </w:tcBorders>
            <w:gridSpan w:val="2"/>
          </w:tcPr>
          <w:p>
            <w:pPr>
              <w:spacing w:after="0"/>
              <w:rPr>
                <w:sz w:val="21"/>
                <w:szCs w:val="21"/>
                <w:color w:val="auto"/>
              </w:rPr>
            </w:pPr>
          </w:p>
        </w:tc>
        <w:tc>
          <w:tcPr>
            <w:tcW w:w="6560" w:type="dxa"/>
            <w:vAlign w:val="bottom"/>
            <w:gridSpan w:val="10"/>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Other Information</w:t>
              </w:r>
            </w:hyperlink>
          </w:p>
        </w:tc>
        <w:tc>
          <w:tcPr>
            <w:tcW w:w="7560" w:type="dxa"/>
            <w:vAlign w:val="bottom"/>
            <w:gridSpan w:val="15"/>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20" w:type="dxa"/>
            <w:vAlign w:val="bottom"/>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8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SIGNATURES</w:t>
              </w:r>
            </w:hyperlink>
          </w:p>
        </w:tc>
        <w:tc>
          <w:tcPr>
            <w:tcW w:w="8840" w:type="dxa"/>
            <w:vAlign w:val="bottom"/>
            <w:gridSpan w:val="18"/>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c>
          <w:tcPr>
            <w:tcW w:w="20" w:type="dxa"/>
            <w:vAlign w:val="bottom"/>
          </w:tcPr>
          <w:p>
            <w:pPr>
              <w:spacing w:after="0"/>
              <w:rPr>
                <w:sz w:val="24"/>
                <w:szCs w:val="24"/>
                <w:color w:val="auto"/>
              </w:rPr>
            </w:pPr>
          </w:p>
        </w:tc>
      </w:tr>
      <w:tr>
        <w:trPr>
          <w:trHeight w:val="588"/>
        </w:trPr>
        <w:tc>
          <w:tcPr>
            <w:tcW w:w="980" w:type="dxa"/>
            <w:vAlign w:val="bottom"/>
            <w:tcBorders>
              <w:bottom w:val="single" w:sz="8" w:color="0000EE"/>
            </w:tcBorders>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Exhibit Index</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c>
          <w:tcPr>
            <w:tcW w:w="20" w:type="dxa"/>
            <w:vAlign w:val="bottom"/>
          </w:tcPr>
          <w:p>
            <w:pPr>
              <w:spacing w:after="0"/>
              <w:rPr>
                <w:sz w:val="24"/>
                <w:szCs w:val="24"/>
                <w:color w:val="auto"/>
              </w:rPr>
            </w:pPr>
          </w:p>
        </w:tc>
      </w:tr>
      <w:tr>
        <w:trPr>
          <w:trHeight w:val="291"/>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31.1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31.2</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32.1</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940" w:type="dxa"/>
            <w:vAlign w:val="bottom"/>
            <w:gridSpan w:val="20"/>
          </w:tcPr>
          <w:p>
            <w:pPr>
              <w:ind w:left="340"/>
              <w:spacing w:after="0"/>
              <w:rPr>
                <w:sz w:val="20"/>
                <w:szCs w:val="20"/>
                <w:color w:val="auto"/>
              </w:rPr>
            </w:pPr>
            <w:r>
              <w:rPr>
                <w:rFonts w:ascii="Arial" w:cs="Arial" w:eastAsia="Arial" w:hAnsi="Arial"/>
                <w:sz w:val="18"/>
                <w:szCs w:val="18"/>
                <w:color w:val="auto"/>
              </w:rPr>
              <w:t>Exhibit 32.2</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ectPr>
          <w:pgSz w:w="11900" w:h="16838" w:orient="portrait"/>
          <w:cols w:equalWidth="0" w:num="1">
            <w:col w:w="10600"/>
          </w:cols>
          <w:pgMar w:left="240" w:top="125" w:right="10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6"/>
                <w:szCs w:val="16"/>
                <w:color w:val="auto"/>
              </w:rPr>
            </w:pPr>
          </w:p>
        </w:tc>
        <w:tc>
          <w:tcPr>
            <w:tcW w:w="128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March 31, 2017</w:t>
            </w:r>
          </w:p>
        </w:tc>
      </w:tr>
      <w:tr>
        <w:trPr>
          <w:trHeight w:val="232"/>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As adjusted -</w:t>
            </w:r>
          </w:p>
        </w:tc>
      </w:tr>
      <w:tr>
        <w:trPr>
          <w:trHeight w:val="192"/>
        </w:trPr>
        <w:tc>
          <w:tcPr>
            <w:tcW w:w="8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See Note 2</w:t>
            </w:r>
          </w:p>
        </w:tc>
      </w:tr>
      <w:tr>
        <w:trPr>
          <w:trHeight w:val="230"/>
        </w:trPr>
        <w:tc>
          <w:tcPr>
            <w:tcW w:w="8360" w:type="dxa"/>
            <w:vAlign w:val="bottom"/>
          </w:tcPr>
          <w:p>
            <w:pPr>
              <w:ind w:left="378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363,331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329,491</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120,693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129,699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140,084</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653,231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606,059</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50,228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129,712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132,319</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commissions cost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30,455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30,378</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877,945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829,878</w:t>
            </w:r>
          </w:p>
        </w:tc>
      </w:tr>
      <w:tr>
        <w:trPr>
          <w:trHeight w:val="67"/>
        </w:trPr>
        <w:tc>
          <w:tcPr>
            <w:tcW w:w="83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21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78,701</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209,099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280,094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287,917</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70,803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4,226</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Preferred stock, $0.01 par value: 50,000 shares authorized, no shares issued and outstanding at September 30,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and March 31, 2017</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7"/>
              </w:rPr>
              <w:t>Common stock, $0.01 par value: 250,000 shares authorized, 45,695 shares and 44,816 shares issued and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outstanding at September 30, 2017 and March 31, 2017, respectively</w:t>
            </w:r>
          </w:p>
        </w:tc>
        <w:tc>
          <w:tcPr>
            <w:tcW w:w="12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447</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694,477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(215,677)</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515,283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466,932</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877,945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829,878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Consolidated Statements of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6"/>
                <w:szCs w:val="16"/>
                <w:color w:val="auto"/>
              </w:rPr>
            </w:pPr>
          </w:p>
        </w:tc>
        <w:tc>
          <w:tcPr>
            <w:tcW w:w="232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32"/>
        </w:trPr>
        <w:tc>
          <w:tcPr>
            <w:tcW w:w="5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As Adjusted -</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As Adjusted -</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See Note 2</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See Note 2</w:t>
            </w: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Software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72,020</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70,405</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146,781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133,818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89,033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187,331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177,394</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168,140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159,438</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334,112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311,212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20,884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23,267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21,657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44,928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42,652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137,781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268,560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94,195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186,926</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22,925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20,221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45,470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39,449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21,314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41,252</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2,109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137,839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271,846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affiliate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44,589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44,417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44,589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44,417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5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190"/>
        </w:trPr>
        <w:tc>
          <w:tcPr>
            <w:tcW w:w="5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2016</w:t>
            </w:r>
          </w:p>
        </w:tc>
      </w:tr>
      <w:tr>
        <w:trPr>
          <w:trHeight w:val="232"/>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As Adjusted -</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As Adjusted -</w:t>
            </w:r>
          </w:p>
        </w:tc>
      </w:t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See Note 2</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See Note 2</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4,620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3,326</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(4,183)</w:t>
            </w: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9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480" w:type="dxa"/>
            <w:vAlign w:val="bottom"/>
          </w:tcPr>
          <w:p>
            <w:pPr>
              <w:spacing w:after="0"/>
              <w:rPr>
                <w:sz w:val="6"/>
                <w:szCs w:val="6"/>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2017 - As Adjusted</w:t>
            </w:r>
          </w:p>
        </w:tc>
        <w:tc>
          <w:tcPr>
            <w:tcW w:w="9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44,816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694,477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Cumulative Effect of Adoption of ASU 2016-09</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39,385</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w w:val="94"/>
              </w:rPr>
              <w:t>Share issuances related to stock-based compensation</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16,724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16,735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4,620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Balance as of September 30, 2017</w:t>
            </w: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45,695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749,544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515,283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90"/>
        </w:trPr>
        <w:tc>
          <w:tcPr>
            <w:tcW w:w="7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5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32"/>
        </w:trPr>
        <w:tc>
          <w:tcPr>
            <w:tcW w:w="7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As Adjusted -</w:t>
            </w:r>
          </w:p>
        </w:tc>
        <w:tc>
          <w:tcPr>
            <w:tcW w:w="0" w:type="dxa"/>
            <w:vAlign w:val="bottom"/>
          </w:tcPr>
          <w:p>
            <w:pPr>
              <w:spacing w:after="0"/>
              <w:rPr>
                <w:sz w:val="1"/>
                <w:szCs w:val="1"/>
                <w:color w:val="auto"/>
              </w:rPr>
            </w:pPr>
          </w:p>
        </w:tc>
      </w:tr>
      <w:tr>
        <w:trPr>
          <w:trHeight w:val="192"/>
        </w:trPr>
        <w:tc>
          <w:tcPr>
            <w:tcW w:w="7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See Note 2</w:t>
            </w: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36,043</w:t>
            </w: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Equity in loss of affiliate</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commissions cost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43"/>
        </w:trPr>
        <w:tc>
          <w:tcPr>
            <w:tcW w:w="74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8,251</w:t>
            </w:r>
          </w:p>
        </w:tc>
        <w:tc>
          <w:tcPr>
            <w:tcW w:w="0" w:type="dxa"/>
            <w:vAlign w:val="bottom"/>
          </w:tcPr>
          <w:p>
            <w:pPr>
              <w:spacing w:after="0"/>
              <w:rPr>
                <w:sz w:val="1"/>
                <w:szCs w:val="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Other current assets and Other assets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commissions cost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3"/>
        </w:trPr>
        <w:tc>
          <w:tcPr>
            <w:tcW w:w="746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44,286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Purchase of short-term investments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(66,609)</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maturity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47,849</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(20,840)</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Proceeds from stock-based compensation plans</w:t>
            </w:r>
          </w:p>
        </w:tc>
        <w:tc>
          <w:tcPr>
            <w:tcW w:w="320" w:type="dxa"/>
            <w:vAlign w:val="bottom"/>
          </w:tcPr>
          <w:p>
            <w:pPr>
              <w:spacing w:after="0"/>
              <w:rPr>
                <w:sz w:val="21"/>
                <w:szCs w:val="21"/>
                <w:color w:val="auto"/>
              </w:rPr>
            </w:pPr>
          </w:p>
        </w:tc>
        <w:tc>
          <w:tcPr>
            <w:tcW w:w="1160" w:type="dxa"/>
            <w:vAlign w:val="bottom"/>
            <w:vMerge w:val="restart"/>
          </w:tcPr>
          <w:p>
            <w:pPr>
              <w:jc w:val="right"/>
              <w:ind w:right="11"/>
              <w:spacing w:after="0"/>
              <w:rPr>
                <w:sz w:val="20"/>
                <w:szCs w:val="20"/>
                <w:color w:val="auto"/>
              </w:rPr>
            </w:pPr>
            <w:r>
              <w:rPr>
                <w:rFonts w:ascii="Arial" w:cs="Arial" w:eastAsia="Arial" w:hAnsi="Arial"/>
                <w:sz w:val="18"/>
                <w:szCs w:val="18"/>
                <w:color w:val="auto"/>
              </w:rPr>
              <w:t>16,735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tax benefits from stock-based compensation (see Note 2)</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12,654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Effects of exchange rate — changes in cash</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33,687</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329,491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288,107</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363,331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321,794</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unaudited notes to consolidated financial statements</w:t>
      </w:r>
    </w:p>
    <w:p>
      <w:pPr>
        <w:sectPr>
          <w:pgSz w:w="11900" w:h="16838" w:orient="portrait"/>
          <w:cols w:equalWidth="0" w:num="1">
            <w:col w:w="10980"/>
          </w:cols>
          <w:pgMar w:left="240" w:top="12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80"/>
          </w:cols>
          <w:pgMar w:left="240" w:top="125" w:right="67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39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Commvault Systems, Inc. and its subsidiaries (“Commvault” or the “Company”) is a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The Company also provides its customers with a broad range of professional and customer support services.</w:t>
      </w:r>
    </w:p>
    <w:p>
      <w:pPr>
        <w:spacing w:after="0" w:line="12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consolidated financial statements as of September 30, 2017 and for the three and six months ended September 30, 2017 and 2016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2017. The results reported in these financial statements should not necessarily be taken as indicative of results that may be expected for the entire fiscal year. The Company has early adopted the new revenue standard as of April 1, 2017 using the full retrospective method which required each prior reporting period presented to be adjusted beginning with this issuance of the Company’s financial statements.</w:t>
      </w:r>
    </w:p>
    <w:p>
      <w:pPr>
        <w:spacing w:after="0" w:line="113"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During fiscal 2018 the Company adopted new accounting guidance related to revenue recognition and accounting for share-based compensation which is described below. There have been no other significant changes in the Company’s accounting policies during the six months ended September 30, 2017 as compared to the significant accounting policies described in its Annual Report on Form 10-K for the year ended March 31, 2017.</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This standard replaced existing revenue recognition rules with a comprehensive revenue measurement and recognition standard and expanded disclosure requirements. The ASU also includes guidance regarding the accounting for contract acquisition costs, which includes sales commissions. The Company has early adopted the new standard as of April 1, 2017 using the full retrospective method which required each prior reporting period presented to be adjusted beginning with this issuance of the Company’s financial statements. The most significant impact of adopting the new standard related to the deferral of commission costs. A portion of sales commissions cost is now recorded as an asset and recognized as an operating expense over the time period that the Company expects to recover the costs.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color w:val="auto"/>
        </w:rPr>
        <w:t>Select adjusted unaudited financial statement information, which reflect the adoption of Topic 606 is below. The Company’s historical net cash flows are not impacted by this accounting change.</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3"/>
              </w:rPr>
              <w:t>Three Months Ended September 30, 2016</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Unaudited</w:t>
            </w: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3"/>
                <w:szCs w:val="13"/>
                <w:color w:val="auto"/>
              </w:rPr>
            </w:pPr>
          </w:p>
        </w:tc>
        <w:tc>
          <w:tcPr>
            <w:tcW w:w="176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4"/>
              </w:rPr>
              <w:t>Adjusted for Adoption of</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7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70,405</w:t>
            </w:r>
          </w:p>
        </w:tc>
        <w:tc>
          <w:tcPr>
            <w:tcW w:w="0" w:type="dxa"/>
            <w:vAlign w:val="bottom"/>
          </w:tcPr>
          <w:p>
            <w:pPr>
              <w:spacing w:after="0"/>
              <w:rPr>
                <w:sz w:val="1"/>
                <w:szCs w:val="1"/>
                <w:color w:val="auto"/>
              </w:rPr>
            </w:pPr>
          </w:p>
        </w:tc>
      </w:tr>
      <w:tr>
        <w:trPr>
          <w:trHeight w:val="243"/>
        </w:trPr>
        <w:tc>
          <w:tcPr>
            <w:tcW w:w="38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88,876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89,033</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159,438</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21,657</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137,781</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138,433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137,839</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Equity in loss of affiliate</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Six Months Ended September 30, 2016</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Unaudited</w:t>
            </w:r>
          </w:p>
        </w:tc>
        <w:tc>
          <w:tcPr>
            <w:tcW w:w="1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3"/>
                <w:szCs w:val="13"/>
                <w:color w:val="auto"/>
              </w:rPr>
            </w:pPr>
          </w:p>
        </w:tc>
        <w:tc>
          <w:tcPr>
            <w:tcW w:w="176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4"/>
              </w:rPr>
              <w:t>Adjusted for Adoption of</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Revenues:</w:t>
            </w:r>
          </w:p>
        </w:tc>
        <w:tc>
          <w:tcPr>
            <w:tcW w:w="1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176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7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133,818</w:t>
            </w:r>
          </w:p>
        </w:tc>
        <w:tc>
          <w:tcPr>
            <w:tcW w:w="0" w:type="dxa"/>
            <w:vAlign w:val="bottom"/>
          </w:tcPr>
          <w:p>
            <w:pPr>
              <w:spacing w:after="0"/>
              <w:rPr>
                <w:sz w:val="1"/>
                <w:szCs w:val="1"/>
                <w:color w:val="auto"/>
              </w:rPr>
            </w:pPr>
          </w:p>
        </w:tc>
      </w:tr>
      <w:tr>
        <w:trPr>
          <w:trHeight w:val="243"/>
        </w:trPr>
        <w:tc>
          <w:tcPr>
            <w:tcW w:w="38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177,352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177,394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311,746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311,212</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42,652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42,652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268,560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272,399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271,846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Equity in loss of affiliate</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7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8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25" w:right="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5"/>
          </w:tcPr>
          <w:p>
            <w:pPr>
              <w:jc w:val="center"/>
              <w:ind w:right="1473"/>
              <w:spacing w:after="0"/>
              <w:rPr>
                <w:sz w:val="20"/>
                <w:szCs w:val="20"/>
                <w:color w:val="auto"/>
              </w:rPr>
            </w:pPr>
            <w:r>
              <w:rPr>
                <w:rFonts w:ascii="Arial" w:cs="Arial" w:eastAsia="Arial" w:hAnsi="Arial"/>
                <w:sz w:val="14"/>
                <w:szCs w:val="14"/>
                <w:b w:val="1"/>
                <w:bCs w:val="1"/>
                <w:color w:val="auto"/>
                <w:w w:val="92"/>
              </w:rPr>
              <w:t>Unaudited Balance Sheet Data</w:t>
            </w: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3"/>
                <w:szCs w:val="13"/>
                <w:color w:val="auto"/>
              </w:rPr>
            </w:pPr>
          </w:p>
        </w:tc>
        <w:tc>
          <w:tcPr>
            <w:tcW w:w="176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w w:val="94"/>
              </w:rPr>
              <w:t>Adjusted for Adoption of</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right"/>
              <w:ind w:right="593"/>
              <w:spacing w:after="0"/>
              <w:rPr>
                <w:sz w:val="20"/>
                <w:szCs w:val="20"/>
                <w:color w:val="auto"/>
              </w:rPr>
            </w:pPr>
            <w:r>
              <w:rPr>
                <w:rFonts w:ascii="Arial" w:cs="Arial" w:eastAsia="Arial" w:hAnsi="Arial"/>
                <w:sz w:val="14"/>
                <w:szCs w:val="14"/>
                <w:b w:val="1"/>
                <w:bCs w:val="1"/>
                <w:color w:val="auto"/>
              </w:rPr>
              <w:t>ASC 606</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140,084</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598,736</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606,059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50,228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Deferred commissions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30,378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30,378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802,967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829,878</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209,099</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285,595</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287,917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(239,974)</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24,297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(215,677)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802,967</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26,911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829,878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60" w:firstLine="180"/>
        <w:spacing w:after="0" w:line="26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which simplifies the accounting for share-based payment transactions, including related accounting for income taxes, forfeitures, and classification in the statement of cash flows. The Company adopted the guidance prospectively effective April 1, 2017.</w:t>
      </w:r>
    </w:p>
    <w:p>
      <w:pPr>
        <w:spacing w:after="0" w:line="181" w:lineRule="exact"/>
        <w:rPr>
          <w:sz w:val="20"/>
          <w:szCs w:val="20"/>
          <w:color w:val="auto"/>
        </w:rPr>
      </w:pPr>
    </w:p>
    <w:p>
      <w:pPr>
        <w:ind w:firstLine="216"/>
        <w:spacing w:after="0" w:line="253" w:lineRule="auto"/>
        <w:rPr>
          <w:sz w:val="20"/>
          <w:szCs w:val="20"/>
          <w:color w:val="auto"/>
        </w:rPr>
      </w:pPr>
      <w:r>
        <w:rPr>
          <w:rFonts w:ascii="Arial" w:cs="Arial" w:eastAsia="Arial" w:hAnsi="Arial"/>
          <w:sz w:val="18"/>
          <w:szCs w:val="18"/>
          <w:color w:val="auto"/>
        </w:rPr>
        <w:t>The guidance requires excess tax benefits and tax deficiencies to be recorded as income tax benefit or expense in the statement of income when the awards vest or are settled, and eliminates the requirement to reclassify cash flows related to excess tax benefits from operating activities to financing activities on the statement of cash flows. In the six months ended September 30, 2017, the Company recognized $3,781 of such excess tax benefits, and, pursuant to the adopted guidance, net loss decreased by $3,781, or $0.08 per basic and diluted share. Amounts previously recorded to Additional paid-in capital related to excess tax benefits prior to April 1, 2017 remain in Stockholders' equity. Cash flows related to excess taxes prior to April 1, 2017 remain classified as financing cash flows. In addition, the standard allows the Company to repurchase more of an employee’s vesting shares for tax withholding purposes without triggering liability accounting, and provides an accounting policy election to account for forfeitures as they occur. The Company has elected to account for forfeitures as they occur. The cumulative impact of the election to account for forfeitures as they are incurred is included as an adjustment to accumulated deficit.</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20" w:firstLine="180"/>
        <w:spacing w:after="0" w:line="257"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amendments of this ASU are effective for the Company's fiscal 2020, with early adoption permitted. A company will be required to recognize and measure leases at the beginning of the earliest period presented using a modified retrospective approach. The Company is currently assessing the impact the adoption of ASU 2016-02 will have on the financial statements.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17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Trade and other receivables are primarily comprised of trade receivables that are recorded at the invoice amount, net of an allowance for doubtful accounts, which is not material. Unbilled receivables represent amounts for which revenue has been recognized but which have not yet been invoiced to the customer. The current portion of unbilled receivables is included in Trade accounts receivable on the consolidated balance sheet. Long term unbilled receivables are included in Other assets.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Tax</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records revenue net of sales tax.</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and handling costs are included in cost of revenues for all periods presented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Commissions Cost</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Sales commissions and related payroll taxes earned by the Company's employees are considered incremental and recoverable costs of obtaining a contract with a customer. The Company’s typical contracts include performance obligations related to software licenses, software updates, customer support and other professional services.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The Company does not pay commissions on annual renewals of contracts for software updates and customer support for perpetual licenses. The costs allocated to software are expensed at the time of sale, when revenue for the functional software license is recognized. The costs allocated to software updates and customer support for perpetual licenses are amortized ratably over a period of approximately five years, the expected period of benefit of the asset capitalized. The Company currently estimates a period of five years is appropriate based on consideration of historical average customer life and the estimated useful life of the underlying software sold as part of the transaction. The costs related to professional services are amortized within one quarter following the date of the related software sale, which is typically the period the related professional services are provided and revenue is recognized. Amortization expense related to these costs is included in Sales and marketing expenses in the accompanying condensed consolidated statements of loss.</w:t>
      </w:r>
    </w:p>
    <w:p>
      <w:pPr>
        <w:spacing w:after="0" w:line="119"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Costs related to software updates and support for term-based, or subscription software licenses, are limited to the contractual period of the arrangement as the Company intends to pay a commensurate commission upon renewal of the subscription license and related updates and support.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the Company. The value of deferred revenues will increase or decrease based on the timing of invoices and recognition of revenue.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1"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During the first quarter of fiscal 2018, one of our Directors, Joseph F. Eazor, was hired as the CEO of Rackspace, Inc ("Rackspace"). Prior to his appointment as CEO, the Company completed the sale of $4,212 of software and related services to Rackspace. Total recognized revenue related to Rackspace in the first six months of fiscal 2018 was $4,539. The outstanding accounts receivable from this customer as of September 30, 2017 is $2,759.</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approximately 36% and 35% of total revenues for the six months ended September 30, 2017 and 2016, respectively. Arrow accounted for approximately 37% of total accounts receivable as of September 30, 2017 and 40% of total accounts receivable as of March 31, 2017.</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carrying amounts of the Company’s cash and cash equivalents, accounts receivable and accounts payable approximate their fair values due to the short-term maturity of these instruments. The Company’s cash equivalents balance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consists primarily of money market funds. The Company’s short-term investments balance consists of U.S. Treasury Bills with maturities of one year or 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its short-term investments as held to maturity.</w:t>
      </w:r>
    </w:p>
    <w:p>
      <w:pPr>
        <w:spacing w:after="0" w:line="157"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the Company uses the following fair value hierarchy based on three levels of inputs, of which the first two are considered observable and the last unobservable: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composition of the Company’s financial assets measured at fair value at September 30, 2017 and March 31, 2017:</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2017</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89,944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89,944</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131,719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131,719</w:t>
            </w:r>
          </w:p>
        </w:tc>
      </w:tr>
      <w:tr>
        <w:trPr>
          <w:trHeight w:val="554"/>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70,190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70,190</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120,989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120,989</w:t>
            </w:r>
          </w:p>
        </w:tc>
      </w:tr>
    </w:tbl>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w:t>
      </w:r>
    </w:p>
    <w:p>
      <w:pPr>
        <w:spacing w:after="0" w:line="9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accounts for revenue in accordance with ASC Topic 606, Revenue from Contracts with Customers, which was adopted on April 1, 2017, using the full retrospective method.</w:t>
      </w:r>
    </w:p>
    <w:p>
      <w:pPr>
        <w:spacing w:after="0" w:line="116" w:lineRule="exact"/>
        <w:rPr>
          <w:sz w:val="20"/>
          <w:szCs w:val="20"/>
          <w:color w:val="auto"/>
        </w:rPr>
      </w:pPr>
    </w:p>
    <w:p>
      <w:pPr>
        <w:jc w:val="both"/>
        <w:ind w:right="280" w:firstLine="500"/>
        <w:spacing w:after="0" w:line="264" w:lineRule="auto"/>
        <w:rPr>
          <w:sz w:val="20"/>
          <w:szCs w:val="20"/>
          <w:color w:val="auto"/>
        </w:rPr>
      </w:pPr>
      <w:r>
        <w:rPr>
          <w:rFonts w:ascii="Arial" w:cs="Arial" w:eastAsia="Arial" w:hAnsi="Arial"/>
          <w:sz w:val="18"/>
          <w:szCs w:val="18"/>
          <w:color w:val="auto"/>
        </w:rPr>
        <w:t>The Company derives revenues from two primary sources: software licenses and services. Services include customer support (software updates and technical support), consulting, assessment and design services, installation services and customer education. A typical contract includes both licenses and services.</w:t>
      </w:r>
    </w:p>
    <w:p>
      <w:pPr>
        <w:spacing w:after="0" w:line="127" w:lineRule="exact"/>
        <w:rPr>
          <w:sz w:val="20"/>
          <w:szCs w:val="20"/>
          <w:color w:val="auto"/>
        </w:rPr>
      </w:pPr>
    </w:p>
    <w:p>
      <w:pPr>
        <w:ind w:right="160" w:firstLine="500"/>
        <w:spacing w:after="0" w:line="291" w:lineRule="auto"/>
        <w:rPr>
          <w:sz w:val="20"/>
          <w:szCs w:val="20"/>
          <w:color w:val="auto"/>
        </w:rPr>
      </w:pPr>
      <w:r>
        <w:rPr>
          <w:rFonts w:ascii="Arial" w:cs="Arial" w:eastAsia="Arial" w:hAnsi="Arial"/>
          <w:sz w:val="16"/>
          <w:szCs w:val="16"/>
          <w:color w:val="auto"/>
        </w:rPr>
        <w:t>The Company’s software licenses typically provide for a perpetual right to use the Company’s software. The Company also sells term-based software licenses that expire, which are referred to as subscription arrangements. The Company does not customize its software and installation services are not required. The software is delivered before related services are provided and is functional without professional services, updates and technical support. The Company has concluded that its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The Company does not recognize software revenue related to the renewal of subscription software licenses earlier than the beginning of the subscription period.</w:t>
      </w:r>
    </w:p>
    <w:p>
      <w:pPr>
        <w:spacing w:after="0" w:line="16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contractors. Revenue related to other professional services and customer education services is typically recognized as the services are performed.</w:t>
      </w:r>
    </w:p>
    <w:p>
      <w:pPr>
        <w:spacing w:after="0" w:line="23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are typically estimated using the residual approach. Standalone selling prices of services are typically estimated based on observable transactions when these services are sold on a standalone basis.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Software Revenue</w:t>
      </w:r>
    </w:p>
    <w:p>
      <w:pPr>
        <w:sectPr>
          <w:pgSz w:w="11900" w:h="16838" w:orient="portrait"/>
          <w:cols w:equalWidth="0" w:num="1">
            <w:col w:w="11400"/>
          </w:cols>
          <w:pgMar w:left="240" w:top="125" w:right="259" w:bottom="1440" w:gutter="0" w:footer="0" w:header="0"/>
        </w:sectPr>
      </w:pPr>
    </w:p>
    <w:p>
      <w:pPr>
        <w:spacing w:after="0" w:line="6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297180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certain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which are paid for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49" w:lineRule="exact"/>
        <w:rPr>
          <w:sz w:val="20"/>
          <w:szCs w:val="20"/>
          <w:color w:val="auto"/>
        </w:rPr>
      </w:pPr>
    </w:p>
    <w:p>
      <w:pPr>
        <w:sectPr>
          <w:pgSz w:w="11900" w:h="16838" w:orient="portrait"/>
          <w:cols w:equalWidth="0" w:num="2">
            <w:col w:w="5660" w:space="440"/>
            <w:col w:w="530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5"/>
          <w:szCs w:val="15"/>
          <w:i w:val="1"/>
          <w:iCs w:val="1"/>
          <w:color w:val="auto"/>
        </w:rPr>
        <w:t>Customer Support Revenue</w:t>
      </w:r>
    </w:p>
    <w:p>
      <w:pPr>
        <w:sectPr>
          <w:pgSz w:w="11900" w:h="16838" w:orient="portrait"/>
          <w:cols w:equalWidth="0" w:num="1">
            <w:col w:w="11400"/>
          </w:cols>
          <w:pgMar w:left="240" w:top="125" w:right="259" w:bottom="1440" w:gutter="0" w:footer="0" w:header="0"/>
          <w:type w:val="continuous"/>
        </w:sectPr>
      </w:pPr>
    </w:p>
    <w:p>
      <w:pPr>
        <w:spacing w:after="0" w:line="98"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Software Updates</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29475"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80"/>
            <w:col w:w="5300"/>
          </w:cols>
          <w:pgMar w:left="240" w:top="125" w:right="259" w:bottom="1440" w:gutter="0" w:footer="0" w:header="0"/>
          <w:type w:val="continuous"/>
        </w:sectPr>
      </w:pPr>
    </w:p>
    <w:p>
      <w:pPr>
        <w:ind w:left="180"/>
        <w:spacing w:after="0"/>
        <w:tabs>
          <w:tab w:leader="none" w:pos="2200" w:val="left"/>
        </w:tabs>
        <w:rPr>
          <w:sz w:val="20"/>
          <w:szCs w:val="20"/>
          <w:color w:val="auto"/>
        </w:rPr>
      </w:pPr>
      <w:r>
        <w:rPr>
          <w:rFonts w:ascii="Arial" w:cs="Arial" w:eastAsia="Arial" w:hAnsi="Arial"/>
          <w:sz w:val="18"/>
          <w:szCs w:val="18"/>
          <w:color w:val="auto"/>
        </w:rPr>
        <w:t>Customer Support</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80"/>
            <w:col w:w="5300"/>
          </w:cols>
          <w:pgMar w:left="240" w:top="125" w:right="25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Professional Services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Professional</w:t>
            </w:r>
          </w:p>
        </w:tc>
        <w:tc>
          <w:tcPr>
            <w:tcW w:w="3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work is performed (over time)</w:t>
            </w:r>
          </w:p>
        </w:tc>
        <w:tc>
          <w:tcPr>
            <w:tcW w:w="2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Within 90 days of services being</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16"/>
        </w:trPr>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(except for</w:t>
            </w:r>
          </w:p>
        </w:tc>
        <w:tc>
          <w:tcPr>
            <w:tcW w:w="3660" w:type="dxa"/>
            <w:vAlign w:val="bottom"/>
            <w:shd w:val="clear" w:color="auto" w:fill="CCEEFF"/>
          </w:tcPr>
          <w:p>
            <w:pPr>
              <w:spacing w:after="0"/>
              <w:rPr>
                <w:sz w:val="18"/>
                <w:szCs w:val="18"/>
                <w:color w:val="auto"/>
              </w:rPr>
            </w:pPr>
          </w:p>
        </w:tc>
        <w:tc>
          <w:tcPr>
            <w:tcW w:w="2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performed</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37"/>
        </w:trPr>
        <w:tc>
          <w:tcPr>
            <w:tcW w:w="1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r>
      <w:tr>
        <w:trPr>
          <w:trHeight w:val="229"/>
        </w:trPr>
        <w:tc>
          <w:tcPr>
            <w:tcW w:w="1900" w:type="dxa"/>
            <w:vAlign w:val="bottom"/>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tcPr>
          <w:p>
            <w:pPr>
              <w:ind w:left="300"/>
              <w:spacing w:after="0"/>
              <w:rPr>
                <w:sz w:val="20"/>
                <w:szCs w:val="20"/>
                <w:color w:val="auto"/>
              </w:rPr>
            </w:pPr>
            <w:r>
              <w:rPr>
                <w:rFonts w:ascii="Arial" w:cs="Arial" w:eastAsia="Arial" w:hAnsi="Arial"/>
                <w:sz w:val="18"/>
                <w:szCs w:val="18"/>
                <w:color w:val="auto"/>
              </w:rPr>
              <w:t>When the class is taught (point in time)</w:t>
            </w:r>
          </w:p>
        </w:tc>
        <w:tc>
          <w:tcPr>
            <w:tcW w:w="2940" w:type="dxa"/>
            <w:vAlign w:val="bottom"/>
          </w:tcPr>
          <w:p>
            <w:pPr>
              <w:ind w:left="520"/>
              <w:spacing w:after="0"/>
              <w:rPr>
                <w:sz w:val="20"/>
                <w:szCs w:val="20"/>
                <w:color w:val="auto"/>
              </w:rPr>
            </w:pPr>
            <w:r>
              <w:rPr>
                <w:rFonts w:ascii="Arial" w:cs="Arial" w:eastAsia="Arial" w:hAnsi="Arial"/>
                <w:sz w:val="18"/>
                <w:szCs w:val="18"/>
                <w:color w:val="auto"/>
                <w:w w:val="92"/>
              </w:rPr>
              <w:t>Within 90 days of services being</w:t>
            </w:r>
          </w:p>
        </w:tc>
        <w:tc>
          <w:tcPr>
            <w:tcW w:w="2880" w:type="dxa"/>
            <w:vAlign w:val="bottom"/>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30"/>
        </w:trPr>
        <w:tc>
          <w:tcPr>
            <w:tcW w:w="19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940" w:type="dxa"/>
            <w:vAlign w:val="bottom"/>
          </w:tcPr>
          <w:p>
            <w:pPr>
              <w:ind w:left="520"/>
              <w:spacing w:after="0"/>
              <w:rPr>
                <w:sz w:val="20"/>
                <w:szCs w:val="20"/>
                <w:color w:val="auto"/>
              </w:rPr>
            </w:pPr>
            <w:r>
              <w:rPr>
                <w:rFonts w:ascii="Arial" w:cs="Arial" w:eastAsia="Arial" w:hAnsi="Arial"/>
                <w:sz w:val="18"/>
                <w:szCs w:val="18"/>
                <w:color w:val="auto"/>
              </w:rPr>
              <w:t>performed</w:t>
            </w:r>
          </w:p>
        </w:tc>
        <w:tc>
          <w:tcPr>
            <w:tcW w:w="2880" w:type="dxa"/>
            <w:vAlign w:val="bottom"/>
          </w:tcPr>
          <w:p>
            <w:pPr>
              <w:ind w:left="80"/>
              <w:spacing w:after="0"/>
              <w:rPr>
                <w:sz w:val="20"/>
                <w:szCs w:val="20"/>
                <w:color w:val="auto"/>
              </w:rPr>
            </w:pPr>
            <w:r>
              <w:rPr>
                <w:rFonts w:ascii="Arial" w:cs="Arial" w:eastAsia="Arial" w:hAnsi="Arial"/>
                <w:sz w:val="18"/>
                <w:szCs w:val="18"/>
                <w:color w:val="auto"/>
              </w:rPr>
              <w:t>multiple performance obligations</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3"/>
              </w:rPr>
              <w:t>Three Months Ended September 30, 2017</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24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Software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40,704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21,049</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10,267</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72,020</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58,205</w:t>
            </w:r>
          </w:p>
        </w:tc>
        <w:tc>
          <w:tcPr>
            <w:tcW w:w="240" w:type="dxa"/>
            <w:vAlign w:val="bottom"/>
            <w:tcBorders>
              <w:bottom w:val="single" w:sz="8" w:color="BFE4FF"/>
            </w:tcBorders>
            <w:shd w:val="clear" w:color="auto" w:fill="BFE4FF"/>
          </w:tcPr>
          <w:p>
            <w:pPr>
              <w:spacing w:after="0"/>
              <w:rPr>
                <w:sz w:val="21"/>
                <w:szCs w:val="21"/>
                <w:color w:val="auto"/>
              </w:rPr>
            </w:pPr>
          </w:p>
        </w:tc>
        <w:tc>
          <w:tcPr>
            <w:tcW w:w="16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18,625</w:t>
            </w:r>
          </w:p>
        </w:tc>
        <w:tc>
          <w:tcPr>
            <w:tcW w:w="46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8,947</w:t>
            </w:r>
          </w:p>
        </w:tc>
        <w:tc>
          <w:tcPr>
            <w:tcW w:w="48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85,777</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5,965</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2,759</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1,619</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10,343</w:t>
            </w:r>
          </w:p>
        </w:tc>
      </w:tr>
      <w:tr>
        <w:trPr>
          <w:trHeight w:val="27"/>
        </w:trPr>
        <w:tc>
          <w:tcPr>
            <w:tcW w:w="302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104,874</w:t>
            </w:r>
          </w:p>
        </w:tc>
        <w:tc>
          <w:tcPr>
            <w:tcW w:w="24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42,433</w:t>
            </w:r>
          </w:p>
        </w:tc>
        <w:tc>
          <w:tcPr>
            <w:tcW w:w="460" w:type="dxa"/>
            <w:vAlign w:val="bottom"/>
            <w:tcBorders>
              <w:bottom w:val="single" w:sz="8" w:color="auto"/>
            </w:tcBorders>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20,833</w:t>
            </w:r>
          </w:p>
        </w:tc>
        <w:tc>
          <w:tcPr>
            <w:tcW w:w="480" w:type="dxa"/>
            <w:vAlign w:val="bottom"/>
            <w:tcBorders>
              <w:bottom w:val="single" w:sz="8" w:color="auto"/>
            </w:tcBorders>
            <w:shd w:val="clear" w:color="auto" w:fill="BFE4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168,140</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2"/>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jc w:val="right"/>
              <w:ind w:right="131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3"/>
              </w:rPr>
              <w:t>Three Months Ended September 30, 2016</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26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Software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43,922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17,153</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9,330</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70,405</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53,882</w:t>
            </w:r>
          </w:p>
        </w:tc>
        <w:tc>
          <w:tcPr>
            <w:tcW w:w="260" w:type="dxa"/>
            <w:vAlign w:val="bottom"/>
            <w:tcBorders>
              <w:bottom w:val="single" w:sz="8" w:color="BFE4FF"/>
            </w:tcBorders>
            <w:shd w:val="clear" w:color="auto" w:fill="BFE4FF"/>
          </w:tcPr>
          <w:p>
            <w:pPr>
              <w:spacing w:after="0"/>
              <w:rPr>
                <w:sz w:val="21"/>
                <w:szCs w:val="21"/>
                <w:color w:val="auto"/>
              </w:rPr>
            </w:pPr>
          </w:p>
        </w:tc>
        <w:tc>
          <w:tcPr>
            <w:tcW w:w="16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16,436</w:t>
            </w:r>
          </w:p>
        </w:tc>
        <w:tc>
          <w:tcPr>
            <w:tcW w:w="46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8,120</w:t>
            </w:r>
          </w:p>
        </w:tc>
        <w:tc>
          <w:tcPr>
            <w:tcW w:w="48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78,438</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6,360</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2,753</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1,482</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10,595</w:t>
            </w:r>
          </w:p>
        </w:tc>
      </w:tr>
      <w:tr>
        <w:trPr>
          <w:trHeight w:val="27"/>
        </w:trPr>
        <w:tc>
          <w:tcPr>
            <w:tcW w:w="302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104,164</w:t>
            </w:r>
          </w:p>
        </w:tc>
        <w:tc>
          <w:tcPr>
            <w:tcW w:w="26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36,342</w:t>
            </w:r>
          </w:p>
        </w:tc>
        <w:tc>
          <w:tcPr>
            <w:tcW w:w="460" w:type="dxa"/>
            <w:vAlign w:val="bottom"/>
            <w:tcBorders>
              <w:bottom w:val="single" w:sz="8" w:color="auto"/>
            </w:tcBorders>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18,932</w:t>
            </w:r>
          </w:p>
        </w:tc>
        <w:tc>
          <w:tcPr>
            <w:tcW w:w="480" w:type="dxa"/>
            <w:vAlign w:val="bottom"/>
            <w:tcBorders>
              <w:bottom w:val="single" w:sz="8" w:color="auto"/>
            </w:tcBorders>
            <w:shd w:val="clear" w:color="auto" w:fill="BFE4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159,438</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4"/>
              </w:rPr>
              <w:t>Six Months Ended September 30, 2017</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20" w:type="dxa"/>
            <w:vAlign w:val="bottom"/>
          </w:tcPr>
          <w:p>
            <w:pPr>
              <w:spacing w:after="0"/>
              <w:rPr>
                <w:sz w:val="20"/>
                <w:szCs w:val="20"/>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Software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80,715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44,821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21,245</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146,781</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114,394</w:t>
            </w:r>
          </w:p>
        </w:tc>
        <w:tc>
          <w:tcPr>
            <w:tcW w:w="32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35,736</w:t>
            </w:r>
          </w:p>
        </w:tc>
        <w:tc>
          <w:tcPr>
            <w:tcW w:w="46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17,537</w:t>
            </w:r>
          </w:p>
        </w:tc>
        <w:tc>
          <w:tcPr>
            <w:tcW w:w="48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167,667</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10,826</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5,304</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3,534</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19,664</w:t>
            </w:r>
          </w:p>
        </w:tc>
      </w:tr>
      <w:tr>
        <w:trPr>
          <w:trHeight w:val="27"/>
        </w:trPr>
        <w:tc>
          <w:tcPr>
            <w:tcW w:w="302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205,935</w:t>
            </w:r>
          </w:p>
        </w:tc>
        <w:tc>
          <w:tcPr>
            <w:tcW w:w="32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85,861</w:t>
            </w:r>
          </w:p>
        </w:tc>
        <w:tc>
          <w:tcPr>
            <w:tcW w:w="460" w:type="dxa"/>
            <w:vAlign w:val="bottom"/>
            <w:tcBorders>
              <w:bottom w:val="single" w:sz="8" w:color="auto"/>
            </w:tcBorders>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42,316</w:t>
            </w:r>
          </w:p>
        </w:tc>
        <w:tc>
          <w:tcPr>
            <w:tcW w:w="480" w:type="dxa"/>
            <w:vAlign w:val="bottom"/>
            <w:tcBorders>
              <w:bottom w:val="single" w:sz="8" w:color="auto"/>
            </w:tcBorders>
            <w:shd w:val="clear" w:color="auto" w:fill="BFE4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334,112</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4"/>
              </w:rPr>
              <w:t>Six Months Ended September 30, 2016</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320" w:type="dxa"/>
            <w:vAlign w:val="bottom"/>
          </w:tcPr>
          <w:p>
            <w:pPr>
              <w:spacing w:after="0"/>
              <w:rPr>
                <w:sz w:val="20"/>
                <w:szCs w:val="20"/>
                <w:color w:val="auto"/>
              </w:rPr>
            </w:pPr>
          </w:p>
        </w:tc>
        <w:tc>
          <w:tcPr>
            <w:tcW w:w="160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Software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79,723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34,786</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19,309</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133,818</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107,485</w:t>
            </w:r>
          </w:p>
        </w:tc>
        <w:tc>
          <w:tcPr>
            <w:tcW w:w="32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33,062</w:t>
            </w:r>
          </w:p>
        </w:tc>
        <w:tc>
          <w:tcPr>
            <w:tcW w:w="46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16,158</w:t>
            </w:r>
          </w:p>
        </w:tc>
        <w:tc>
          <w:tcPr>
            <w:tcW w:w="48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156,705</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12,385</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5,569</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2,735</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20,689</w:t>
            </w:r>
          </w:p>
        </w:tc>
      </w:tr>
      <w:tr>
        <w:trPr>
          <w:trHeight w:val="27"/>
        </w:trPr>
        <w:tc>
          <w:tcPr>
            <w:tcW w:w="302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199,593</w:t>
            </w:r>
          </w:p>
        </w:tc>
        <w:tc>
          <w:tcPr>
            <w:tcW w:w="32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73,417</w:t>
            </w:r>
          </w:p>
        </w:tc>
        <w:tc>
          <w:tcPr>
            <w:tcW w:w="460" w:type="dxa"/>
            <w:vAlign w:val="bottom"/>
            <w:tcBorders>
              <w:bottom w:val="single" w:sz="8" w:color="auto"/>
            </w:tcBorders>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38,202</w:t>
            </w:r>
          </w:p>
        </w:tc>
        <w:tc>
          <w:tcPr>
            <w:tcW w:w="480" w:type="dxa"/>
            <w:vAlign w:val="bottom"/>
            <w:tcBorders>
              <w:bottom w:val="single" w:sz="8" w:color="auto"/>
            </w:tcBorders>
            <w:shd w:val="clear" w:color="auto" w:fill="BFE4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311,212</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some arrangements the Company allows customers to pay for term based software licenses over the term of the software license. The Company refers to these as subscription transactions. Amounts recognized as revenue in excess of amounts billed are recorded as unbilled receivables. 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24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Accounts</w:t>
            </w:r>
          </w:p>
        </w:tc>
        <w:tc>
          <w:tcPr>
            <w:tcW w:w="2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Receivable</w:t>
            </w:r>
          </w:p>
        </w:tc>
        <w:tc>
          <w:tcPr>
            <w:tcW w:w="22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(current)</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(long-term)</w:t>
            </w:r>
          </w:p>
        </w:tc>
        <w:tc>
          <w:tcPr>
            <w:tcW w:w="22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70,803</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Increase/(decrease), net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(8,516)</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(1,869)</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7,658</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8,119</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September 30,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78,922</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decrease in accounts receivable is primarily a result of the decline in software revenue relative to the fourth quarter of the prior year as well as customer support renewals which are more concentrated in the Company's fiscal fourth quarter. The increase in deferred revenue is primarily the result of an increase in deferred customer support revenue related to software revenue transactions and customer support renewals during the first and second quarters of fiscal 2018, most of which will be recognized over the course of the next twelve months.</w:t>
      </w:r>
    </w:p>
    <w:p>
      <w:pPr>
        <w:spacing w:after="0" w:line="18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amount of revenue recognized in the period that was included in the opening deferred revenue balance was $82,664 and $161,596 for the three and six months ended September 30, 2017, respectively. The vast majority of this revenue consists of customer support arrangements. The amount of revenue recognized from performance obligations satisfied in prior periods was not material.</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5"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addition to the amounts included in deferred revenue as of September 30, 2017, approximately $16,493 of revenue may be recognized from remaining performance obligations, of which $245 was related to software. The Company expects the software to be recognized next quarter. The majority of the services revenue is related to other professional services which may be recognized over the next twelve months but is contingent upon a number of factors, including customers’ needs and schedules.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Property and Equipment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83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103,244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103,244</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servers and other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35,274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14,912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Purchased software</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1,335</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1,147</w:t>
            </w:r>
          </w:p>
        </w:tc>
      </w:tr>
      <w:tr>
        <w:trPr>
          <w:trHeight w:val="237"/>
        </w:trPr>
        <w:tc>
          <w:tcPr>
            <w:tcW w:w="8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175,408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172,397</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(40,078)</w:t>
            </w:r>
          </w:p>
        </w:tc>
      </w:tr>
      <w:tr>
        <w:trPr>
          <w:trHeight w:val="237"/>
        </w:trPr>
        <w:tc>
          <w:tcPr>
            <w:tcW w:w="8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129,712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132,319</w:t>
            </w:r>
          </w:p>
        </w:tc>
      </w:tr>
      <w:tr>
        <w:trPr>
          <w:trHeight w:val="27"/>
        </w:trPr>
        <w:tc>
          <w:tcPr>
            <w:tcW w:w="8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Company recorded depreciation and amortization expense of $5,441 and $4,878 for the six months ended September 30, 2017 and 2016, respectively.</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Net Income per Common Share</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during 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13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diluted weighted average shares outstanding exclude outstanding stock options, restricted stock units, performance stock options, performance restricted stock units and shares to be purchased under the employee stock purchase plan totaling approximately 7,433 and 8,381 for the three months ended September 30, 2017 and 2016 and 7,557 and 8,374 for the six months ended September 30, 2017 and 2016, respectively, because the effect would have been anti-dilutive.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the normal course of its business, the Company may be involved in various claims, negotiations and legal actions. As of September 30, 2017, the Company is not aware of any asserted or unasserted claims, negotiations and legal actions for which a loss is considered reasonably possible of occurring and would require disclosure under the guidance.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September 10, 2014, a purported class action complaint was filed in the United States District Court for the District of New Jersey against the Company, its Chief Executive Officer and its Chief Financial Officer. The case is captioned In re Commvault Systems, Inc. Securities Litigation (Master File No. 3:14-cv-05628-MAS-LHG). The suit alleges that the Company made materially false and misleading statements, or failed to disclose material facts, regarding the Company's financial results, business, operations and prospects in violation of Sections 10(b) and 20(a) of the Securities Exchange Act of 1934 and Rule 10b-5 promulgated thereunder. The suit is purportedly brought on behalf of purchasers of the Company's common stock during the period from May 7, 2013 through April 24, 2014,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Thereafter, discovery commenced. On October 2, 2017, the parties entered into an agreement in principle to settle the action for $12,500. The Company has not recorded an accrual for this matter as the settlement amount is to be funded solely by the Company’s insurers. The settlement is subject to final documentation and court approval. There can be no assurance that the settlement will ultimately be approved or that it will become final. If the settlement does not occur and litigation against the Company continues, the Company believes that it has meritorious defenses and intends to defend the case vigorously. However, due to the inherent uncertainties of litigation, the Company cannot accurately predict the ultimate outcome of this matter if the litigation continues.</w:t>
      </w:r>
    </w:p>
    <w:p>
      <w:pPr>
        <w:spacing w:after="0" w:line="17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April 12, 2017, a shareholder derivative complaint was filed in the United States District Court for the District of New Jersey against the Company (nominally), certain of its executive officers and certain members of the board of directors. The complaint is entitled Murashko v. Hammer, et al. (Civ. No. 3:17-cv-02533-PGS-TJB). The plaintiff filed an amended complaint on July 14, 2017. The amended complaint largely repeats the allegations made in the securities litigation also pending in the United States District Court for the District of New Jersey (In re Commvault Systems, Inc. Securities Litigation (Master File No. 3:14-cv-05628-PGS-LHG), claiming that the defendant officers and directors breached their fiduciary duties to the Company by causing, or allowing, the Company to manipulate its financial results and conceal the state of its business prospects. The suit also alleges that certain executive officers engaged in unlawful insider trading in 2013 and/or 2014 based on their knowledge of the information that was supposedly concealed. The allegations asserted in the shareholder derivative action purport to cover a period from 2013 through the present. As a derivative action, the complaint does not seek damages from the Company, but rather seeks to recover from the defendant officers and directors on behalf of the Company compensatory damages, restitution, costs and expenses, as well as equitable or other relief. On August 29, 2017, all of the defendants, including the Company, filed a motion to dismiss the derivative action, and a hearing has been scheduled on this motion in December. Due to the inherent uncertainties of litigation, the Company cannot accurately predict the ultimate outcome of this matter. The Company is unable at this time to determine whether the outcome of the litigation will have a material impact. As of September 30, 2017, the Company has not recorded an accrual for this matter as it has concluded the probability of a loss is remote.</w:t>
      </w:r>
    </w:p>
    <w:p>
      <w:pPr>
        <w:spacing w:after="0" w:line="17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February 27, 2017, Realtime Data LLC d/b/a/ IXO (“Realtime”), a non-practicing entity, sued the Company and Spectra Logic Corporation in the Eastern District of Texas for alleged infringement of four patents: U.S. Patent Nos. 9,054,728, 7,415,530, 9,116,908, and 8,717,204. Realtime dismissed the case in Texas and refiled this case in the District of Delaware on July 10, 2017. Realtime has sued numerous other companies for infringement of these and other patents. Realtime seeks monetary damages and an injunction. The Company responded to the complaint by filing a motion to dismiss on the grounds that the patents are directed to patent-ineligible subject matter. The Court has not yet ruled on this motion.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The Company intends to defend itself vigorously. As of September 30, 2017, the Company has not recorded an accrual for this matter as it has concluded the probability of a loss is remote.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Revolving Credit Facility</w:t>
      </w:r>
    </w:p>
    <w:p>
      <w:pPr>
        <w:spacing w:after="0" w:line="17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On June 30, 2014, the Company entered into a five-year $250,000 revolving credit facility (the “Credit Facility”).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the Company's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September 30, 2017, there were no borrowings under the Credit Facility and the Company was in compliance with all covenants.</w:t>
      </w:r>
    </w:p>
    <w:p>
      <w:pPr>
        <w:spacing w:after="0" w:line="113"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Company has deferred the expense related to debt issuance costs, which are classified as Other assets, and will amortize the costs into Interest expense over the term of the Credit Facility. Unamortized amounts at September 30, 2017 were $442. The amortization of debt issuance costs was $63 and $126 in the three and six months ended September 30, 2017 and 2016.</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During the three and six months ended September 30, 2017, the company repurchased $11,259 of common stock (192 shares). As of September 30, 2017, $113,740 remained in the stock repurchase authorization that expires on March 31, 2018.</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On August 24, 2017, the Company’s shareholders approved an amendment to the Omnibus Incentive Plan (the “2016 Incentive Plan”) to increase the maximum number of shares of common stock that may be delivered under plan to 3,550. The 2016 Incentive Plan authorizes a broad range of awards including stock options, stock appreciation rights, full value awards (including restricted stock, restricted stock units, performance shares or units and other stock-based awards) and cash-based awards.</w:t>
      </w:r>
    </w:p>
    <w:p>
      <w:pPr>
        <w:spacing w:after="0" w:line="133" w:lineRule="exact"/>
        <w:rPr>
          <w:sz w:val="20"/>
          <w:szCs w:val="20"/>
          <w:color w:val="auto"/>
        </w:rPr>
      </w:pPr>
    </w:p>
    <w:p>
      <w:pPr>
        <w:ind w:right="580" w:firstLine="432"/>
        <w:spacing w:after="0" w:line="286" w:lineRule="auto"/>
        <w:rPr>
          <w:sz w:val="20"/>
          <w:szCs w:val="20"/>
          <w:color w:val="auto"/>
        </w:rPr>
      </w:pPr>
      <w:r>
        <w:rPr>
          <w:rFonts w:ascii="Arial" w:cs="Arial" w:eastAsia="Arial" w:hAnsi="Arial"/>
          <w:sz w:val="17"/>
          <w:szCs w:val="17"/>
          <w:color w:val="auto"/>
        </w:rPr>
        <w:t>The following table presents the stock-based compensation expense included in Cost of services revenue, Sales and marketing, Research and development and General and administrative expenses for the three and six months ended September 30, 2017 and 2016. Stock-based compensation is attributable to stock options, restricted stock units, performance based awards and the employee stock purchase plan.</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27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8,984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18,424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15,961</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8,016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14,799</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19,821</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36,043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As of September 30, 2017, there was approximately $86,000 of unrecognized stock-based compensation expense related to non-vested stock option and restricted stock unit awards that is expected to be recognized over a weighted average period of 1.20 years. The Company accounts for forfeitures as they occur. To the extent that awards are forfeitured, stock-based compensation will be different from the Company’s current estimate.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six months ended September 30, 2017 is as follows:</w:t>
      </w: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0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1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10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Outstanding as of March 31, 2017</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44.74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44.72</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expired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69.14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Outstanding as of September 30, 2017</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4,855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45.90</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96,324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September 30, 2017</w:t>
            </w: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gridSpan w:val="2"/>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45.53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91,236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total intrinsic value of options exercised was $4,623 and $11,625 for the three and six months ended September 30, 2017 and $3,070 and $4,439 for the three and six months ended September 30, 2016. The Company’s policy is to issue new shares upon exercise of options as the Company does not hold shares in treasury.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six months ended September 30, 2017 is as follows: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Restricted Stock Units</w:t>
            </w: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March 31, 2017</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2,396</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Awarded</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503</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September 30, 2017</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2,284</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weighted average fair value of restricted stock units awarded was $59.29 and $60.01 per unit during the three and six months ended September 30, 2017, and $52.13 and $47.76 per unit during the three and six months ended September 30, 2016. The weighted average fair value of awards includes the awards with a market condition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six months ended September 30, 2017, the Company granted 107 performance restricted stock units ("PSU") to certain executives. Vesting of these awards is contingent upon i) the Company meeting certain company-wide revenue and non-GAAP performance goals (performance-based) in fiscal 2017 and ii) the Company's customary service periods. The awards vest over three years and have a maximum potential to vest at 200% (214 shares) based on actual fiscal 2018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the six months ended September 30, 2017, the Company granted 88 market performance stock units to certain executives. The vesting of these awards is contingent upon the Company meeting certain total shareholder return ("TSR") levels as compared to a market index over the next three years. The awards vest in three annual tranches and have a maximum potential to vest at 200% (176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six months ended September 30, 2017 was $78.28. The awards are included in the restricted stock unit table.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Employee Stock Purchase Plan (the “Purchase Plan”) is a shareholder approved plan under which substantially all employees may purchase the Company’s common stock through payroll deductions at a price equal to 85% of the lower of the fair market values of the stock as of the beginning or the end of the six-month offering periods. An employee’s payroll deductions under the Purchase Plan are limited to 10% of the employee’s salary and employees may not purchase more than $25 of stock during any calendar year. As of September 30, 2017, 2,290 shares were reserved for future issuance under the Purchase Plan. The Purchase Plan is considered compensatory and the fair value of the discount and look back provision are estimated using the Black-Scholes formula and recognized over the six month withholding period prior to purchase. The total expense associated with the Purchase Plan was $699 and $1,375 for the three and six months ended September 30, 2017 and $655 and $1,334 for the three and six months ended September 30, 2016.</w:t>
      </w:r>
    </w:p>
    <w:p>
      <w:pPr>
        <w:spacing w:after="0" w:line="1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Income tax benefit was $3,502 and $7,339 in the three and six months ended September 30, 2017. The income tax benefit in the three and six month periods ended September 30, 2017 includes the favorable impact of $1,423 and $3,781 of excess tax benefits for exercised stock options and vested restricted stock units, respectively. In prior periods, excess tax benefits were accounted for as a component of equity. The income tax benefit also includes the favorable impact of research tax credits and was partially offset by the unfavorable impact of permanent book to tax differences.</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Income tax benefit was $131 and $826 in the three and six months ended September 30, 2016 The effective rate of the income tax benefit in the six month period is lower than the federal statutory rate due to the impact of unfavorable permanent differences. The tax benefit for the six months ended September 30, 2016 includes $616 of income tax expense related to a change in the estimated state tax rate applied to the state deferred tax asset and the state income tax payable.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Unrecognized Tax Benefits</w:t>
      </w:r>
    </w:p>
    <w:p>
      <w:pPr>
        <w:spacing w:after="0" w:line="90"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The calculation of the Company’s tax liabilities involves dealing with uncertainties in the application of complex tax regulations in each of its tax jurisdictions. The number of years with open tax audits varies depending on the tax jurisdiction. A number of years may lapse before a particular matter is audited and finally resolved. A reconciliation of the beginning and ending amounts of unrecognized tax benefits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Additions for tax positions related to fiscal 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related to prior years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related to the expiration of statutes of limitations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9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All of the Company’s unrecognized tax benefits would favorably impact the effective tax rate if they were recognized. Components of the reserve are classified as either current or long-term in the Consolidated Balance Sheet based on when the Company expects each of the items to be settled. Unrecognized tax benefits and the related accrued interest and penalties totaling $1,464 are recorded as Other Liabilities on the Consolidated Balance Sheet, of</w:t>
      </w:r>
    </w:p>
    <w:p>
      <w:pPr>
        <w:ind w:right="80"/>
        <w:spacing w:after="0" w:line="261" w:lineRule="auto"/>
        <w:rPr>
          <w:sz w:val="20"/>
          <w:szCs w:val="20"/>
          <w:color w:val="auto"/>
        </w:rPr>
      </w:pPr>
      <w:r>
        <w:rPr>
          <w:rFonts w:ascii="Arial" w:cs="Arial" w:eastAsia="Arial" w:hAnsi="Arial"/>
          <w:sz w:val="18"/>
          <w:szCs w:val="18"/>
          <w:color w:val="auto"/>
        </w:rPr>
        <w:t>which $323 represents interest and penalties. The Company also has unrecognized tax benefits and related accrued interest and penalties totaling $1,197 as a reduction of Deferred Tax Assets on the Consolidated Balance Sheet, of which $104 represents interest and penalties.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Tax Items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conducts business globally and as a result, files income tax returns in the United States and in various state and foreign jurisdictions. In the normal course of business, the Company is subject to examination by taxing authorities throughout the world, including such major jurisdictions as the United States, Australia, Canada, Germany, Netherlands and United Kingdom. The years subject to income tax examination in the Company’s foreign jurisdictions cover the maximum time period with respect to these jurisdictions. Due to net operating loss ("NOL") carryforwards, in some cases the tax years continue to remain subject to examination with respect to such NOLs.</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5"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2017.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9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Commvault is a provider of data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We also provide our customers with a broad range of professional services that are delivered by our worldwide support and field operations. As of September 30, 2017, we had licensed our software applications to approximately 26,000 registered customers.</w:t>
      </w:r>
    </w:p>
    <w:p>
      <w:pPr>
        <w:spacing w:after="0" w:line="16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software licenses typically provide for a perpetual right to use our software and are sold on a per terabyte capacity basis, per-copy, as site licenses or as a solution set. Prior to fiscal 2018, an insignificant amount of our revenue has been sold under subscription, or term based, license arrangements. In these arrangements the customer has the right to use the software over a designated period of time. During fiscal 2018, we expect revenue from subscription arrangements to become a more significant portion of our total revenue compared to historical periods.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recent years, the majority of our software revenue has been sold on a capacity basis and we expect this to remain true in the near future. During the six months ended September 30, 2017, approximately 68% of software license revenue was sold on a capacity basis. This compares to approximately 69% of software license revenue was sold on a capacity basis during fiscal 2017. Software licenses sold on a capacity basis provide the customer with unlimited licenses of specified software products based on a defined level of terabytes of data under management. As a result, when we sell our platform through a capacity license, certain of the various functionalities discussed below are bundled into one capacity based price. Site licenses give the customer the additional right to deploy the software on a limited basis during a specified term.</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solution sets are generally sold on a per unit basis such as per virtual machine for our virtual machine backup, recovery and cloud management solution set; per mailbox for our email archive solution set, and per user for our endpoint data protection solution set. These solution sets are purpose-built offerings designed to accelerate private, public and hybrid cloud adoption that seamlessly integrate with our single platform software, offering a path towards holistic data management while allowing customers to utilize functionality that addresses the point solution requirements their business dictates. We primarily sell solution sets for virtual machine backup, recovery and cloud management; endpoint data protection; and email archive.</w:t>
      </w:r>
    </w:p>
    <w:p>
      <w:pPr>
        <w:spacing w:after="0" w:line="10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industry in which we currently operate continues to go through accelerating changes as the result of compounding data growth and the introduction of new technologies. We remain focused on both the data and information management trends in the marketplace and, in fact, a material portion of our existing research and development expenses are utilized toward the development of such new technologies.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1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6"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We do not customize our software for a specific end-user customer. We sell our software applications to end-user customers both directly through our sales force and indirectly through our global network of value-added reseller partners, systems integrators, corporate resellers and original equipment manufacturers. Our software revenue was 44% and 43% of our total revenues for the six months ended September 30, 2017 and 2016, respectively.</w:t>
      </w:r>
    </w:p>
    <w:p>
      <w:pPr>
        <w:spacing w:after="0" w:line="133"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revenue from our existing customer base and approximately one-quarter of our software revenue from new customers. In addition, our total software revenue in any particular period is, to a certain extent, dependent upon our ability to generate revenues from large customer software deals, which we refer to as enterprise software transactions. Enterprise software transactions (transactions greater than $0.1 million) represented approximately 61% and 54% of our total software revenue in the six months ended September 30, 2017 and 2016, respectively.</w:t>
      </w:r>
    </w:p>
    <w:p>
      <w:pPr>
        <w:spacing w:after="0" w:line="134"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Software revenue generated through indirect distribution channels was 86% of total software revenue in the six months ended September 30, 2017 and was approximately 88% of total software revenue in the six months ended September 30, 2016. Software revenue generated through direct distribution channels was approximately 14% of total software revenue in the six months ended September 30, 2017 and was approximately 12% of total software revenue in the six months ended September 30, 2016. The dollar value of software revenue generated through indirect distribution channels increased approximately $9.0 million, or 8%, in the six months ended September 30, 2017 compared to the six months ended September 30, 2016. The dollar value of software revenue generated through direct distribution channels increased approximately $4.0 million, or 25%, in the six months ended September 30, 2017 compared to the six months ended September 30, 2016.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revenue generated through our direct distribution channels from time-to-time. We believe that the growth of our software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primary original equipment manufacturer agreement is with Hitachi Data Systems ("HDS") and allows them to market, sell and support our software applications and services on a stand-alone basis and/or incorporate our software applications into their own hardware products. Our original equipment manufacturer partners, including HDS, have no obligation to recommend or offer our software applications exclusively or at all, and they have no minimum sales requirements and can terminate our relationship at any time. Sales through our original equipment manufacturer agreements, accounted for approximately 11% of our total revenues for the six months ended September 30, 2017 and 15% of our total revenues for the six months ended September 30, 2016.</w:t>
      </w:r>
    </w:p>
    <w:p>
      <w:pPr>
        <w:spacing w:after="0" w:line="13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also have non-exclusive distribution agreements covering our North American commercial markets and our U.S. Federal Government market with Arrow Enterprise Computing Solutions, Inc. ("Arrow"), a subsidiary of Arrow Electronics, Inc., and Avnet Technology Solutions ("Avnet"), a subsidiary of Avnet, Inc. Pursuant to these distribution agreements, these distributors’ primary role is to enable a more efficient and effective distribution channel for our products and services by managing our reseller partners and leveraging their own industry experience. We generated approximately 36% of our total revenues through Arrow in the six months ended September 30, 2017, and approximately 35% in the six months ended September 30, 2016. If Arrow or Avnet were to discontinue or reduce the sales of our products or if our agreement with Arrow or Avnet was terminated, and if we were unable to take back the management of our reseller channel or find another North American distributor to replace Arrow or Avnet, then it could have a material adverse effect on our future business.</w:t>
      </w:r>
    </w:p>
    <w:p>
      <w:pPr>
        <w:spacing w:after="0" w:line="13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services revenue was 56% of our total revenues for the six months ended September 30, 2017 and 57% of our total revenues for the six months ended September 30, 2016.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installation services and customer education.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Most of our customer support agreements are priced as a percentage of the related net software purchased and are for a one year term. As the end of the annual period approaches, we pursue the renewal of the agreement with the customer. Historically, customer support renewals have represented a significant portion of our total revenue. Because of this characteristic of our business, if our customers choose not to renew their support agreements with us on beneficial terms, or at all, our business, operating results and financial condition could be harmed.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Sales outside the United States were approximately 45% of our total revenue for the six months ended September 30, 2017 and 42% of our total revenue for the six months ended September 30, 2016.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04"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Using the average foreign currency exchange rates from the three months ended September 30, 2016 our software revenue would have been lower by $1.0 million, our services revenue would have been lower by $1.3 million, our cost of sales would have been lower by $0.4 million and our operating expenses would have been lower by $1.0 million from non-U.S. operations for the three months ended September 30, 2017. Using the average foreign currency exchange rates from the six months ended September 30, 2016 our software revenue would have been lower by $0.1 million, our services revenue would have not changed, our cost of sales would have been lower by $0.3 million and our operating expenses would have been higher by $1.4 million from non-U.S. operations for the six months ended September 30, 2017.</w:t>
      </w:r>
    </w:p>
    <w:p>
      <w:pPr>
        <w:spacing w:after="0" w:line="12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a net foreign currency transaction gains of less than $0.1 million and $0.2 million in the three and six months ended September 30, 2017, respectively. We recognized a net foreign currency transaction gain of $0.1 million and $0.4 million in the three and six months ended September 30, 2016,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60" w:lineRule="exact"/>
        <w:rPr>
          <w:sz w:val="20"/>
          <w:szCs w:val="20"/>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Deferred Commissions Costs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includes changes to our critical accounting policies that have occurred in fiscal 2018.</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account for revenue in accordance with ASC Topic 606, Revenue from Contracts with Customers. Our revenue recognition policies require us to make significant judgments and estimates. In applying our revenue recognition policy, we must determine which portions of our revenue are recognized currently (generally software revenue) and which portions must be deferred and recognized in future periods (generally services revenue). We analyze various factors including, but not limited to, the selling price of undelivered services when sold on a stand-alone basis, our pricing policies, the credit-worthiness of our customers, and contractual terms and conditions in helping us to make such judgments about revenue recognition. Changes in judgment on any of these factors could materially impact the timing and amount of revenue recognized in a given period.</w:t>
      </w:r>
    </w:p>
    <w:p>
      <w:pPr>
        <w:spacing w:after="0" w:line="124" w:lineRule="exact"/>
        <w:rPr>
          <w:sz w:val="20"/>
          <w:szCs w:val="20"/>
          <w:color w:val="auto"/>
        </w:rPr>
      </w:pPr>
    </w:p>
    <w:p>
      <w:pPr>
        <w:ind w:right="380" w:firstLine="500"/>
        <w:spacing w:after="0" w:line="342" w:lineRule="auto"/>
        <w:rPr>
          <w:sz w:val="20"/>
          <w:szCs w:val="20"/>
          <w:color w:val="auto"/>
        </w:rPr>
      </w:pPr>
      <w:r>
        <w:rPr>
          <w:rFonts w:ascii="Arial" w:cs="Arial" w:eastAsia="Arial" w:hAnsi="Arial"/>
          <w:sz w:val="16"/>
          <w:szCs w:val="16"/>
          <w:color w:val="auto"/>
        </w:rPr>
        <w:t>We derive revenue from two primary sources: software licenses and services. Services include customer support (software updates and technical support), consulting, assessment and design services, installation services and customer education. A typical contract includes both licenses and services.</w:t>
      </w:r>
    </w:p>
    <w:p>
      <w:pPr>
        <w:spacing w:after="0" w:line="70"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Our software licenses typically provide for a perpetual right to use our software. We also sell term-based software licenses that expire, which are referred to as subscription arrangements. We do not customize its software and installation services are not required. The software is delivered before related services are provided and is functional without professional services, updates and technical support. We have concluded that our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subscription period.</w:t>
      </w:r>
    </w:p>
    <w:p>
      <w:pPr>
        <w:spacing w:after="0" w:line="189"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60" w:firstLine="500"/>
        <w:spacing w:after="0" w:line="264" w:lineRule="auto"/>
        <w:rPr>
          <w:sz w:val="20"/>
          <w:szCs w:val="20"/>
          <w:color w:val="auto"/>
        </w:rPr>
      </w:pPr>
      <w:r>
        <w:rPr>
          <w:rFonts w:ascii="Arial" w:cs="Arial" w:eastAsia="Arial" w:hAnsi="Arial"/>
          <w:sz w:val="18"/>
          <w:szCs w:val="18"/>
          <w:color w:val="auto"/>
        </w:rPr>
        <w:t>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are typically estimated using the residual approach. Standalone selling prices of services are typically estimated based on observable transactions when these services are sold on a standalone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325" w:lineRule="exact"/>
        <w:rPr>
          <w:sz w:val="20"/>
          <w:szCs w:val="20"/>
          <w:color w:val="auto"/>
        </w:rPr>
      </w:pPr>
    </w:p>
    <w:p>
      <w:pPr>
        <w:ind w:left="380"/>
        <w:spacing w:after="0"/>
        <w:tabs>
          <w:tab w:leader="none" w:pos="3160" w:val="left"/>
          <w:tab w:leader="none" w:pos="6740" w:val="left"/>
          <w:tab w:leader="none" w:pos="898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60" w:val="left"/>
          <w:tab w:leader="none" w:pos="934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2123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Software Revenue</w:t>
      </w:r>
    </w:p>
    <w:p>
      <w:pPr>
        <w:sectPr>
          <w:pgSz w:w="11900" w:h="16838" w:orient="portrait"/>
          <w:cols w:equalWidth="0" w:num="1">
            <w:col w:w="11400"/>
          </w:cols>
          <w:pgMar w:left="240" w:top="125" w:right="259" w:bottom="1440" w:gutter="0" w:footer="0" w:header="0"/>
        </w:sectPr>
      </w:pPr>
    </w:p>
    <w:p>
      <w:pPr>
        <w:spacing w:after="0" w:line="63" w:lineRule="exact"/>
        <w:rPr>
          <w:sz w:val="20"/>
          <w:szCs w:val="20"/>
          <w:color w:val="auto"/>
        </w:rPr>
      </w:pPr>
    </w:p>
    <w:p>
      <w:pPr>
        <w:ind w:left="200"/>
        <w:spacing w:after="0"/>
        <w:tabs>
          <w:tab w:leader="none" w:pos="2200" w:val="left"/>
        </w:tabs>
        <w:rPr>
          <w:sz w:val="20"/>
          <w:szCs w:val="20"/>
          <w:color w:val="auto"/>
        </w:rPr>
      </w:pPr>
      <w:r>
        <w:rPr>
          <w:rFonts w:ascii="Arial" w:cs="Arial" w:eastAsia="Arial" w:hAnsi="Arial"/>
          <w:sz w:val="18"/>
          <w:szCs w:val="18"/>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297180</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certain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which are paid for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49" w:lineRule="exact"/>
        <w:rPr>
          <w:sz w:val="20"/>
          <w:szCs w:val="20"/>
          <w:color w:val="auto"/>
        </w:rPr>
      </w:pPr>
    </w:p>
    <w:p>
      <w:pPr>
        <w:sectPr>
          <w:pgSz w:w="11900" w:h="16838" w:orient="portrait"/>
          <w:cols w:equalWidth="0" w:num="2">
            <w:col w:w="5660" w:space="420"/>
            <w:col w:w="5320"/>
          </w:cols>
          <w:pgMar w:left="240" w:top="125" w:right="259" w:bottom="1440" w:gutter="0" w:footer="0" w:header="0"/>
          <w:type w:val="continuous"/>
        </w:sectPr>
      </w:pPr>
    </w:p>
    <w:p>
      <w:pPr>
        <w:ind w:left="60"/>
        <w:spacing w:after="0"/>
        <w:rPr>
          <w:sz w:val="20"/>
          <w:szCs w:val="20"/>
          <w:color w:val="auto"/>
        </w:rPr>
      </w:pPr>
      <w:r>
        <w:rPr>
          <w:rFonts w:ascii="Arial" w:cs="Arial" w:eastAsia="Arial" w:hAnsi="Arial"/>
          <w:sz w:val="15"/>
          <w:szCs w:val="15"/>
          <w:i w:val="1"/>
          <w:iCs w:val="1"/>
          <w:color w:val="auto"/>
        </w:rPr>
        <w:t>Customer Support Revenue</w:t>
      </w:r>
    </w:p>
    <w:p>
      <w:pPr>
        <w:sectPr>
          <w:pgSz w:w="11900" w:h="16838" w:orient="portrait"/>
          <w:cols w:equalWidth="0" w:num="1">
            <w:col w:w="11400"/>
          </w:cols>
          <w:pgMar w:left="240" w:top="125" w:right="259" w:bottom="1440" w:gutter="0" w:footer="0" w:header="0"/>
          <w:type w:val="continuous"/>
        </w:sectPr>
      </w:pPr>
    </w:p>
    <w:p>
      <w:pPr>
        <w:spacing w:after="0" w:line="98" w:lineRule="exact"/>
        <w:rPr>
          <w:sz w:val="20"/>
          <w:szCs w:val="20"/>
          <w:color w:val="auto"/>
        </w:rPr>
      </w:pPr>
    </w:p>
    <w:p>
      <w:pPr>
        <w:ind w:left="200"/>
        <w:spacing w:after="0"/>
        <w:tabs>
          <w:tab w:leader="none" w:pos="2200" w:val="left"/>
        </w:tabs>
        <w:rPr>
          <w:sz w:val="20"/>
          <w:szCs w:val="20"/>
          <w:color w:val="auto"/>
        </w:rPr>
      </w:pPr>
      <w:r>
        <w:rPr>
          <w:rFonts w:ascii="Arial" w:cs="Arial" w:eastAsia="Arial" w:hAnsi="Arial"/>
          <w:sz w:val="18"/>
          <w:szCs w:val="18"/>
          <w:color w:val="auto"/>
        </w:rPr>
        <w:t>Software Updates</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wp:posOffset>
            </wp:positionV>
            <wp:extent cx="721233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60"/>
            <w:col w:w="5320"/>
          </w:cols>
          <w:pgMar w:left="240" w:top="125" w:right="259" w:bottom="1440" w:gutter="0" w:footer="0" w:header="0"/>
          <w:type w:val="continuous"/>
        </w:sectPr>
      </w:pPr>
    </w:p>
    <w:p>
      <w:pPr>
        <w:ind w:left="200"/>
        <w:spacing w:after="0"/>
        <w:tabs>
          <w:tab w:leader="none" w:pos="2200" w:val="left"/>
        </w:tabs>
        <w:rPr>
          <w:sz w:val="20"/>
          <w:szCs w:val="20"/>
          <w:color w:val="auto"/>
        </w:rPr>
      </w:pPr>
      <w:r>
        <w:rPr>
          <w:rFonts w:ascii="Arial" w:cs="Arial" w:eastAsia="Arial" w:hAnsi="Arial"/>
          <w:sz w:val="18"/>
          <w:szCs w:val="18"/>
          <w:color w:val="auto"/>
        </w:rPr>
        <w:t>Customer Support</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60"/>
            <w:col w:w="5320"/>
          </w:cols>
          <w:pgMar w:left="240" w:top="125" w:right="259" w:bottom="1440" w:gutter="0" w:footer="0" w:header="0"/>
          <w:type w:val="continuous"/>
        </w:sectPr>
      </w:pPr>
    </w:p>
    <w:p>
      <w:pPr>
        <w:ind w:left="60"/>
        <w:spacing w:after="0"/>
        <w:rPr>
          <w:sz w:val="20"/>
          <w:szCs w:val="20"/>
          <w:color w:val="auto"/>
        </w:rPr>
      </w:pPr>
      <w:r>
        <w:rPr>
          <w:rFonts w:ascii="Arial" w:cs="Arial" w:eastAsia="Arial" w:hAnsi="Arial"/>
          <w:sz w:val="18"/>
          <w:szCs w:val="18"/>
          <w:i w:val="1"/>
          <w:iCs w:val="1"/>
          <w:color w:val="auto"/>
        </w:rPr>
        <w:t>Professional Services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1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Professional</w:t>
            </w:r>
          </w:p>
        </w:tc>
        <w:tc>
          <w:tcPr>
            <w:tcW w:w="3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work is performed (over time)</w:t>
            </w:r>
          </w:p>
        </w:tc>
        <w:tc>
          <w:tcPr>
            <w:tcW w:w="29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Within 90 days of services being</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Observable in transactions without</w:t>
            </w:r>
          </w:p>
        </w:tc>
      </w:tr>
      <w:tr>
        <w:trPr>
          <w:trHeight w:val="216"/>
        </w:trPr>
        <w:tc>
          <w:tcPr>
            <w:tcW w:w="1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(except for</w:t>
            </w:r>
          </w:p>
        </w:tc>
        <w:tc>
          <w:tcPr>
            <w:tcW w:w="3660" w:type="dxa"/>
            <w:vAlign w:val="bottom"/>
            <w:shd w:val="clear" w:color="auto" w:fill="CCEEFF"/>
          </w:tcPr>
          <w:p>
            <w:pPr>
              <w:spacing w:after="0"/>
              <w:rPr>
                <w:sz w:val="18"/>
                <w:szCs w:val="18"/>
                <w:color w:val="auto"/>
              </w:rPr>
            </w:pPr>
          </w:p>
        </w:tc>
        <w:tc>
          <w:tcPr>
            <w:tcW w:w="2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performed</w:t>
            </w:r>
          </w:p>
        </w:tc>
        <w:tc>
          <w:tcPr>
            <w:tcW w:w="2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multiple performance obligations</w:t>
            </w:r>
          </w:p>
        </w:tc>
      </w:tr>
      <w:tr>
        <w:trPr>
          <w:trHeight w:val="237"/>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r>
      <w:tr>
        <w:trPr>
          <w:trHeight w:val="229"/>
        </w:trPr>
        <w:tc>
          <w:tcPr>
            <w:tcW w:w="1880" w:type="dxa"/>
            <w:vAlign w:val="bottom"/>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tcPr>
          <w:p>
            <w:pPr>
              <w:ind w:left="300"/>
              <w:spacing w:after="0"/>
              <w:rPr>
                <w:sz w:val="20"/>
                <w:szCs w:val="20"/>
                <w:color w:val="auto"/>
              </w:rPr>
            </w:pPr>
            <w:r>
              <w:rPr>
                <w:rFonts w:ascii="Arial" w:cs="Arial" w:eastAsia="Arial" w:hAnsi="Arial"/>
                <w:sz w:val="18"/>
                <w:szCs w:val="18"/>
                <w:color w:val="auto"/>
              </w:rPr>
              <w:t>When the class is taught (point in time)</w:t>
            </w:r>
          </w:p>
        </w:tc>
        <w:tc>
          <w:tcPr>
            <w:tcW w:w="2940" w:type="dxa"/>
            <w:vAlign w:val="bottom"/>
          </w:tcPr>
          <w:p>
            <w:pPr>
              <w:ind w:left="500"/>
              <w:spacing w:after="0"/>
              <w:rPr>
                <w:sz w:val="20"/>
                <w:szCs w:val="20"/>
                <w:color w:val="auto"/>
              </w:rPr>
            </w:pPr>
            <w:r>
              <w:rPr>
                <w:rFonts w:ascii="Arial" w:cs="Arial" w:eastAsia="Arial" w:hAnsi="Arial"/>
                <w:sz w:val="18"/>
                <w:szCs w:val="18"/>
                <w:color w:val="auto"/>
                <w:w w:val="93"/>
              </w:rPr>
              <w:t>Within 90 days of services being</w:t>
            </w:r>
          </w:p>
        </w:tc>
        <w:tc>
          <w:tcPr>
            <w:tcW w:w="2880" w:type="dxa"/>
            <w:vAlign w:val="bottom"/>
          </w:tcPr>
          <w:p>
            <w:pPr>
              <w:ind w:left="60"/>
              <w:spacing w:after="0"/>
              <w:rPr>
                <w:sz w:val="20"/>
                <w:szCs w:val="20"/>
                <w:color w:val="auto"/>
              </w:rPr>
            </w:pPr>
            <w:r>
              <w:rPr>
                <w:rFonts w:ascii="Arial" w:cs="Arial" w:eastAsia="Arial" w:hAnsi="Arial"/>
                <w:sz w:val="18"/>
                <w:szCs w:val="18"/>
                <w:color w:val="auto"/>
              </w:rPr>
              <w:t>Observable in transactions without</w:t>
            </w:r>
          </w:p>
        </w:tc>
      </w:tr>
      <w:tr>
        <w:trPr>
          <w:trHeight w:val="230"/>
        </w:trPr>
        <w:tc>
          <w:tcPr>
            <w:tcW w:w="18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940" w:type="dxa"/>
            <w:vAlign w:val="bottom"/>
          </w:tcPr>
          <w:p>
            <w:pPr>
              <w:ind w:left="500"/>
              <w:spacing w:after="0"/>
              <w:rPr>
                <w:sz w:val="20"/>
                <w:szCs w:val="20"/>
                <w:color w:val="auto"/>
              </w:rPr>
            </w:pPr>
            <w:r>
              <w:rPr>
                <w:rFonts w:ascii="Arial" w:cs="Arial" w:eastAsia="Arial" w:hAnsi="Arial"/>
                <w:sz w:val="18"/>
                <w:szCs w:val="18"/>
                <w:color w:val="auto"/>
              </w:rPr>
              <w:t>performed</w:t>
            </w:r>
          </w:p>
        </w:tc>
        <w:tc>
          <w:tcPr>
            <w:tcW w:w="2880" w:type="dxa"/>
            <w:vAlign w:val="bottom"/>
          </w:tcPr>
          <w:p>
            <w:pPr>
              <w:ind w:left="60"/>
              <w:spacing w:after="0"/>
              <w:rPr>
                <w:sz w:val="20"/>
                <w:szCs w:val="20"/>
                <w:color w:val="auto"/>
              </w:rPr>
            </w:pPr>
            <w:r>
              <w:rPr>
                <w:rFonts w:ascii="Arial" w:cs="Arial" w:eastAsia="Arial" w:hAnsi="Arial"/>
                <w:sz w:val="18"/>
                <w:szCs w:val="18"/>
                <w:color w:val="auto"/>
              </w:rPr>
              <w:t>multiple performance obligations</w:t>
            </w:r>
          </w:p>
        </w:tc>
      </w:tr>
    </w:tbl>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 and Accounting for Income Taxes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which simplifies the accounting for share-based payment transactions, including related accounting for income taxes, forfeitures, and classification in the statement of cash flows. In connection with the adoption of this guidance we elected an accounting policy to account for forfeitures as they occur. The guidance also requires excess tax benefits and tax deficiencies to be recorded as income tax benefit or expense in the statement of income when the awards vest or are settled, and eliminates the requirement to reclassify cash flows related to excess tax benefits from operating activities to financing activities on the statement of cash flows.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Deferred Commissions Cost</w:t>
      </w:r>
    </w:p>
    <w:p>
      <w:pPr>
        <w:spacing w:after="0" w:line="17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Sales commissions and related payroll taxes earned by our employees are considered incremental and recoverable costs of obtaining a contract with a customer. Our typical contracts include performance obligations related to software licenses, software updates, customer support and other professional services.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We do not pay commissions on annual renewals of contracts for software updates and customer support for perpetual licenses. The costs allocated to software are expensed at the time of sale, when revenue for the functional software license is recognized. The costs allocated to software updates and customer support for perpetual licenses are amortized ratably over a period of approximately five years, the expected period of benefit of the asset capitalized. We currently estimate a period of five years is appropriate based on consideration of historical average customer life and the estimated useful life of the underlying software sold as part of the transaction. The costs related to professional services are amortized within one quarter following the date of the related software sale, which is typically the period the related professional services are provided and revenue is recognized. If we were to change our estimate of the period of benefit of these deferred costs it would impact our results of operations.</w:t>
      </w:r>
    </w:p>
    <w:p>
      <w:pPr>
        <w:spacing w:after="0" w:line="1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Costs related to software updates and support for term-based, or subscription software licenses, are limited to the contractual period of the arrangement as we intend to pay a commensurate commission upon renewal of the subscription license and related updates and support.</w:t>
      </w:r>
    </w:p>
    <w:p>
      <w:pPr>
        <w:spacing w:after="0" w:line="116"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There have been no other significant changes in our critical accounting policies and estimates during the six months ended September 30, 2017 as compared to the critical accounting policies and estimates disclosed in “Management’s Discussion and Analysis of Financial Condition and Results of Operations - Critical Accounting Policies” included in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Annual Report on Form 10-K for the year ended March 31, 2017. In addition, please see Note 2 of Notes to the Condensed Consolidated Financial Statements included in this Quarterly Report on Form 10-Q and Note 2 of the Notes to Consolidated Financial Statements included in our fiscal 2017 Annual Report on Form 10-K filed for a description of our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to three months ended September 30, 2016</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Total revenues increased $8.7 million, or 5%, from $159.4 million in the three months ended September 30, 2016 to $168.1 million in the three months ended September 30, 2017.</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 xml:space="preserve">Software Revenue. </w:t>
      </w:r>
      <w:r>
        <w:rPr>
          <w:rFonts w:ascii="Arial" w:cs="Arial" w:eastAsia="Arial" w:hAnsi="Arial"/>
          <w:sz w:val="18"/>
          <w:szCs w:val="18"/>
          <w:color w:val="auto"/>
        </w:rPr>
        <w:t>Software revenue increased $1.6 million, or 2%, from $70.4 million in the three months ended September 30, 2016 to $72.0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three months ended September 30, 2017. Software revenue represented 43% of our total revenues in the three months ended September 30, 2017 compared to 44% of total revenues in the three months ended September 30, 2016.</w:t>
      </w:r>
    </w:p>
    <w:p>
      <w:pPr>
        <w:spacing w:after="0" w:line="12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track software revenue on a geographic basis. The geographic regions that are tracked are the Americas (United States, Canada, Latin America), EMEA (Europe, Middle East, Africa) and APAC (Australia, New Zealand, Southeast Asia, China). Americas, EMEA and APAC represented 57%, 29% and 14% of total software revenue, respectively, for the three months ended September 30, 2017. The year over year decline of software revenue in the Americas was 7%, and growth in EMEA and APAC was 23% and, 10%, respectively.</w:t>
      </w:r>
    </w:p>
    <w:p>
      <w:pPr>
        <w:spacing w:after="0" w:line="133" w:lineRule="exact"/>
        <w:rPr>
          <w:sz w:val="20"/>
          <w:szCs w:val="20"/>
          <w:color w:val="auto"/>
        </w:rPr>
      </w:pPr>
    </w:p>
    <w:p>
      <w:pPr>
        <w:ind w:left="660" w:right="5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Americas enterprise transaction revenue decreased by 9% as a result of a decrease in the number of transactions but was partially offset by an increase in the average enterprise transaction deal size. Americas non-enterprise revenue transaction revenue also declined from the prior year.</w:t>
      </w:r>
    </w:p>
    <w:p>
      <w:pPr>
        <w:spacing w:after="0" w:line="69"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EMEA software revenue increased primarily due to a 71% increase in enterprise transaction revenue. The increase in enterprise transaction revenue was the result of both an increase in the number and average transaction deal size.</w:t>
      </w:r>
    </w:p>
    <w:p>
      <w:pPr>
        <w:spacing w:after="0" w:line="116" w:lineRule="exact"/>
        <w:rPr>
          <w:rFonts w:ascii="Arial" w:cs="Arial" w:eastAsia="Arial" w:hAnsi="Arial"/>
          <w:sz w:val="18"/>
          <w:szCs w:val="18"/>
          <w:color w:val="auto"/>
        </w:rPr>
      </w:pPr>
    </w:p>
    <w:p>
      <w:pPr>
        <w:ind w:left="660" w:right="40"/>
        <w:spacing w:after="0" w:line="264" w:lineRule="auto"/>
        <w:rPr>
          <w:rFonts w:ascii="Arial" w:cs="Arial" w:eastAsia="Arial" w:hAnsi="Arial"/>
          <w:sz w:val="18"/>
          <w:szCs w:val="18"/>
          <w:color w:val="auto"/>
        </w:rPr>
      </w:pPr>
      <w:r>
        <w:rPr>
          <w:rFonts w:ascii="Arial" w:cs="Arial" w:eastAsia="Arial" w:hAnsi="Arial"/>
          <w:sz w:val="18"/>
          <w:szCs w:val="18"/>
          <w:color w:val="auto"/>
        </w:rPr>
        <w:t>Year over year software revenue growth in EMEA was positively impacted by changes in foreign exchange rates as the U.S. dollar weakened against the Euro and British pound sterling. Using average foreign exchange rates from the second quarter of fiscal 2017, second quarter fiscal 2018 EMEA software revenue would have increased 18% compared to an actual increase of 23%.</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 in APAC software revenue was also the result of an increase in the revenue from non-enterprise revenue transactions.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software revenue in EMEA and APAC is subject to changes in foreign exchange rates as more fully discussed above in the “Foreign Currency Exchange Rates’ Impact on Results of Operations” section.</w:t>
      </w:r>
    </w:p>
    <w:p>
      <w:pPr>
        <w:spacing w:after="0" w:line="116"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Software revenue derived from enterprise software transactions (transactions greater than $0.1 million) represented approximately 59% of our software revenue in the three months ended September 30, 2017 and approximately 58% of our software revenue in the three months ended September 30, 2016. Enterprise software transactions increased by $1.3 million, or 3%, in the three months ended September 30, 2017 compared to the three months ended September 30, 2016. This increase was driven by a 10% increase in the average dollar amount of enterprise software transactions. The average dollar amount of such transactions was approximately $287,000 in the three months ended September 30, 2017 and approximately $262,000 in the three months ended September 30, 2016.</w:t>
      </w:r>
    </w:p>
    <w:p>
      <w:pPr>
        <w:spacing w:after="0" w:line="13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$7.1 million, or 8%, from $89.0 million in the three months ended September 30, 2016 to $96.1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2017. Services revenue represented 57% of our total revenues in the three months ended September 30, 2017 and 56% in the three months ended September 30, 2016. The increase in services revenue is due to a $7.3 million increase in revenue from customer support agreements as a result of software sales to new customers and renewal agreements with our installed software base and includes a $1.1 million increase due to the result of a weakening of the US dollar versus foreign currencies. The increase in customer support revenue was partially offset by a decline in professional services revenue.</w:t>
      </w:r>
    </w:p>
    <w:p>
      <w:pPr>
        <w:spacing w:after="0" w:line="13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Total cost of revenues increased $1.6 million, or 7%, from $21.7 million in the three months ended September 30, 2016 to $23.3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September 30, 2017. Total cost of revenues represented 14% of our total revenues in the three months ended September 30, 2017 and in the three months ended September 30, 2016.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increase in the percentage of total revenues represented by software revenue has the impact of improving our overall gross margins.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$6.4 million, or 7%, from $94.2 million in the three months ended September 30,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$100.6 million in the three months ended September 30, 2017. The increase is due to a $7.2 million increase in employee compensation and related expenses mainly attributable to the expansion of our sales force from the prior year, and a $0.7 million increase in stock-based compensation partially offset by a $2.3 million decrease in marketing expenses. Sales and marketing expenses as a percentage of total revenues was 60% and 59% in the three months ended September 30, 2017 and 2016, respectively.</w:t>
      </w:r>
    </w:p>
    <w:p>
      <w:pPr>
        <w:spacing w:after="0" w:line="134"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$2.7 million, or 13%, from $20.2 million in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2016 to $22.9 million in the three months ended September 30, 2017. The increase is primarily due to an increase in salary and related expenses resulting from the expansion of our engineering group. Research and development expenses as a percentage of total revenues was 14% in the three months ended September 30, 2017 and 13% in the three months ended September 30, 2016. Investing in research and development has been a priority for Commvault, and we anticipate continued spending related to the development of our data and information management software applications.</w:t>
      </w:r>
    </w:p>
    <w:p>
      <w:pPr>
        <w:spacing w:after="0" w:line="10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$2.3 million, or 11%, from $21.3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to $23.6 million in the three months ended September 30, 2017. The increase is primarily the result of an increase in salary and related expenses as well as higher stock-based compensation. General and administrative expenses in the three months ended September 30, 2017 includes less than $0.1 million of net foreign currency transaction gains compared to $0.1 million of net foreign currency transaction gain in the three months ended September 30, 2016. General and administrative expenses as a percentage of total revenues was 14% in the three months ended September 30, 2017 and 13% in the three months ended September 30, 2016.</w:t>
      </w:r>
    </w:p>
    <w:p>
      <w:pPr>
        <w:spacing w:after="0" w:line="13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increased by $0.3 million from $2.1 million in the three months ended September 30,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$2.4 million in the three months ended September 30, 2017.</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 (Benefit)</w:t>
      </w:r>
    </w:p>
    <w:p>
      <w:pPr>
        <w:spacing w:after="0" w:line="17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Income tax benefit was $3.5 million in the three months ended September 30, 2017 compared to a benefit of $0.1 million in the three months ended September 30, 2016. The income tax benefit in the three months ended September 30, 2017 included the $1.4 million impact of excess tax benefit for exercised stock options and vested restricted stock units. In prior periods, excess tax benefit was accounted for as a component of equity. The income tax benefit also includes the favorable impact of research tax credits and was partially offset by the unfavorable impact of permanent book to tax differences. We estimate that cash expenditures for income taxes for fiscal 2018 will be less than $6.0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2017 compared to six months ended September 30, 2016</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Total revenues increased $22.9 million, or 7%, from $311.2 million in the six months ended September 30, 2016 to $334.1 million in the six months ended September 30, 2017.</w:t>
      </w:r>
    </w:p>
    <w:p>
      <w:pPr>
        <w:spacing w:after="0" w:line="11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 xml:space="preserve">Software Revenue. </w:t>
      </w:r>
      <w:r>
        <w:rPr>
          <w:rFonts w:ascii="Arial" w:cs="Arial" w:eastAsia="Arial" w:hAnsi="Arial"/>
          <w:sz w:val="18"/>
          <w:szCs w:val="18"/>
          <w:color w:val="auto"/>
        </w:rPr>
        <w:t>Software revenue increased $13.0 million, or 10%, from $133.8 million in the six months ended September 30, 2016 to $146.8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September 30, 2017. Software revenue represented 44% of our total revenues in the six months ended September 30, 2017 as compared to 43% of total revenues in the six months ended September 30, 2016.</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Americas, EMEA and APAC represented 55%, 31% and 14% of total software revenue, respectively, for the six months ended September 30, 2017. The year-over-year increase of software revenue in the Americas, EMEA and APAC was 1%, 29% and 10%, respectively.</w:t>
      </w:r>
    </w:p>
    <w:p>
      <w:pPr>
        <w:spacing w:after="0" w:line="116" w:lineRule="exact"/>
        <w:rPr>
          <w:sz w:val="20"/>
          <w:szCs w:val="20"/>
          <w:color w:val="auto"/>
        </w:rPr>
      </w:pPr>
    </w:p>
    <w:p>
      <w:pPr>
        <w:ind w:left="660" w:right="24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Americas software revenue for the six months ended September 30, 2017 was the result of an increase in enterprise transaction revenue driven by a higher average dollar value of enterprise revenue transactions. This increase was partially offset by a decline in the amount of revenue from non-enterprise revenue transactions.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5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EMEA software revenue increased as a result of a significant increase in enterprise transaction revenue. The significant increase in enterprise transaction revenue was driven by an increase in both the average dollar value and volume of such transactions.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APAC software revenue was primarily the result of an increase in revenue from non-enterprise revenue transactions.</w:t>
      </w:r>
    </w:p>
    <w:p>
      <w:pPr>
        <w:spacing w:after="0" w:line="171"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software revenue in EMEA and APAC is subject to changes in foreign exchange rates as more fully discussed above in the “Foreign Currency Exchange Rates’ Impact on Results of Operations” section. The year over year impact of foreign currency exchange rates was not significant in the six months ended September 30, 2017.</w:t>
      </w:r>
    </w:p>
    <w:p>
      <w:pPr>
        <w:spacing w:after="0" w:line="12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Software revenue derived from enterprise software transactions (transactions greater than $0.1 million) represented approximately 61% of our software revenue in the six months ended September 30, 2017 and approximately 54% of our software revenue in the six months ended September 30, 2016. Enterprise software transaction revenue increased by $16.9 million, or 23%, in the six months ended September 30, 2017 compared to the six months ended September 30, 2016. This increase was driven by a 31% increase in the average dollar amount of such transactions partially offset by a 6% decline in the number of transactions. The average sales price was approximately $328,000 in the six months ended September 30, 2017 and approximately $250,000 in the six months ended September 30, 2016. Software revenue derived from transactions less than $0.1 million decreased $3.9 million, or 6%, in the six months ended September 30, 2017 compared to the six months ended September 30, 2016.</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$9.9 million, or 6%, from $177.4 million in the six months ended September 30, 2016 to $187.3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six months ended September 30, 2017. Services revenue represented 56% of our total revenues in the six months ended September 30, 2017 and 57% in the six months ended September 30, 2016. The increase in services revenue is due to a $11.0 million increase in revenue from customer support agreements as a result of software sales to new customers and renewal agreements with our installed software base. The increase in customer support revenue was partially offset by a decline in other professional services revenue.</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Total cost of revenues increased $2.3 million, or 5%, from $42.7 million in the six months ended September 30, 2016 to $44.9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September 30, 2017. The gross margin of our services revenue was 77% for the six months ended September 30, 2017 and for the six months ended September 30, 2016. Overall, our services revenue has lower gross margins than our software revenue. The gross margin of our software revenue was approximately 99% for both the six months ended September 30, 2017 and 2016. An increase in the percentage of total revenues represented by services revenue may adversely affect our overall gross margins.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$13.6 million, or 7%, from $186.9 million in the six months ended September 30, 2016 to</w:t>
      </w:r>
      <w:r>
        <w:rPr>
          <w:rFonts w:ascii="Arial" w:cs="Arial" w:eastAsia="Arial" w:hAnsi="Arial"/>
          <w:sz w:val="16"/>
          <w:szCs w:val="16"/>
          <w:i w:val="1"/>
          <w:iCs w:val="1"/>
          <w:color w:val="auto"/>
        </w:rPr>
        <w:t xml:space="preserve"> </w:t>
      </w:r>
      <w:r>
        <w:rPr>
          <w:rFonts w:ascii="Arial" w:cs="Arial" w:eastAsia="Arial" w:hAnsi="Arial"/>
          <w:sz w:val="16"/>
          <w:szCs w:val="16"/>
          <w:color w:val="auto"/>
        </w:rPr>
        <w:t>$200.5 million in the six months ended September 30, 2017. The increase is primarily due to a $12.0 million increase in employee compensation and related expenses mainly attributable to the expansion of our sales force from the prior year and a $2.5 million increase in stock-based compensation. Sales and marketing expenses as a percentage of total revenues was 60% in both the six months ended September 30, 2017 and 2016.</w:t>
      </w:r>
    </w:p>
    <w:p>
      <w:pPr>
        <w:spacing w:after="0" w:line="10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$6.0 million, or 15%, from $39.4 million in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2016 to $45.5 million in the six months ended September 30, 2017. The increase is due to salary and related expenses resulting from the expansion of our engineering group. Research and development expenses as a percentage of total revenues was 14% in the six months ended September 30, 2017 and 13% in the six months ended September 30, 2016. Investing in research and development has been a priority for Commvault, and we anticipate continued spending related to the development of our data and information management software applications.</w:t>
      </w:r>
    </w:p>
    <w:p>
      <w:pPr>
        <w:spacing w:after="0" w:line="11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$6.2 million, or 15%, from $41.3 million in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to $47.5 million in the six months ended September 30, 2017. The increase is primarily the result of an increase in employee compensation and related expenses. Expenses in the six months ended September 30, 2017 includes approximately $0.2 million of net foreign currency transaction gains compared to $0.4 million of net foreign currency transaction gains in the six months ended September 30, 2016. General and administrative expenses as a percentage of total revenues increased to 14% in the six months ended September 30, 2017 from 13% in the six months ended September 30, 2016.</w:t>
      </w:r>
    </w:p>
    <w:p>
      <w:pPr>
        <w:spacing w:after="0" w:line="13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increased by $0.5 million from $4.2 million in the six months ended September 30, 2016 to $4.8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September 30,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 (Benefit)</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Income tax benefit was $7.3 million in the six months ended September 30, 2017 compared to a benefit of $0.8 million in the six months ended September 30, 2016. The income tax benefit includes the impact of $3.8 million of excess tax benefit for exercised stock options and vested restricted stock units. In prior periods, excess tax benefit was accounted for as a component of equity. The income tax benefit also includes the favorable impact of research tax credits and was partially offset by the unfavorable impact of permanent book to tax differences. We estimate that cash expenditures for income taxes for fiscal 2018 will be less than $6.0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of September 30, 2017, our cash and cash equivalents balance of $363.3 million primarily consisted of cash and money market funds. In addition, as of September 30, 2017 we have short-term investments invested in U.S. Treasury Bills totaling $131.3 million. In recent fiscal years, our principal source of liquidity has been cash provided by operations.</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of September 30, 2017, the amount of cash and cash equivalents held outside of the United States by our foreign legal entities was approximately $189 million. These balances are dispersed across many international locations around the world. We believe that such dispersion meets the current and anticipated future liquidity needs of our foreign legal entities. In addition, it is our intention to indefinitely reinvest undistributed earnings of our foreign legal entities. In the event we needed to repatriate funds from outside of the United States, such repatriation would likely be subject to restrictions by local laws and/or tax consequences including foreign withholding taxes or U.S. income taxes. It is not currently practical to estimate the legal restrictions or tax liability that would arise from such repatriations.</w:t>
      </w:r>
    </w:p>
    <w:p>
      <w:pPr>
        <w:spacing w:after="0" w:line="13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We have a five-year $250 million revolving credit facility (the “Credit Facility”) that expires in June 2019.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actual leverage. The unused balance on the Credit Facility is also subject to a 0.25% annual interest charge subject to increases based on our actual leverage. As of September 30, 2017, there were no borrowings under the Credit Facility and we believe we are in compliance with all covenants.</w:t>
      </w:r>
    </w:p>
    <w:p>
      <w:pPr>
        <w:spacing w:after="0" w:line="128"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During the three and six months ended September 30, 2017, we repurchased $11.3 million of common stock shares under our share repurchase program. As of September 30, 2017 there was $113.7 million remaining in the share repurchase program which expires March 31, 2018. Under our stock repurchase program, repurchased shares are constructively retired and returned to unissued status. Our stock repurchase program has been funded by our existing cash and cash equivalent balances as well as cash flows provided by our operations.</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Six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2332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38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29,618</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44,286</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(13,199)</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(20,840)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cash provided by (used in) financing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12,654</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11,945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92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33,840</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33,687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70"/>
              <w:spacing w:after="0"/>
              <w:rPr>
                <w:sz w:val="20"/>
                <w:szCs w:val="20"/>
                <w:color w:val="auto"/>
              </w:rPr>
            </w:pPr>
            <w:r>
              <w:rPr>
                <w:rFonts w:ascii="Arial" w:cs="Arial" w:eastAsia="Arial" w:hAnsi="Arial"/>
                <w:sz w:val="18"/>
                <w:szCs w:val="18"/>
                <w:color w:val="auto"/>
              </w:rPr>
              <w:t>27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85" w:lineRule="auto"/>
        <w:rPr>
          <w:sz w:val="20"/>
          <w:szCs w:val="20"/>
          <w:color w:val="auto"/>
        </w:rPr>
      </w:pPr>
      <w:r>
        <w:rPr>
          <w:rFonts w:ascii="Arial" w:cs="Arial" w:eastAsia="Arial" w:hAnsi="Arial"/>
          <w:sz w:val="16"/>
          <w:szCs w:val="16"/>
          <w:color w:val="auto"/>
        </w:rPr>
        <w:t>Net cash provided by operating activities was $29.6 million in the six months ended September 30, 2017 and $44.3 million in the six months ended September 30, 2016. In the six months ended September 30, 2017, cash provided by operating activities was primarily due to net loss adjusted for the impact of non-cash charges, an increase in deferred revenue and collection of accounts receivable. These amounts were partially offset by a decrease in Accrued liabilities and an increase in Other current assets. Cash flow from operations in the six month period ended September 30, 2017 also includes $3.8 of excess tax benefits for exercised stock options and vested restricted stock units. In prior periods excess tax benefits were classified as financing activities. In</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six months ended September 30, 2016, cash provided by operating activities was primarily due to net loss adjusted for the impact of non-cash charges, a decrease in accounts receivable due to timing of cash receipts and an increase in deferred revenue.</w:t>
      </w:r>
    </w:p>
    <w:p>
      <w:pPr>
        <w:spacing w:after="0" w:line="13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Net cash used in investing activities was $13.2 million for the six months ended September 30, 2017 and $20.8 million in the six months ended September 30, 2016. In the six months ended September 30, 2017, cash used in investing activities was related to $10.6 million in net purchases of U.S. Treasury Bills and $2.6 million of capital expenditures. In the six months ended September 30, 2016, cash used in investing activities was related to $18.8 million in net purchases of U.S. Treasury Bills and $2.1 million of capital expenditures.</w:t>
      </w:r>
    </w:p>
    <w:p>
      <w:pPr>
        <w:spacing w:after="0" w:line="13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Net cash provided by (used in) financing activities was $5.5 million in the six months ended September 30, 2017 and $12.7 million in the six months ended September 30, 2016. The cash provided by financing activities in the six months ended September 30, 2017 was due to $16.7 million of proceeds from the exercise of stock options and our employee stock purchase program, partially offset by $11.3 million of repurchases of common shares. The cash provided by financing activities in the six months ended September 30, 2016 was due to $11.5 million of proceeds from the exercise of stock options and purchases under the employee stock purchase plan and $1.2 million of excess tax benefits recognized as a result of the stock option exercises and restricted stock vesting. As a result of the adoption of new accounting guidance, excess tax benefits are now included in cash from operating activities.</w:t>
      </w:r>
    </w:p>
    <w:p>
      <w:pPr>
        <w:spacing w:after="0" w:line="11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Working capital increased $55.0 million from $318.1 million as of March 31, 2017 to $373.1 million as of September 30, 2017. The net increase in working capital is due primarily to a net increase in cash and short-term investments that was a result of the cash flows generated from operations. 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including borrowing under our revolving credit facility,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As of September 30, 2017,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As of September 30, 2017,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 a global company, we face exposure to adverse movements in foreign currency exchange rates. Our international sales are generally denominated in foreign currencies and this revenue could be materially affected by currency fluctuations. Approximately 45% of our sales were outside the United States for the six months ended September 30, 2017.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Loss. We recognized a net foreign currency transaction gain of less than $0.1 million and $0.2 million in the three and six months ended September 30, 2017. We recognized net foreign currency transaction gain of $0.1 million and $0.4 million in the three and six months ended September 30, 2016. The net foreign currency transaction gains and losses recorded in “General and administrative” expenses include settlement gains and losses on forward contracts disclosed below.</w:t>
      </w:r>
    </w:p>
    <w:p>
      <w:pPr>
        <w:spacing w:after="0" w:line="13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To date, we have selectively hedged our exposure to foreign currency transaction gains and losses on the balance sheet through the use of forward contracts, which were not designated as hedging instruments. The duration of forward contracts utilized for hedging our balance sheet exposure is generally one to three months. Gains and losses from these contracts are recorded in general and administrative expenses. As of September 30, 2017 and March 31, 2017, we did not have any forward contracts outstanding. We recorded net realized gains of less than $0.1 million and $0.2 million related to the settlement of forward exchange contracts in the three and six months ended September 30, 2017. We recorded net realized gains and losses of less than $0.1 million related to the settlement of forward exchange contracts in the three and six months ended September 30, 2016. In the future, we may enter into additional foreign currency based hedging contracts to reduce our exposure to significant fluctuations in currency exchange rates on the balance sheet.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the our disclosure controls and procedures, as defined in Rules 13a-15(e) and 15d-15(e) of the Securities Exchange Act of 1934, as of September 30, 2017. Based on that evaluation, the Chief Executive Officer and Chief Financial Officer concluded that our disclosure controls and procedures were effective as of September 30, 2017.</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second quarter of fiscal 2018 that has materially affected, or is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disclosures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Except as discussed below, we do not believe that we are currently party to any pending legal action that could reasonably be expected to have a material adverse effect on our business or operating results.</w:t>
      </w:r>
    </w:p>
    <w:p>
      <w:pPr>
        <w:spacing w:after="0" w:line="262"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On September 10, 2014, a purported class action complaint was filed in the United States District Court for the District of New Jersey against the Company, our Chief Executive Officer and our Chief Financial Officer. The case is captioned In re Commvault Systems, Inc. Securities Litigation (Master File No. 3:14-cv-05628-MAS-LHG). The suit alleges that we made materially false and misleading statements, or failed to disclose material facts, regarding our financial results, business, operations and prospects in violation of Sections 10(b) and 20(a) of the Securities Exchange Act of 1934 and Rule 10b-5 promulgated thereunder. The suit is purportedly brought on behalf of purchasers of our common stock during the period from May 7, 2013 through April 24, 2014,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Thereafter, discovery commenced. On October 2, 2017, the parties entered into an agreement in principle to settle the action for $12.5 million. We have not recorded an accrual for this matter as the settlement amount is to be funded solely by our insurers. The settlement is subject to final documentation and court approval. There can be no assurance that the settlement will ultimately be approved or that it will become final. If the settlement does not occur and litigation continues, we believe that we have meritorious defenses and intend to defend the case vigorously. However, due to the inherent uncertainties of litigation, we cannot accurately predict the ultimate outcome of this matter if the litigation continues.</w:t>
      </w:r>
    </w:p>
    <w:p>
      <w:pPr>
        <w:spacing w:after="0" w:line="18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April 12, 2017, a shareholder derivative complaint was filed in the United States District Court for the District of New Jersey against us (nominally), certain of its executive officers and certain members of the board of directors. The complaint is entitled Murashko v. Hammer, et al. (Civ. No. 3:17-cv-02533-PGS-TJB). The plaintiff filed an amended complaint on July 14, 2017. The amended complaint largely repeats the allegations made in the securities litigation also pending in the United States District Court for the District of New Jersey (In re Commvault Systems, Inc. Securities Litigation (Master File No. 3:14-cv-05628-PGS-LHG), claiming that the defendant officers and directors breached their fiduciary duties to us by causing, or allowing, us to manipulate its financial results and conceal the state of its business prospects. The suit also alleges that certain executive officers engaged in unlawful insider trading in 2013 and/or 2014 based on their knowledge of the information that was supposedly concealed. The allegations asserted in the shareholder derivative action purport to cover a period from 2013 through the present. As a derivative action, the complaint does not seek damages, but rather seeks to recover from the defendant officers and directors on behalf of the company compensatory damages, restitution, costs and expenses, as well as equitable or other relief. On August 29, 2017, all of the defendants, including the Company, filed a motion to dismiss the derivative action, and a hearing has been scheduled on this motion in December. Due to the inherent uncertainties of litigation, we cannot accurately predict the ultimate outcome of this matter. We are unable at this time to determine whether the outcome of the litigation will have a material impact. As of September 30, 2017, we have not recorded an accrual for this matter as we have concluded the probability of a loss is remote.</w:t>
      </w:r>
    </w:p>
    <w:p>
      <w:pPr>
        <w:spacing w:after="0" w:line="188"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On February 27, 2017, Realtime Data LLC d/b/a/ IXO (“Realtime”), a non-practicing entity, sued us and Spectra Logic Corporation in the Eastern District of Texas for alleged infringement of four patents: U.S. Patent Nos. 9,054,728, 7,415,530, 9,116,908, and 8,717,204. Realtime dismissed the case in Texas and refiled this case in the District of Delaware on July 10, 2017. Realtime has sued numerous other companies for infringement of these and other patents. Realtime seeks monetary damages and an injunction. We responded to the complaint by filing a motion to dismiss on the grounds that the patents are directed to patent-ineligible subject matter. The Court has not yet ruled on this motion. Due to the inherent uncertainties of litigation, we cannot accurately predict the ultimate outcome of this matter. We are unable at this time to determine whether the outcome of the litigation will have a material impact on our results of operations, financial condition or cash flows. We intend to defend ourselves vigorously. As of September 30, 2017, we have not recorded an accrual for this matter as we have concluded that the probability of a loss is remote.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2017,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During the second fiscal quarter of the fiscal 2018, we repurchased $11.3 million of common stock, or 192,367 shares, under our share repurchase program. A summary of our repurchases of common stock during the three months ended September 30, 2017 is as follows:</w:t>
      </w:r>
    </w:p>
    <w:p>
      <w:pPr>
        <w:spacing w:after="0" w:line="170"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dollar value of</w:t>
            </w: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shares that may</w:t>
            </w: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Total number of</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 paid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under the</w:t>
            </w:r>
          </w:p>
        </w:tc>
      </w:tr>
      <w:tr>
        <w:trPr>
          <w:trHeight w:val="234"/>
        </w:trPr>
        <w:tc>
          <w:tcPr>
            <w:tcW w:w="1760" w:type="dxa"/>
            <w:vAlign w:val="bottom"/>
            <w:gridSpan w:val="2"/>
          </w:tcPr>
          <w:p>
            <w:pPr>
              <w:ind w:left="56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share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program</w:t>
            </w:r>
          </w:p>
        </w:tc>
      </w:tr>
      <w:tr>
        <w:trPr>
          <w:trHeight w:val="34"/>
        </w:trPr>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July 2017</w:t>
            </w: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124,999,152</w:t>
            </w:r>
          </w:p>
        </w:tc>
      </w:tr>
      <w:tr>
        <w:trPr>
          <w:trHeight w:val="243"/>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August 2017</w:t>
            </w:r>
          </w:p>
        </w:tc>
        <w:tc>
          <w:tcPr>
            <w:tcW w:w="1500" w:type="dxa"/>
            <w:vAlign w:val="bottom"/>
          </w:tcPr>
          <w:p>
            <w:pPr>
              <w:jc w:val="right"/>
              <w:spacing w:after="0"/>
              <w:rPr>
                <w:sz w:val="20"/>
                <w:szCs w:val="20"/>
                <w:color w:val="auto"/>
              </w:rPr>
            </w:pPr>
            <w:r>
              <w:rPr>
                <w:rFonts w:ascii="Arial" w:cs="Arial" w:eastAsia="Arial" w:hAnsi="Arial"/>
                <w:sz w:val="18"/>
                <w:szCs w:val="18"/>
                <w:color w:val="auto"/>
              </w:rPr>
              <w:t>192,367</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58.64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192,367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113,739,737</w:t>
            </w: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September 2017</w:t>
            </w: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113,739,737</w:t>
            </w:r>
          </w:p>
        </w:tc>
      </w:tr>
      <w:tr>
        <w:trPr>
          <w:trHeight w:val="209"/>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Three months ended</w:t>
            </w: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September 30, 2017</w:t>
            </w:r>
          </w:p>
        </w:tc>
        <w:tc>
          <w:tcPr>
            <w:tcW w:w="1500" w:type="dxa"/>
            <w:vAlign w:val="bottom"/>
          </w:tcPr>
          <w:p>
            <w:pPr>
              <w:jc w:val="right"/>
              <w:spacing w:after="0"/>
              <w:rPr>
                <w:sz w:val="20"/>
                <w:szCs w:val="20"/>
                <w:color w:val="auto"/>
              </w:rPr>
            </w:pPr>
            <w:r>
              <w:rPr>
                <w:rFonts w:ascii="Arial" w:cs="Arial" w:eastAsia="Arial" w:hAnsi="Arial"/>
                <w:sz w:val="18"/>
                <w:szCs w:val="18"/>
                <w:color w:val="auto"/>
              </w:rPr>
              <w:t>192,367</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58.64</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192,367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list of exhibits filed herewith is included on the Exhibit Index, which immediately precedes such exhibits and is incorporated herein by reference.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80" w:type="dxa"/>
            <w:vAlign w:val="bottom"/>
          </w:tcPr>
          <w:p>
            <w:pPr>
              <w:ind w:left="220"/>
              <w:spacing w:after="0"/>
              <w:rPr>
                <w:sz w:val="20"/>
                <w:szCs w:val="20"/>
                <w:color w:val="auto"/>
              </w:rPr>
            </w:pPr>
            <w:r>
              <w:rPr>
                <w:rFonts w:ascii="Arial" w:cs="Arial" w:eastAsia="Arial" w:hAnsi="Arial"/>
                <w:sz w:val="18"/>
                <w:szCs w:val="18"/>
                <w:color w:val="auto"/>
              </w:rPr>
              <w:t>October 27, 2017</w:t>
            </w:r>
          </w:p>
        </w:tc>
        <w:tc>
          <w:tcPr>
            <w:tcW w:w="3400" w:type="dxa"/>
            <w:vAlign w:val="bottom"/>
          </w:tcPr>
          <w:p>
            <w:pPr>
              <w:ind w:left="286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N. Robert Hammer</w:t>
            </w:r>
          </w:p>
        </w:tc>
      </w:tr>
      <w:tr>
        <w:trPr>
          <w:trHeight w:val="27"/>
        </w:trPr>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500" w:type="dxa"/>
            <w:vAlign w:val="bottom"/>
            <w:gridSpan w:val="2"/>
          </w:tcPr>
          <w:p>
            <w:pPr>
              <w:ind w:left="2860"/>
              <w:spacing w:after="0"/>
              <w:rPr>
                <w:sz w:val="20"/>
                <w:szCs w:val="20"/>
                <w:color w:val="auto"/>
              </w:rPr>
            </w:pPr>
            <w:r>
              <w:rPr>
                <w:rFonts w:ascii="Arial" w:cs="Arial" w:eastAsia="Arial" w:hAnsi="Arial"/>
                <w:sz w:val="18"/>
                <w:szCs w:val="18"/>
                <w:color w:val="auto"/>
              </w:rPr>
              <w:t>N. Robert Hammer</w:t>
            </w:r>
          </w:p>
        </w:tc>
      </w:tr>
      <w:tr>
        <w:trPr>
          <w:trHeight w:val="269"/>
        </w:trPr>
        <w:tc>
          <w:tcPr>
            <w:tcW w:w="7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500" w:type="dxa"/>
            <w:vAlign w:val="bottom"/>
            <w:gridSpan w:val="2"/>
          </w:tcPr>
          <w:p>
            <w:pPr>
              <w:ind w:left="2860"/>
              <w:spacing w:after="0"/>
              <w:rPr>
                <w:sz w:val="20"/>
                <w:szCs w:val="20"/>
                <w:color w:val="auto"/>
              </w:rPr>
            </w:pPr>
            <w:r>
              <w:rPr>
                <w:rFonts w:ascii="Arial" w:cs="Arial" w:eastAsia="Arial" w:hAnsi="Arial"/>
                <w:sz w:val="18"/>
                <w:szCs w:val="18"/>
                <w:color w:val="auto"/>
              </w:rPr>
              <w:t>Chairman, 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80" w:type="dxa"/>
            <w:vAlign w:val="bottom"/>
          </w:tcPr>
          <w:p>
            <w:pPr>
              <w:ind w:left="220"/>
              <w:spacing w:after="0"/>
              <w:rPr>
                <w:sz w:val="20"/>
                <w:szCs w:val="20"/>
                <w:color w:val="auto"/>
              </w:rPr>
            </w:pPr>
            <w:r>
              <w:rPr>
                <w:rFonts w:ascii="Arial" w:cs="Arial" w:eastAsia="Arial" w:hAnsi="Arial"/>
                <w:sz w:val="18"/>
                <w:szCs w:val="18"/>
                <w:color w:val="auto"/>
              </w:rPr>
              <w:t>October 27, 2017</w:t>
            </w:r>
          </w:p>
        </w:tc>
        <w:tc>
          <w:tcPr>
            <w:tcW w:w="3400" w:type="dxa"/>
            <w:vAlign w:val="bottom"/>
          </w:tcPr>
          <w:p>
            <w:pPr>
              <w:ind w:left="286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750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400" w:type="dxa"/>
            <w:vAlign w:val="bottom"/>
          </w:tcPr>
          <w:p>
            <w:pPr>
              <w:ind w:left="286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7500" w:type="dxa"/>
            <w:vAlign w:val="bottom"/>
            <w:gridSpan w:val="2"/>
          </w:tcPr>
          <w:p>
            <w:pPr>
              <w:ind w:left="2860"/>
              <w:spacing w:after="0"/>
              <w:rPr>
                <w:sz w:val="20"/>
                <w:szCs w:val="20"/>
                <w:color w:val="auto"/>
              </w:rPr>
            </w:pPr>
            <w:r>
              <w:rPr>
                <w:rFonts w:ascii="Arial" w:cs="Arial" w:eastAsia="Arial" w:hAnsi="Arial"/>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0" w:type="dxa"/>
            <w:vAlign w:val="bottom"/>
          </w:tcPr>
          <w:p>
            <w:pPr>
              <w:ind w:left="1700"/>
              <w:spacing w:after="0"/>
              <w:rPr>
                <w:sz w:val="20"/>
                <w:szCs w:val="20"/>
                <w:color w:val="auto"/>
              </w:rPr>
            </w:pPr>
            <w:r>
              <w:rPr>
                <w:rFonts w:ascii="Arial" w:cs="Arial" w:eastAsia="Arial" w:hAnsi="Arial"/>
                <w:sz w:val="18"/>
                <w:szCs w:val="18"/>
                <w:color w:val="auto"/>
              </w:rPr>
              <w:t>33</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0" w:type="dxa"/>
            <w:vAlign w:val="bottom"/>
            <w:gridSpan w:val="3"/>
          </w:tcPr>
          <w:p>
            <w:pPr>
              <w:ind w:left="3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0"/>
        </w:trPr>
        <w:tc>
          <w:tcPr>
            <w:tcW w:w="1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44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0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80" w:type="dxa"/>
            <w:vAlign w:val="bottom"/>
          </w:tcPr>
          <w:p>
            <w:pPr>
              <w:spacing w:after="0"/>
              <w:rPr>
                <w:sz w:val="13"/>
                <w:szCs w:val="13"/>
                <w:color w:val="auto"/>
              </w:rPr>
            </w:pPr>
          </w:p>
        </w:tc>
        <w:tc>
          <w:tcPr>
            <w:tcW w:w="9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8"/>
              </w:rPr>
              <w:t>No.</w:t>
            </w:r>
          </w:p>
        </w:tc>
        <w:tc>
          <w:tcPr>
            <w:tcW w:w="44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0" w:type="dxa"/>
            <w:vAlign w:val="bottom"/>
            <w:gridSpan w:val="3"/>
            <w:vMerge w:val="restart"/>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96"/>
        </w:trPr>
        <w:tc>
          <w:tcPr>
            <w:tcW w:w="480" w:type="dxa"/>
            <w:vAlign w:val="bottom"/>
            <w:gridSpan w:val="2"/>
          </w:tcPr>
          <w:p>
            <w:pPr>
              <w:ind w:left="180"/>
              <w:spacing w:after="0" w:line="196" w:lineRule="exact"/>
              <w:rPr>
                <w:rFonts w:ascii="Arial" w:cs="Arial" w:eastAsia="Arial" w:hAnsi="Arial"/>
                <w:sz w:val="18"/>
                <w:szCs w:val="18"/>
                <w:color w:val="0000FF"/>
                <w:w w:val="79"/>
              </w:rPr>
            </w:pPr>
            <w:hyperlink w:anchor="page37">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600" w:type="dxa"/>
            <w:vAlign w:val="bottom"/>
          </w:tcPr>
          <w:p>
            <w:pPr>
              <w:spacing w:after="0"/>
              <w:rPr>
                <w:sz w:val="17"/>
                <w:szCs w:val="17"/>
                <w:color w:val="auto"/>
              </w:rPr>
            </w:pPr>
          </w:p>
        </w:tc>
        <w:tc>
          <w:tcPr>
            <w:tcW w:w="92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600" w:type="dxa"/>
            <w:vAlign w:val="bottom"/>
          </w:tcPr>
          <w:p>
            <w:pPr>
              <w:spacing w:after="0"/>
              <w:rPr>
                <w:sz w:val="21"/>
                <w:szCs w:val="21"/>
                <w:color w:val="auto"/>
              </w:rPr>
            </w:pPr>
          </w:p>
        </w:tc>
        <w:tc>
          <w:tcPr>
            <w:tcW w:w="92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600" w:type="dxa"/>
            <w:vAlign w:val="bottom"/>
          </w:tcPr>
          <w:p>
            <w:pPr>
              <w:spacing w:after="0"/>
              <w:rPr>
                <w:sz w:val="21"/>
                <w:szCs w:val="21"/>
                <w:color w:val="auto"/>
              </w:rPr>
            </w:pPr>
          </w:p>
        </w:tc>
        <w:tc>
          <w:tcPr>
            <w:tcW w:w="92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600" w:type="dxa"/>
            <w:vAlign w:val="bottom"/>
          </w:tcPr>
          <w:p>
            <w:pPr>
              <w:spacing w:after="0"/>
              <w:rPr>
                <w:sz w:val="21"/>
                <w:szCs w:val="21"/>
                <w:color w:val="auto"/>
              </w:rPr>
            </w:pPr>
          </w:p>
        </w:tc>
        <w:tc>
          <w:tcPr>
            <w:tcW w:w="9200" w:type="dxa"/>
            <w:vAlign w:val="bottom"/>
            <w:gridSpan w:val="3"/>
          </w:tcPr>
          <w:p>
            <w:pPr>
              <w:ind w:left="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2"/>
          </w:tcPr>
          <w:p>
            <w:pPr>
              <w:ind w:left="180"/>
              <w:spacing w:after="0"/>
              <w:rPr>
                <w:rFonts w:ascii="Arial" w:cs="Arial" w:eastAsia="Arial" w:hAnsi="Arial"/>
                <w:sz w:val="18"/>
                <w:szCs w:val="18"/>
                <w:color w:val="0000FF"/>
                <w:w w:val="79"/>
              </w:rPr>
            </w:pPr>
            <w:hyperlink r:id="rId20">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600" w:type="dxa"/>
            <w:vAlign w:val="bottom"/>
          </w:tcPr>
          <w:p>
            <w:pPr>
              <w:spacing w:after="0"/>
              <w:rPr>
                <w:sz w:val="21"/>
                <w:szCs w:val="21"/>
                <w:color w:val="auto"/>
              </w:rPr>
            </w:pPr>
          </w:p>
        </w:tc>
        <w:tc>
          <w:tcPr>
            <w:tcW w:w="9200" w:type="dxa"/>
            <w:vAlign w:val="bottom"/>
            <w:gridSpan w:val="3"/>
          </w:tcPr>
          <w:p>
            <w:pPr>
              <w:ind w:left="20"/>
              <w:spacing w:after="0"/>
              <w:rPr>
                <w:sz w:val="20"/>
                <w:szCs w:val="20"/>
                <w:color w:val="auto"/>
              </w:rPr>
            </w:pPr>
            <w:r>
              <w:rPr>
                <w:rFonts w:ascii="Arial" w:cs="Arial" w:eastAsia="Arial" w:hAnsi="Arial"/>
                <w:sz w:val="18"/>
                <w:szCs w:val="18"/>
                <w:color w:val="auto"/>
                <w:w w:val="91"/>
              </w:rPr>
              <w:t>The Commvault Systems, Inc. Omnibus Incentive Plan (As Amended Through the First Amendment Thereof) (Incorporated by</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0" w:type="dxa"/>
            <w:vAlign w:val="bottom"/>
          </w:tcPr>
          <w:p>
            <w:pPr>
              <w:spacing w:after="0"/>
              <w:rPr>
                <w:sz w:val="20"/>
                <w:szCs w:val="20"/>
                <w:color w:val="auto"/>
              </w:rPr>
            </w:pPr>
          </w:p>
        </w:tc>
        <w:tc>
          <w:tcPr>
            <w:tcW w:w="9200" w:type="dxa"/>
            <w:vAlign w:val="bottom"/>
            <w:gridSpan w:val="3"/>
          </w:tcPr>
          <w:p>
            <w:pPr>
              <w:ind w:left="20"/>
              <w:spacing w:after="0"/>
              <w:rPr>
                <w:sz w:val="20"/>
                <w:szCs w:val="20"/>
                <w:color w:val="auto"/>
              </w:rPr>
            </w:pPr>
            <w:r>
              <w:rPr>
                <w:rFonts w:ascii="Arial" w:cs="Arial" w:eastAsia="Arial" w:hAnsi="Arial"/>
                <w:sz w:val="18"/>
                <w:szCs w:val="18"/>
                <w:color w:val="auto"/>
              </w:rPr>
              <w:t>reference to Exhibit 10.1 to the Registrant’s Form 8-K dated August 25, 2017)</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920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92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92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92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92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92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40" w:type="dxa"/>
            <w:vAlign w:val="bottom"/>
            <w:gridSpan w:val="2"/>
          </w:tcPr>
          <w:p>
            <w:pPr>
              <w:ind w:left="4540"/>
              <w:spacing w:after="0"/>
              <w:rPr>
                <w:sz w:val="20"/>
                <w:szCs w:val="20"/>
                <w:color w:val="auto"/>
              </w:rPr>
            </w:pPr>
            <w:r>
              <w:rPr>
                <w:rFonts w:ascii="Arial" w:cs="Arial" w:eastAsia="Arial" w:hAnsi="Arial"/>
                <w:sz w:val="18"/>
                <w:szCs w:val="18"/>
                <w:color w:val="auto"/>
              </w:rPr>
              <w:t>34</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5" w:right="1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 Robert Hammer,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2017</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2017</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September 30, 2017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September 30, 2017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0" Type="http://schemas.openxmlformats.org/officeDocument/2006/relationships/hyperlink" Target="http://www.sec.gov/Archives/edgar/data/1169561/000116956117000028/firstamendmenttoincentive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2019-12-29T03:58:04Z</dcterms:created>
  <dcterms:modified xsi:type="dcterms:W3CDTF">2019-12-29T03:58:04Z</dcterms:modified>
</cp:coreProperties>
</file>