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28, 2026</w:t>
      </w:r>
    </w:p>
    <w:p>
      <w:pPr>
        <w:spacing w:after="0" w:line="158"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S-3</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COMMVAULT SYSTEMS, INC.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22-3447504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Commvault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Tinton Falls, New Jersey 07724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(732) 870-4000</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2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Sanjay Mirchandani</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Commvault Way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Tinton Falls, New Jersey 07724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(732) 870-4000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Sophia Hudson, P.C.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601 Lexington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446-4800</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11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_____________________</w:t>
      </w:r>
    </w:p>
    <w:p>
      <w:pPr>
        <w:spacing w:after="0" w:line="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240"/>
          </w:cols>
          <w:pgMar w:left="320" w:top="752" w:right="339" w:bottom="144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p>
      <w:pPr>
        <w:spacing w:after="0" w:line="207" w:lineRule="exact"/>
        <w:tabs>
          <w:tab w:leader="none" w:pos="17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 xml:space="preserve">  ☐</w:t>
      </w:r>
    </w:p>
    <w:p>
      <w:pPr>
        <w:spacing w:after="0" w:line="96" w:lineRule="exact"/>
        <w:rPr>
          <w:sz w:val="20"/>
          <w:szCs w:val="20"/>
          <w:color w:val="auto"/>
        </w:rPr>
      </w:pPr>
    </w:p>
    <w:p>
      <w:pPr>
        <w:spacing w:after="0" w:line="207" w:lineRule="exact"/>
        <w:tabs>
          <w:tab w:leader="none" w:pos="17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Smaller Reporting Company</w:t>
      </w:r>
      <w:r>
        <w:rPr>
          <w:rFonts w:ascii="MS PGothic" w:cs="MS PGothic" w:eastAsia="MS PGothic" w:hAnsi="MS PGothic"/>
          <w:sz w:val="18"/>
          <w:szCs w:val="18"/>
          <w:color w:val="auto"/>
        </w:rPr>
        <w:t xml:space="preserve">  ☐</w:t>
      </w:r>
    </w:p>
    <w:p>
      <w:pPr>
        <w:spacing w:after="0" w:line="63" w:lineRule="exact"/>
        <w:rPr>
          <w:sz w:val="20"/>
          <w:szCs w:val="20"/>
          <w:color w:val="auto"/>
        </w:rPr>
      </w:pPr>
    </w:p>
    <w:p>
      <w:pPr>
        <w:ind w:left="360"/>
        <w:spacing w:after="0" w:line="207" w:lineRule="exact"/>
        <w:tabs>
          <w:tab w:leader="none" w:pos="25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ectPr>
          <w:pgSz w:w="11900" w:h="16838" w:orient="portrait"/>
          <w:cols w:equalWidth="0" w:num="1">
            <w:col w:w="11240"/>
          </w:cols>
          <w:pgMar w:left="320" w:top="64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156845</wp:posOffset>
            </wp:positionV>
            <wp:extent cx="779780" cy="779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COMMVAULT SYSTEMS, INC.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Preferred Stock</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Depositary Shares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Debt Securities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Warrants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Stock Purchase Contracts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Stock Purchase Units</w:t>
      </w:r>
    </w:p>
    <w:p>
      <w:pPr>
        <w:spacing w:after="0" w:line="12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 should read this prospectus and the applicable prospectus supplement carefully before you invest in any offered securities.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Commvault Systems, Inc. (“Commvault”) may offer and sell the securities identified above under its name, from time to time, in one or more offerings. This prospectus provides you with a general description of the securities. The applicable prospectus supplement will contain the specific terms of the securities being offered thereby.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Commvault may sell these securities to or through underwriters, dealers or agents or directly or through its subsidiaries to purchasers.</w:t>
      </w:r>
    </w:p>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Commvault’s common stock is listed on The Nasdaq Stock Market under the trading symbol “CVLT.” Each prospectus supplement will indicate if the securities offered thereby will be listed on any securities exchange.</w:t>
      </w:r>
    </w:p>
    <w:p>
      <w:pPr>
        <w:spacing w:after="0" w:line="5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See “Risk Factors” on page 3 of this prospectus, as well as any risk factors contained in any prospectus supplement and the documents incorporated by reference herein and therein, before you make your investment decision.</w:t>
      </w:r>
    </w:p>
    <w:p>
      <w:pPr>
        <w:spacing w:after="0" w:line="4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prospectus supplement is truthful or complete. Any representation to the contrary is a criminal offense.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October 28, 2026.</w:t>
      </w:r>
    </w:p>
    <w:p>
      <w:pPr>
        <w:sectPr>
          <w:pgSz w:w="11900" w:h="16838" w:orient="portrait"/>
          <w:cols w:equalWidth="0" w:num="1">
            <w:col w:w="11240"/>
          </w:cols>
          <w:pgMar w:left="320" w:top="14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6980" w:type="dxa"/>
            <w:vAlign w:val="bottom"/>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4240" w:type="dxa"/>
            <w:vAlign w:val="bottom"/>
          </w:tcPr>
          <w:p>
            <w:pPr>
              <w:spacing w:after="0"/>
              <w:rPr>
                <w:sz w:val="24"/>
                <w:szCs w:val="24"/>
                <w:color w:val="auto"/>
              </w:rPr>
            </w:pP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6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 COMPANY</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13" w:right="339" w:bottom="1440" w:gutter="0" w:footer="0" w:header="0"/>
        </w:sectPr>
      </w:pPr>
    </w:p>
    <w:bookmarkStart w:id="4" w:name="page5"/>
    <w:bookmarkEnd w:id="4"/>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Under this shelf registration statement, Commvault may offer and sell, from time to time, an indeterminate amount of any combination of the securities described in this prospectus in one or more offerings.</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Commvault may offer and sell. Each time that securities are offered, a prospectus supplement containing specific information about the terms of that offering will be provided, including the specific amounts, prices and terms of the securities offered. The applicable prospectus supplement and any other offering material may also add to, update or change information contained in this prospectus or in documents incorporated by reference into this prospectus. We have not authorized anyone else to provide you with different information. We urge you to read both this prospectus and the applicable prospectus supplement, together with the additional information described under the heading “Where You Can Find More Information.”</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making an offer to sell, or soliciting an offer to buy, any of these securities in any jurisdiction where an offer or sale is not permitted. You should not assume that the information contained in this prospectus or the applicable prospectus supplement is accurate as of any date other than the date on the front cover of this prospectus or the applicable prospectus supplement, as the case may be, or that the information incorporated by reference herein and therein is accurate as of any date other than the date of the relevant report or other document in which such information is contained.</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indicated or unless the context otherwise requires, as used in this prospectus, the terms “we,” “us,” “our,” “Company” or “Commvault” refer to Commvault Systems, Inc. and its subsidiaries, except in the section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where such terms refer only to Commvault Systems, Inc., excluding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Commvault is a provider of cyber resiliency solutions designed to help the enterprise protect, secure, and recover their data, applications and identity systems in a world of increasing cyber threats and attacks. Our offerings provide cyber resilience, including data protection, cyber recovery, data security and governance, aiming to enable customers’ continuous business. Our offerings are delivered through self-managed software, software-as-a-service (“SaaS”), integrated appliances or managed by partners. Customers use our Commvault Cloud platform to help protect themselves from threats like ransomware and recover their data efficiently.</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 Commvault Way, Tinton Falls, New Jersey 07724. The telephone number of our principal executive offices is (732) 870-4000. Our Internet website address is </w:t>
      </w:r>
      <w:r>
        <w:rPr>
          <w:rFonts w:ascii="Times New Roman" w:cs="Times New Roman" w:eastAsia="Times New Roman" w:hAnsi="Times New Roman"/>
          <w:sz w:val="18"/>
          <w:szCs w:val="18"/>
          <w:i w:val="1"/>
          <w:iCs w:val="1"/>
          <w:color w:val="auto"/>
        </w:rPr>
        <w:t>www.commvault.com</w:t>
      </w:r>
      <w:r>
        <w:rPr>
          <w:rFonts w:ascii="Times New Roman" w:cs="Times New Roman" w:eastAsia="Times New Roman" w:hAnsi="Times New Roman"/>
          <w:sz w:val="18"/>
          <w:szCs w:val="18"/>
          <w:color w:val="auto"/>
        </w:rPr>
        <w:t>. We have included our website address in this prospectus solely as an inactive textual reference and the information contained in, or that can be accessed through, our website is not a part of, or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uncertainties and risks, and investing in our securities involves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SEC filings, before investing in our securities. For more information, see the additional information described under the heading “Where You Can Find More Information.” Any prospectus supplement may also include additional risks related to the securities being offered thereby. It is possible that our business, financial condition, liquidity, cash flows, results of operations, reputation and prospects could be materially adversely affected by any of these risks or additional risks and uncertainties not presently known to us or that we currently believe to be immaterial and these risks could result in a partial or complete loss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included or incorporated by reference herein include forward-looking statements within the meaning of Section 27A of the Securities Act of 1933, as amended (the “Securities Act”), and Section 21E of the Securities Exchange Act of 1934, as amended (the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“anticipate,” “believe,” “could,” “estimate,” “expect,” “feel,” “intend,” “may,” “plan,” “potential,” “predict,” “project,” “should,” “will” or “would” and similar terms and phrases.</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Forward-looking statements inherently involve a number of risks and uncertainties that could cause actual results to differ materially from those expressed in forward-looking statements. These statements relate to, among other things, plans, strategies, prospects and expectations regarding our business. These forward-looking statements are made based on currently available competitive, financial and economic data, our current expectations, estimates, forecasts and projections about the industries and markets in which we operate and management’s beliefs and assumptions concerning future events affecting us. These statements are not guarantees of future performance and are subject to risks, uncertainties and factors relating to our operations and business environment, all of which are difficult to predict and many of which are beyond our control. Therefore, our actual results may differ materially from what is expressed in or implied by any forward-looking statements. We caution you not to place undue reliance on any forward-looking statements. All forward-looking statements speak only as of the date of this prospectus and are expressly qualified in their entirety by the risk factors and cautionary statements included in, or incorporated by reference into, this prospectus. Except as is required by law, we do not undertake any responsibility to release publicly any revisions to these forward-looking statements to take into account events or circumstances that occur after the date of this prospectus. Additionally, we do not undertake any responsibility to provide updates regarding the occurrence of any unanticipated events which may cause actual results to differ from those expressed or implied by the forward-looking statements contained in this prospectus. The following include some but not all of the factors that could cause actual results or events to differ materially from those anticipated:</w:t>
      </w:r>
    </w:p>
    <w:p>
      <w:pPr>
        <w:spacing w:after="0" w:line="93" w:lineRule="exact"/>
        <w:rPr>
          <w:sz w:val="20"/>
          <w:szCs w:val="20"/>
          <w:color w:val="auto"/>
        </w:rPr>
      </w:pPr>
    </w:p>
    <w:p>
      <w:pPr>
        <w:ind w:left="1160" w:right="4040"/>
        <w:spacing w:after="0" w:line="391" w:lineRule="auto"/>
        <w:rPr>
          <w:sz w:val="20"/>
          <w:szCs w:val="20"/>
          <w:color w:val="auto"/>
        </w:rPr>
      </w:pPr>
      <w:r>
        <w:rPr>
          <w:rFonts w:ascii="Times New Roman" w:cs="Times New Roman" w:eastAsia="Times New Roman" w:hAnsi="Times New Roman"/>
          <w:sz w:val="18"/>
          <w:szCs w:val="18"/>
          <w:color w:val="auto"/>
        </w:rPr>
        <w:t>our ability to compete effectively in the data protection and cyber resilience market; our reliance on indirect sales channels to effectively sell our solutions;</w:t>
      </w:r>
    </w:p>
    <w:p>
      <w:pPr>
        <w:spacing w:after="0" w:line="1" w:lineRule="exact"/>
        <w:rPr>
          <w:sz w:val="20"/>
          <w:szCs w:val="20"/>
          <w:color w:val="auto"/>
        </w:rPr>
      </w:pPr>
    </w:p>
    <w:p>
      <w:pPr>
        <w:ind w:left="1300" w:hanging="143"/>
        <w:spacing w:after="0" w:line="282" w:lineRule="auto"/>
        <w:rPr>
          <w:sz w:val="20"/>
          <w:szCs w:val="20"/>
          <w:color w:val="auto"/>
        </w:rPr>
      </w:pPr>
      <w:r>
        <w:rPr>
          <w:rFonts w:ascii="Times New Roman" w:cs="Times New Roman" w:eastAsia="Times New Roman" w:hAnsi="Times New Roman"/>
          <w:sz w:val="18"/>
          <w:szCs w:val="18"/>
          <w:color w:val="auto"/>
        </w:rPr>
        <w:t>our reliance on interoperability with third-party platforms, operating systems, cloud environments and hardware products, as well as supply chain partners;</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volatility in the global economy, including changes in trade policy or tariffs;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cyclicality and unpredictability in our sales and implementation cycles;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dependence on growth in the data protection and cyber resiliency market;</w:t>
      </w:r>
    </w:p>
    <w:p>
      <w:pPr>
        <w:spacing w:after="0" w:line="131" w:lineRule="exact"/>
        <w:rPr>
          <w:sz w:val="20"/>
          <w:szCs w:val="20"/>
          <w:color w:val="auto"/>
        </w:rPr>
      </w:pPr>
    </w:p>
    <w:p>
      <w:pPr>
        <w:ind w:left="1300" w:hanging="22"/>
        <w:spacing w:after="0" w:line="282" w:lineRule="auto"/>
        <w:rPr>
          <w:sz w:val="20"/>
          <w:szCs w:val="20"/>
          <w:color w:val="auto"/>
        </w:rPr>
      </w:pPr>
      <w:r>
        <w:rPr>
          <w:rFonts w:ascii="Times New Roman" w:cs="Times New Roman" w:eastAsia="Times New Roman" w:hAnsi="Times New Roman"/>
          <w:sz w:val="18"/>
          <w:szCs w:val="18"/>
          <w:color w:val="auto"/>
        </w:rPr>
        <w:t>our ability to achieve the expected returns on our substantial and ongoing infrastructure investments and research and development investments;</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difficulties and delays in developing, marketing and selling new products, features and enhancements that are commercially successful;</w:t>
      </w:r>
    </w:p>
    <w:p>
      <w:pPr>
        <w:spacing w:after="0" w:line="131" w:lineRule="exact"/>
        <w:rPr>
          <w:sz w:val="20"/>
          <w:szCs w:val="20"/>
          <w:color w:val="auto"/>
        </w:rPr>
      </w:pPr>
    </w:p>
    <w:p>
      <w:pPr>
        <w:jc w:val="both"/>
        <w:ind w:left="1300" w:hanging="116"/>
        <w:spacing w:after="0" w:line="266" w:lineRule="auto"/>
        <w:rPr>
          <w:sz w:val="20"/>
          <w:szCs w:val="20"/>
          <w:color w:val="auto"/>
        </w:rPr>
      </w:pPr>
      <w:r>
        <w:rPr>
          <w:rFonts w:ascii="Times New Roman" w:cs="Times New Roman" w:eastAsia="Times New Roman" w:hAnsi="Times New Roman"/>
          <w:sz w:val="18"/>
          <w:szCs w:val="18"/>
          <w:color w:val="auto"/>
        </w:rPr>
        <w:t>the risk that our complex solutions may contain undetected errors, defects or vulnerabilities, and incorrect or improper implementation or use of our solutions could result in customer dissatisfaction, increased data security risk and harm to our business, financial condition and reputation;</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ability to achieve the intended results of our restructuring plans;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risks associated with our international sales and operations;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risks associated with IT system failures, network disruptions, cybersecurity incidents and breaches in data security;</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ability to successfully utilize AI;</w:t>
      </w:r>
    </w:p>
    <w:p>
      <w:pPr>
        <w:spacing w:after="0" w:line="131" w:lineRule="exact"/>
        <w:rPr>
          <w:sz w:val="20"/>
          <w:szCs w:val="20"/>
          <w:color w:val="auto"/>
        </w:rPr>
      </w:pPr>
    </w:p>
    <w:p>
      <w:pPr>
        <w:jc w:val="both"/>
        <w:ind w:left="1300" w:right="20" w:hanging="116"/>
        <w:spacing w:after="0" w:line="282" w:lineRule="auto"/>
        <w:rPr>
          <w:sz w:val="20"/>
          <w:szCs w:val="20"/>
          <w:color w:val="auto"/>
        </w:rPr>
      </w:pPr>
      <w:r>
        <w:rPr>
          <w:rFonts w:ascii="Times New Roman" w:cs="Times New Roman" w:eastAsia="Times New Roman" w:hAnsi="Times New Roman"/>
          <w:sz w:val="18"/>
          <w:szCs w:val="18"/>
          <w:color w:val="auto"/>
        </w:rPr>
        <w:t>our ability to adapt and respond effectively to rapidly changing technology, evolving industry standards, changing laws and regulations or to changing customer needs, requirements or preferences;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risks associated with litigation in which we are or may become involved;</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general economic conditions; and</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other risks and uncertainties included from time to time in our filings with the SEC.</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also carefully read the factors described under “Risk Factors” and in other cautionary statements in this prospectus and in our most recent Annual Report on Form 10-K filed with the SEC, any Quarterly Reports on Form 10-Q filed with the SEC since the filing of such Annual Report on Form 10-K and our other filings with the SEC that are incorporated by reference into this prospectus for a description of certain risks that could, among other things, cause our actual results to differ from those expressed in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that we may offer from time to time under this prospectus for general corporate purposes, unless otherwise specified in any applicable prospectus supplement relating to a particular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320" w:top="1440" w:right="579" w:bottom="1440" w:gutter="0" w:footer="0" w:header="0"/>
        </w:sectPr>
      </w:pPr>
    </w:p>
    <w:bookmarkStart w:id="10" w:name="page11"/>
    <w:bookmarkEnd w:id="10"/>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that Commvault may offer and sell from time to time, including common stock, preferred stock, depositary shares, debt securities, warrants, stock purchase contracts and stock purchase units. These summary descriptions are not meant to be complete descriptions of each security. Certain specific terms of any security to be issued pursuant hereto will be set forth in a related prospectus supplement.</w:t>
      </w:r>
    </w:p>
    <w:p>
      <w:pPr>
        <w:spacing w:after="0" w:line="6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CAPITAL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description, all references to “we,” “us,” “our” or the “Company” refer only to Commvault and not to any of its subsidiaries.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does not purport to be a complete statement of the relevant provisions of our Amended and Restated Certificate of Incorporation (the “Charter”), or our Amended and Restated Bylaws (the “Bylaws”). This summary is subject to and qualified in its entirety by reference to our Charter and Bylaws, which are incorporated by reference as exhibits to the registration statement of which this prospectus forms a part.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Shares Authorized</w:t>
      </w:r>
      <w:r>
        <w:rPr>
          <w:rFonts w:ascii="Times New Roman" w:cs="Times New Roman" w:eastAsia="Times New Roman" w:hAnsi="Times New Roman"/>
          <w:sz w:val="18"/>
          <w:szCs w:val="18"/>
          <w:color w:val="auto"/>
        </w:rPr>
        <w:t>. The Company is authorized to issue up to 250,000,000 shares of common stock, par value $0.01 per share (the “Common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9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share of Common Stock is entitled to one vote on all matters submitted to a vote of stockholders, including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Holders of shares of Common Stock do not have cumulative voting rights.</w:t>
      </w:r>
    </w:p>
    <w:p>
      <w:pPr>
        <w:spacing w:after="0" w:line="5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rights of holders of any outstanding shares of preferred stock, the holders of Common Stock are entitled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if any, as may be declared from time to time by the Board of Directors in its discretion out of funds legally available for the payment of dividends.</w:t>
      </w:r>
    </w:p>
    <w:p>
      <w:pPr>
        <w:spacing w:after="0" w:line="6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Subject to any preferential rights of holders of any outstanding shares of preferred stock, holders of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ratably in all assets legally available for distribution to stockholders in the event of dissolution. Our Common Stock has no sinking fund or redemption provisions or preemptive, conversion or exchange rights. Holders of shares of Common Stock are not currently entitled to pre-emptive rights.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Fully Paid</w:t>
      </w:r>
      <w:r>
        <w:rPr>
          <w:rFonts w:ascii="Times New Roman" w:cs="Times New Roman" w:eastAsia="Times New Roman" w:hAnsi="Times New Roman"/>
          <w:sz w:val="18"/>
          <w:szCs w:val="18"/>
          <w:color w:val="auto"/>
        </w:rPr>
        <w:t>. The issued and outstanding shares of Common Stock are fully paid and non-assessable.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Common Stock is traded on The Nasdaq Stock Market under the trading symbol “CVLT.”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 Purchase Rights and 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description of Preferred Stock Purchase Rights and Series A Preferred Stock is subject to and qualified in its entirety by reference to the Rights Agreement, dated as of April 3, 2020, between Commvault Systems, Inc. and Computershare Trust Company, N.A. (the “Rights Agreement”) as filed on Form 8-K dated April 6, 2020, Amendment No. 1 (the “Amendment”) to the Rights Agreement dated as of November 16, 2020, as filed on Form 8-K dated November 16, 2020, and the Certificate of Designation of Series A Junior Participating Preferred Stock as filed on Form 8-K dated November 14, 2008.</w:t>
      </w:r>
    </w:p>
    <w:p>
      <w:pPr>
        <w:spacing w:after="0" w:line="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Shares Authorized</w:t>
      </w:r>
      <w:r>
        <w:rPr>
          <w:rFonts w:ascii="Times New Roman" w:cs="Times New Roman" w:eastAsia="Times New Roman" w:hAnsi="Times New Roman"/>
          <w:sz w:val="18"/>
          <w:szCs w:val="18"/>
          <w:color w:val="auto"/>
        </w:rPr>
        <w:t>. The Company is authorized to issue up to 50,000,000 shares of preferred stock, par value $0.01 per share, in one or more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rights and preferences that may be fixed or designated by our Board of Directors without any further action by our stockholders. 150,000 shares of preferred stock are designated as Series A Junior Participating Preferred Stock (the “Series A Preferred Stock”).</w:t>
      </w:r>
    </w:p>
    <w:p>
      <w:pPr>
        <w:spacing w:after="0" w:line="6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13, 2020, the Board of Directors issued a dividend of one preferred share purchase right (“Right”) for each share of Common Stock to purchase one-thousandth of a share of Series A Preferred Stock, par value $0.01 per share, at a price of $200 per one-thousandth of a share of Series A Preferred Stock.</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no shares of Series A Preferred Stock have been issued or are outstanding, and there are no outstanding or issued purchase rights in respect thereof. However, the Company could issue such shares or purchase rights in the future.</w:t>
      </w:r>
    </w:p>
    <w:p>
      <w:pPr>
        <w:spacing w:after="0" w:line="5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Until a Right is exercised or exchanged, the holder of such Rights will have no rights as a stockholder, including the right to vote.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event that shares of Series A Preferred Stock are issued,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one-thousandth share of Series A Preferred Stock will be entitled to one vote on all matters submitted to a vote of stockholders, including the election of directors. Except as may otherwise be provided, the holders of shares of Series A Preferred Stock and the holders of shares of Common Stock would vote together as one class on all matters submitted for a vote of stockholders. These voting rights are subject to adjustment under certain circumstances.</w:t>
      </w:r>
    </w:p>
    <w:p>
      <w:pPr>
        <w:spacing w:after="0" w:line="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Until a Right is exercised or exchanged, the holder of such Rights will have no rights as a stockholder, including the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 the event that shares of Series A Preferred Stock are issued in the future, subject to any prior and superior rights of holders of any outstanding series of preferred stock, the holders of Series A Preferred Stock would be entitled to receive dividends, if any, as may be declared from time to time by the Board of Directors in its discretion out of funds legally available for the payment of dividends on terms as may be agreed.</w:t>
      </w:r>
    </w:p>
    <w:p>
      <w:pPr>
        <w:spacing w:after="0" w:line="70" w:lineRule="exact"/>
        <w:rPr>
          <w:sz w:val="20"/>
          <w:szCs w:val="20"/>
          <w:color w:val="auto"/>
        </w:rPr>
      </w:pPr>
    </w:p>
    <w:p>
      <w:pPr>
        <w:ind w:right="48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Anti-Takeover Effects of Provisions of our Certificate of Incorporation and Bylaws </w:t>
      </w:r>
      <w:r>
        <w:rPr>
          <w:rFonts w:ascii="Times New Roman" w:cs="Times New Roman" w:eastAsia="Times New Roman" w:hAnsi="Times New Roman"/>
          <w:sz w:val="18"/>
          <w:szCs w:val="18"/>
          <w:b w:val="1"/>
          <w:bCs w:val="1"/>
          <w:i w:val="1"/>
          <w:iCs w:val="1"/>
          <w:color w:val="auto"/>
        </w:rPr>
        <w:t>Board of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and Bylaws provide:</w:t>
      </w:r>
    </w:p>
    <w:p>
      <w:pPr>
        <w:spacing w:after="0" w:line="131" w:lineRule="exact"/>
        <w:rPr>
          <w:sz w:val="20"/>
          <w:szCs w:val="20"/>
          <w:color w:val="auto"/>
        </w:rPr>
      </w:pPr>
    </w:p>
    <w:p>
      <w:pPr>
        <w:jc w:val="both"/>
        <w:ind w:left="660" w:hanging="143"/>
        <w:spacing w:after="0" w:line="266" w:lineRule="auto"/>
        <w:rPr>
          <w:sz w:val="20"/>
          <w:szCs w:val="20"/>
          <w:color w:val="auto"/>
        </w:rPr>
      </w:pPr>
      <w:r>
        <w:rPr>
          <w:rFonts w:ascii="Times New Roman" w:cs="Times New Roman" w:eastAsia="Times New Roman" w:hAnsi="Times New Roman"/>
          <w:sz w:val="18"/>
          <w:szCs w:val="18"/>
          <w:color w:val="auto"/>
        </w:rPr>
        <w:t>that directors may be removed only for cause, if such removal is prior to the 2023 annual meeting of stockholders, and with or without cause if such removal is after the 2023 annual meeting of stockholders, by the affirmative vote of the holders of at least 66 2/3% of the shares of our capital stock entitled to vote; and</w:t>
      </w:r>
    </w:p>
    <w:p>
      <w:pPr>
        <w:spacing w:after="0" w:line="189" w:lineRule="exact"/>
        <w:rPr>
          <w:sz w:val="20"/>
          <w:szCs w:val="20"/>
          <w:color w:val="auto"/>
        </w:rPr>
      </w:pPr>
    </w:p>
    <w:p>
      <w:pPr>
        <w:jc w:val="both"/>
        <w:ind w:left="660" w:hanging="130"/>
        <w:spacing w:after="0" w:line="282" w:lineRule="auto"/>
        <w:rPr>
          <w:sz w:val="20"/>
          <w:szCs w:val="20"/>
          <w:color w:val="auto"/>
        </w:rPr>
      </w:pPr>
      <w:r>
        <w:rPr>
          <w:rFonts w:ascii="Times New Roman" w:cs="Times New Roman" w:eastAsia="Times New Roman" w:hAnsi="Times New Roman"/>
          <w:sz w:val="18"/>
          <w:szCs w:val="18"/>
          <w:color w:val="auto"/>
        </w:rPr>
        <w:t>that any vacancy on the Board of directors, however occurring, including a vacancy resulting from an enlargement of the Board, may only be filled by affirmative vote of a majority of the directors then in office.</w:t>
      </w:r>
    </w:p>
    <w:p>
      <w:pPr>
        <w:spacing w:after="0" w:line="162" w:lineRule="exact"/>
        <w:rPr>
          <w:sz w:val="20"/>
          <w:szCs w:val="20"/>
          <w:color w:val="auto"/>
        </w:rPr>
      </w:pPr>
    </w:p>
    <w:p>
      <w:pPr>
        <w:ind w:right="2160" w:firstLine="324"/>
        <w:spacing w:after="0" w:line="407" w:lineRule="auto"/>
        <w:rPr>
          <w:sz w:val="20"/>
          <w:szCs w:val="20"/>
          <w:color w:val="auto"/>
        </w:rPr>
      </w:pPr>
      <w:r>
        <w:rPr>
          <w:rFonts w:ascii="Times New Roman" w:cs="Times New Roman" w:eastAsia="Times New Roman" w:hAnsi="Times New Roman"/>
          <w:sz w:val="18"/>
          <w:szCs w:val="18"/>
          <w:color w:val="auto"/>
        </w:rPr>
        <w:t xml:space="preserve">These provisions could make it more difficult for a third party to acquire us or discourage a third party from acquiring us. </w:t>
      </w:r>
      <w:r>
        <w:rPr>
          <w:rFonts w:ascii="Times New Roman" w:cs="Times New Roman" w:eastAsia="Times New Roman" w:hAnsi="Times New Roman"/>
          <w:sz w:val="18"/>
          <w:szCs w:val="18"/>
          <w:b w:val="1"/>
          <w:bCs w:val="1"/>
          <w:i w:val="1"/>
          <w:iCs w:val="1"/>
          <w:color w:val="auto"/>
        </w:rPr>
        <w:t>Stockholder Actions and Special Meetings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and Bylaws also provide that:</w:t>
      </w:r>
    </w:p>
    <w:p>
      <w:pPr>
        <w:spacing w:after="0" w:line="131" w:lineRule="exact"/>
        <w:rPr>
          <w:sz w:val="20"/>
          <w:szCs w:val="20"/>
          <w:color w:val="auto"/>
        </w:rPr>
      </w:pPr>
    </w:p>
    <w:p>
      <w:pPr>
        <w:jc w:val="both"/>
        <w:ind w:left="660" w:hanging="116"/>
        <w:spacing w:after="0" w:line="282"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175" w:lineRule="exact"/>
        <w:rPr>
          <w:sz w:val="20"/>
          <w:szCs w:val="20"/>
          <w:color w:val="auto"/>
        </w:rPr>
      </w:pPr>
    </w:p>
    <w:p>
      <w:pPr>
        <w:jc w:val="both"/>
        <w:ind w:left="660" w:hanging="13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only be called by the Chairman of the Board of Directors, our Chief Executive Officer, or by the Board of Directors.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Bylaws provide that in order for any matter to be considered properly brought before a meeting, a stockholder must comply with requirements regarding advance notice. These provisions could delay stockholder actions which are favored by the holders of a majority of our outstanding voting securities until the next stockholders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Consideration of Change of Control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Charter empowers our Board of Directors, when considering a tender offer or merger or acquisition proposal, to take into account, in addition to potential economic benefits to stockholders, factors such as: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comparison of the proposed consideration to be received by stockholders in relation to the then current market price of our capital stock; and</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impact of the transaction on our employees, suppliers and customers and its effect on the communities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Delaware law provides that the affirmative vote of a majority of the shares entitled to vote on any matter is required to amend a corporation’s certificate of incorporation or bylaws, unless a corporation’s certificate of incorporation or bylaws, as the case may be, requires a greater percentage. Our Charter requires the affirmative vote of the holders of at least 66 2/3% of the shares of our capital stock entitled to vote to amend or repeal any of the foregoing provisions of our Charter. Our Bylaws may be amended or repealed by a majority vote of the Board of directors or the holders of at least 66 2/3% of the shares of our capital stock issued and outstanding and entitled to vote. The stockholder vote would be in addition to any separate class vote that might in the future be required pursuant to the terms of any series preferred stock that might be outstanding at the time any such amendments are submitted to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authorization of undesignated preferred stock makes it possible for the Board of Directors to issue preferred stock with voting or other rights or preferences that could impede the success of any attempt to change the control of our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and other provisions may deter hostile takeovers or delay changes in control or management of our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203 of the Delaware General Corporation Law provides that, subject to exceptions set forth therein, an interested stockholder of a Delaware corporation shall not engage in any business combination, including mergers or consolidations or acquisitions of additional shares of the corporation, with the corporation for a three-year period following the date that the stockholder becomes an interested stockholder unless:</w:t>
      </w:r>
    </w:p>
    <w:p>
      <w:pPr>
        <w:spacing w:after="0" w:line="81" w:lineRule="exact"/>
        <w:rPr>
          <w:sz w:val="20"/>
          <w:szCs w:val="20"/>
          <w:color w:val="auto"/>
        </w:rPr>
      </w:pPr>
    </w:p>
    <w:p>
      <w:pPr>
        <w:ind w:left="660" w:right="20" w:hanging="49"/>
        <w:spacing w:after="0" w:line="282" w:lineRule="auto"/>
        <w:rPr>
          <w:sz w:val="20"/>
          <w:szCs w:val="20"/>
          <w:color w:val="auto"/>
        </w:rPr>
      </w:pPr>
      <w:r>
        <w:rPr>
          <w:rFonts w:ascii="Times New Roman" w:cs="Times New Roman" w:eastAsia="Times New Roman" w:hAnsi="Times New Roman"/>
          <w:sz w:val="18"/>
          <w:szCs w:val="18"/>
          <w:color w:val="auto"/>
        </w:rPr>
        <w:t>prior to that date, the Board of Directors of the corporation approved either the business combination or the transaction which resulted in the stockholder becoming an interested stockholder;</w:t>
      </w:r>
    </w:p>
    <w:p>
      <w:pPr>
        <w:spacing w:after="0" w:line="175" w:lineRule="exact"/>
        <w:rPr>
          <w:sz w:val="20"/>
          <w:szCs w:val="20"/>
          <w:color w:val="auto"/>
        </w:rPr>
      </w:pPr>
    </w:p>
    <w:p>
      <w:pPr>
        <w:jc w:val="both"/>
        <w:ind w:left="660" w:right="20" w:hanging="89"/>
        <w:spacing w:after="0" w:line="282" w:lineRule="auto"/>
        <w:rPr>
          <w:sz w:val="20"/>
          <w:szCs w:val="20"/>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175" w:lineRule="exact"/>
        <w:rPr>
          <w:sz w:val="20"/>
          <w:szCs w:val="20"/>
          <w:color w:val="auto"/>
        </w:rPr>
      </w:pPr>
    </w:p>
    <w:p>
      <w:pPr>
        <w:jc w:val="both"/>
        <w:ind w:left="660" w:hanging="89"/>
        <w:spacing w:after="0" w:line="266" w:lineRule="auto"/>
        <w:rPr>
          <w:sz w:val="20"/>
          <w:szCs w:val="20"/>
          <w:color w:val="auto"/>
        </w:rPr>
      </w:pPr>
      <w:r>
        <w:rPr>
          <w:rFonts w:ascii="Times New Roman" w:cs="Times New Roman" w:eastAsia="Times New Roman" w:hAnsi="Times New Roman"/>
          <w:sz w:val="18"/>
          <w:szCs w:val="18"/>
          <w:color w:val="auto"/>
        </w:rPr>
        <w:t>on or subsequent to such date,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otherwise set forth in Section 203, an interested stockholder is defined to include:</w:t>
      </w:r>
    </w:p>
    <w:p>
      <w:pPr>
        <w:spacing w:after="0" w:line="131" w:lineRule="exact"/>
        <w:rPr>
          <w:sz w:val="20"/>
          <w:szCs w:val="20"/>
          <w:color w:val="auto"/>
        </w:rPr>
      </w:pPr>
    </w:p>
    <w:p>
      <w:pPr>
        <w:jc w:val="both"/>
        <w:ind w:left="660" w:hanging="130"/>
        <w:spacing w:after="0" w:line="266" w:lineRule="auto"/>
        <w:rPr>
          <w:sz w:val="20"/>
          <w:szCs w:val="20"/>
          <w:color w:val="auto"/>
        </w:rPr>
      </w:pPr>
      <w:r>
        <w:rPr>
          <w:rFonts w:ascii="Times New Roman" w:cs="Times New Roman" w:eastAsia="Times New Roman" w:hAnsi="Times New Roman"/>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affiliates and associates of any such person.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203 may make it more difficult for a person who would be an interested stockholder to effect various business combinations with a corporation for a three-year period. We have not elected to be exempt from the restrictions imposed under Section 203. The provisions of Section 203 may encourage persons interested in acquiring us to negotiate in advance with our Board of Directors because the stockholder approval requirement would be avoided if a majority of the directors then in office approves either the business combination or the transaction which results in any such person becoming an interested stockholder. These provisions also may have the effect of preventing changes in our management. It is possible that these provisions could make it more difficult to accomplish transactions which our stockholders may otherwise deem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13" w:name="page14"/>
    <w:bookmarkEnd w:id="13"/>
    <w:p>
      <w:pPr>
        <w:spacing w:after="0" w:line="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DEPOSITARY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description, all references to “we,” “us,” “our” or the “Company” refer only to Commvault and not to any of its subsidiaries.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depositary shares does not purport to be complete and is subject to, and qualified in its entirety by, (i) the deposit agreement to be entered into between us and a bank or trust company selected by us and (ii) the depositary receipt relating to the preferred stock that is attached to such deposit agreement. You should read these documents as they, and not this description, define your rights as a holder of depositary shares. Forms of these documents will be deemed filed with the SEC as exhibits to the registration statement of which this prospectus forms a part.</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elect to offer fractional interests in shares of preferred stock, we will provide for the issuance by a depositary of depositary receipts for depositary shares. Each depositary share will represent fractional interests of preferred stock. We will deposit the shares of preferred stock underlying the depositary shares under the deposit agreement. The bank or trust company must have its principal office in the United States and a combined capital and surplus of at least $50 million. The depositary receipts will evidence the depositary shares issued under the deposit agreement.</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 agreement will contain terms applicable to the holders of depositary shares in addition to the terms stated in the depositary receipts. Each holder of depositary shares will be entitled to all the rights and preferences of the preferred stock underlying the depositary shares in proportion to the applicable fractional interest in the underlying shares of preferred stock. The depositary will issue depositary receipts to individuals purchasing the fractional interests in shares of the related preferred stock according to the terms of the offering described in the applicable prospectus supplement.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for the preferred stock to the holders of depositary shares in proportion to the number of depositary shares that they own on the relevant record date. The depositary will distribute only an amount that can be distributed without attributing to any holder of depositary shares a fraction of one cent. The depositary will add any undistributed balance to, and treat it as part of, the next sum received by the depositary for distribution to holders of depositary shares.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there is a non-cash distribution, the depositary will distribute property received by it to the holders of depositary shares in proportion, insofar as possible, to the number of depositary shares owned by them,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Exchange and Redemption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preferred stock underlying the depositary shares may be converted or exchanged, each holder of depositary receipts will have the right or obligation, as applicable, to convert or exchange the depositary shares represented by the depositary receipts.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at the same time, the number of depositary shares representing the preferred stock. The depositary will redeem the depositary shares from the proceeds it receives from the corresponding redemption, in whole or in part, of the underlying preferred stock. The depositary will send notice of redemption to the holders of the depositary shares that are to be redeemed between 30 and 60 days before the date fixed for redemption. The redemption price per depositary share will be equal to the applicable fraction of the redemption price per share on the underlying preferred stock. If less than all the depositary shares are to be redeemed, the depositary will select which shares to be redeemed by lot, proportionate allocation or any other method.</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the depositary receives notice of a meeting at which the holders of the preferred stock are entitled to vote, the depositary will send the particulars of the meeting to the holders of the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The depositary will abstain from voting shares of the preferred stock to the extent it does not receive specific instructions from the holders of depositary shares representing such preferred stock. We will agree to take all reasonable action requested by the depositary to enable it to vote as instructed.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Whenever (1) any cash dividend or other cash distribution shall become payable, any distribution other than cash shall be made, or any rights, preferences or privileges shall be offered with respect to the underlying preferred stock, or (2) the depositary shall receive notice of any meeting at which holders of the underlying preferred stock are entitled to vote or of which holders of the underlying preferred stock are entitled to notice, or of the mandatory conversion of or any election on our part to call for the redemption of any of the underlying preferred stock, the depositary shall in each such instance fix a record date (which shall be the same as the record date for the underlying preferred stock) for the determination of the holders (x) who shall be entitled to receive such dividend, distribution, rights, preferences or privileges or the net proceeds of the sale thereof or (y) who shall be entitled to give instructions for the exercise of voting rights at any such meeting or to receive notice of such meeting or of such redemption or conversion, subject to the provisions of the deposit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depositary may agree to amend the deposit agreement and the depositary receipt evidencing the depositary shares. Any amendment that (a) imposes or increases certain fees, taxes or other charges payable by the holders of the depositary shares as described in the deposit agreement or (b) otherwise prejudices any substantial existing right of holders of depositary shares will not take effect until 30 days after the depositary has sent notice of the amendment to the record holders of depositary shares. Any holder of depositary shares that continues to hold its shares at the end of the 30-day period will be deemed to have agreed to the amendment.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at our option, direct the depositary to terminate the deposit agreement by sending a notice of termination to holders of depositary shares at least 30 days prior to termination. In addition, a deposit agreement will automatically terminate if:</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depositary has redeemed all related outstanding depositary shares; or</w:t>
      </w:r>
    </w:p>
    <w:p>
      <w:pPr>
        <w:spacing w:after="0" w:line="131" w:lineRule="exact"/>
        <w:rPr>
          <w:sz w:val="20"/>
          <w:szCs w:val="20"/>
          <w:color w:val="auto"/>
        </w:rPr>
      </w:pPr>
    </w:p>
    <w:p>
      <w:pPr>
        <w:ind w:left="1300" w:right="20" w:hanging="143"/>
        <w:spacing w:after="0" w:line="282" w:lineRule="auto"/>
        <w:rPr>
          <w:sz w:val="20"/>
          <w:szCs w:val="20"/>
          <w:color w:val="auto"/>
        </w:rPr>
      </w:pPr>
      <w:r>
        <w:rPr>
          <w:rFonts w:ascii="Times New Roman" w:cs="Times New Roman" w:eastAsia="Times New Roman" w:hAnsi="Times New Roman"/>
          <w:sz w:val="18"/>
          <w:szCs w:val="18"/>
          <w:color w:val="auto"/>
        </w:rPr>
        <w:t>we have liquidated, terminated or wound up our business and the depositary has distributed the underlying preferred stock to the holders of the related depositary shares.</w:t>
      </w:r>
    </w:p>
    <w:p>
      <w:pPr>
        <w:spacing w:after="0" w:line="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likewise terminate the deposit agreement if at any time 60 days shall have expired after the depositary shall have delivered to us a written notice of its election to resign and a successor depositary shall not have been appointed and accepted its appointment. If any depositary receipts remain outstanding after the date of termination, the depositary thereafter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(1) to collect dividends on the underlying preferred stock and any other distributions with respect thereto and (2) to deliver the underlying preferred stock together with such dividends and distributions and the net proceeds of any sales of rights, preferences, privileges or other property, without liability for interest thereon, in exchange for depositary receipts surrendered. At any time after the expiration of two years from the date of termination, the depositary may sell any underlying preferred stock then held by it at public or private sales, at such place or places and upon such terms as it deems proper and may thereafter hold the net proceeds of any such sale, together with any money and other property then held by it, without liability for interest thereon, for the pro rata benefit of the holders of depositary receipts which have not been surrendered.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Fees and Expenses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the depositary may resign by delivering written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that we are required by law, the rules of an applicable securities exchange or our certificate of incorporation to furnish to the holders of the preferred stock. The depositary will not be liable if it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The depositary will not be obligated to prosecute or defend any legal proceeding connected with any depositary shares or preferred stock unless the holders of depositary shares requesting the depositary to do so furnish it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DEBT SECURITIES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description, “debt securities” means the debentures, notes, bonds and other evidences of indebtedness that Commvault may issue from time to time, and “we,” “us” and “our” refer to Commvault and not to any of its subsidiaries.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debt securities will be issued in one or more series under an indenture, dated as of October 28, 2026, between Commvault and U.S. Bank Trust Company, National Association, as trustee, which is filed as an exhibit to the registration statement of which this prospectus is a part. The following summary of provisions of the indenture does not purport to be complete and is subject to, and qualified in its entirety by reference to, all of the provisions of the indenture, including definitions therein of certain terms and the provisions made part thereof by reference to the Trust Indenture Act of 1939, as amended (the “Trust Indenture Act”). The indenture governing the debt securities is referred to as the “indenture” in this description, and the trustee under the indenture is referred to as the “trustee” in this description.</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description briefly summarizes certain general terms and provisions of the debt securities. The particular terms of the debt securities offered by any prospectus supplement and the extent, if any, to which the general terms and provisions described below may apply to such debt securities will be described in the applicable prospectus supplement. The terms of the debt securities will include those set forth in the applicable indenture and the applicable supplemental indenture, if any, and those made a part of the applicable indenture by the Trust Indenture Act. You should read the description below, the applicable prospectus supplement and the provisions of the applicable indenture and the applicable supplemental indenture, if any, in their entirety before investing in any of the debt securities. The statements and descriptions in this prospectus or in any prospectus supplement regarding terms and provisions of the applicable indenture, any applicable supplemental indenture and any debt securities are summaries thereof, do not purport to be complete and are subject to, and qualified in their entirety by reference to, all of the provisions of the applicable indenture and any such supplements and debt securities, including the definitions therein of certain terms.</w:t>
      </w:r>
    </w:p>
    <w:p>
      <w:pPr>
        <w:spacing w:after="0" w:line="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in the applicable prospectus supplement, the aggregate principal amount of debt securities that may be issued under the applicable indenture is unlimited. The prospectus supplement relating to any series of debt securities will describe the specific terms of such debt securities.</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the applicable prospectus supplement. Unless otherwise stated in the applicable prospectus supplement, the debt securities will not be listed on any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debt securities will be unsecured general obligations of Commvault. The indebtedness represented by the debt securities will rank equally and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all other unsecured and unsubordinated indebtedness of Commvault. The debt securities may be issued in one or more series, and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a series may be reopened for the issuance of additional debt securities of such series. Also, a single series may be issued at various times with different maturity dates, different interest rates and different dates from which interest accrues. One or more series of debt securities may be issued with the same or various maturities at par or at a discount. Debt securities bearing no interest or interest at a rate which at the time of issuance is below the market rate (“original issue discount securities”) will be sold at a discount below their stated principal amount. This discount may be substantial.</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if the principal of or premium, if any, or interest on any series of debt securities is payable in a foreign currency or currencies, we will include in the applicable prospectus supplement information on the restrictions, elections, material federal income tax considerations, specific terms and other information with respect to that issue of debt securities and the foreign currency or currencies.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prospectus supplement relating to a series of debt securities will include certain specific terms, including some or all of the following:</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title of the debt securities;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aggregate principal amount of the debt securities and any limit thereon;</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price or prices at which such debt securities will be sold;</w:t>
      </w:r>
    </w:p>
    <w:p>
      <w:pPr>
        <w:spacing w:after="0" w:line="131" w:lineRule="exact"/>
        <w:rPr>
          <w:sz w:val="20"/>
          <w:szCs w:val="20"/>
          <w:color w:val="auto"/>
        </w:rPr>
      </w:pPr>
    </w:p>
    <w:p>
      <w:pPr>
        <w:ind w:left="1300" w:hanging="116"/>
        <w:spacing w:after="0" w:line="282" w:lineRule="auto"/>
        <w:rPr>
          <w:sz w:val="20"/>
          <w:szCs w:val="20"/>
          <w:color w:val="auto"/>
        </w:rPr>
      </w:pPr>
      <w:r>
        <w:rPr>
          <w:rFonts w:ascii="Times New Roman" w:cs="Times New Roman" w:eastAsia="Times New Roman" w:hAnsi="Times New Roman"/>
          <w:sz w:val="18"/>
          <w:szCs w:val="18"/>
          <w:color w:val="auto"/>
        </w:rPr>
        <w:t>the date or dates on which the principal and premium, if any, of the debt securities will be payable or the method used to determine those dates;</w:t>
      </w:r>
    </w:p>
    <w:p>
      <w:pPr>
        <w:spacing w:after="0" w:line="67" w:lineRule="exact"/>
        <w:rPr>
          <w:sz w:val="20"/>
          <w:szCs w:val="20"/>
          <w:color w:val="auto"/>
        </w:rPr>
      </w:pPr>
    </w:p>
    <w:p>
      <w:pPr>
        <w:ind w:left="1300" w:hanging="103"/>
        <w:spacing w:after="0" w:line="282" w:lineRule="auto"/>
        <w:rPr>
          <w:sz w:val="20"/>
          <w:szCs w:val="20"/>
          <w:color w:val="auto"/>
        </w:rPr>
      </w:pPr>
      <w:r>
        <w:rPr>
          <w:rFonts w:ascii="Times New Roman" w:cs="Times New Roman" w:eastAsia="Times New Roman" w:hAnsi="Times New Roman"/>
          <w:sz w:val="18"/>
          <w:szCs w:val="18"/>
          <w:color w:val="auto"/>
        </w:rPr>
        <w:t>any interest rate on the debt securities, any date from which interest will accrue, any interest payment dates and regular record dates for interest payments or the method used to determine any of the foregoing;</w:t>
      </w:r>
    </w:p>
    <w:p>
      <w:pPr>
        <w:spacing w:after="0" w:line="67" w:lineRule="exact"/>
        <w:rPr>
          <w:sz w:val="20"/>
          <w:szCs w:val="20"/>
          <w:color w:val="auto"/>
        </w:rPr>
      </w:pPr>
    </w:p>
    <w:p>
      <w:pPr>
        <w:jc w:val="both"/>
        <w:ind w:left="1300" w:hanging="143"/>
        <w:spacing w:after="0" w:line="282" w:lineRule="auto"/>
        <w:rPr>
          <w:sz w:val="20"/>
          <w:szCs w:val="20"/>
          <w:color w:val="auto"/>
        </w:rPr>
      </w:pPr>
      <w:r>
        <w:rPr>
          <w:rFonts w:ascii="Times New Roman" w:cs="Times New Roman" w:eastAsia="Times New Roman" w:hAnsi="Times New Roman"/>
          <w:sz w:val="18"/>
          <w:szCs w:val="18"/>
          <w:color w:val="auto"/>
        </w:rPr>
        <w:t>any foreign currency, currencies or currency units in which payments on the debt securities will be payable and the manner for determining the equivalent amount in U.S. currency;</w:t>
      </w:r>
    </w:p>
    <w:p>
      <w:pPr>
        <w:spacing w:after="0" w:line="67" w:lineRule="exact"/>
        <w:rPr>
          <w:sz w:val="20"/>
          <w:szCs w:val="20"/>
          <w:color w:val="auto"/>
        </w:rPr>
      </w:pPr>
    </w:p>
    <w:p>
      <w:pPr>
        <w:jc w:val="both"/>
        <w:ind w:left="1300" w:hanging="130"/>
        <w:spacing w:after="0" w:line="282" w:lineRule="auto"/>
        <w:rPr>
          <w:sz w:val="20"/>
          <w:szCs w:val="20"/>
          <w:color w:val="auto"/>
        </w:rPr>
      </w:pPr>
      <w:r>
        <w:rPr>
          <w:rFonts w:ascii="Times New Roman" w:cs="Times New Roman" w:eastAsia="Times New Roman" w:hAnsi="Times New Roman"/>
          <w:sz w:val="18"/>
          <w:szCs w:val="18"/>
          <w:color w:val="auto"/>
        </w:rPr>
        <w:t>any provisions for payments on the debt securities in one or more currencies or currency units other than those in which the debt securities are stated to be payable;</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any provisions that would determine payments on the debt securities by reference to an index, formula or other method;</w:t>
      </w:r>
    </w:p>
    <w:p>
      <w:pPr>
        <w:spacing w:after="0" w:line="131" w:lineRule="exact"/>
        <w:rPr>
          <w:sz w:val="20"/>
          <w:szCs w:val="20"/>
          <w:color w:val="auto"/>
        </w:rPr>
      </w:pPr>
    </w:p>
    <w:p>
      <w:pPr>
        <w:jc w:val="both"/>
        <w:ind w:left="1300" w:hanging="143"/>
        <w:spacing w:after="0" w:line="282" w:lineRule="auto"/>
        <w:rPr>
          <w:sz w:val="20"/>
          <w:szCs w:val="20"/>
          <w:color w:val="auto"/>
        </w:rPr>
      </w:pPr>
      <w:r>
        <w:rPr>
          <w:rFonts w:ascii="Times New Roman" w:cs="Times New Roman" w:eastAsia="Times New Roman" w:hAnsi="Times New Roman"/>
          <w:sz w:val="18"/>
          <w:szCs w:val="18"/>
          <w:color w:val="auto"/>
        </w:rPr>
        <w:t>the place or places where payments on the debt securities will be payable, the debt securities may be presented for registration of transfer or exchange and notices and demands to or upon us relating to the debt securities may be made;</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certain provisions related to the redemption, purchase, exchange or repayment of the debt securities;</w:t>
      </w:r>
    </w:p>
    <w:p>
      <w:pPr>
        <w:spacing w:after="0" w:line="131" w:lineRule="exact"/>
        <w:rPr>
          <w:sz w:val="20"/>
          <w:szCs w:val="20"/>
          <w:color w:val="auto"/>
        </w:rPr>
      </w:pPr>
    </w:p>
    <w:p>
      <w:pPr>
        <w:ind w:left="1300" w:right="20" w:hanging="76"/>
        <w:spacing w:after="0" w:line="282" w:lineRule="auto"/>
        <w:rPr>
          <w:sz w:val="20"/>
          <w:szCs w:val="20"/>
          <w:color w:val="auto"/>
        </w:rPr>
      </w:pPr>
      <w:r>
        <w:rPr>
          <w:rFonts w:ascii="Times New Roman" w:cs="Times New Roman" w:eastAsia="Times New Roman" w:hAnsi="Times New Roman"/>
          <w:sz w:val="18"/>
          <w:szCs w:val="18"/>
          <w:color w:val="auto"/>
        </w:rPr>
        <w:t>any provisions that would allow or obligate us to redeem, purchase or repay the debt securities prior to their maturity pursuant to any sinking fund or analogous provision or at the option of the holder;</w:t>
      </w:r>
    </w:p>
    <w:p>
      <w:pPr>
        <w:spacing w:after="0" w:line="67" w:lineRule="exact"/>
        <w:rPr>
          <w:sz w:val="20"/>
          <w:szCs w:val="20"/>
          <w:color w:val="auto"/>
        </w:rPr>
      </w:pPr>
    </w:p>
    <w:p>
      <w:pPr>
        <w:jc w:val="both"/>
        <w:ind w:left="1300" w:hanging="143"/>
        <w:spacing w:after="0" w:line="258" w:lineRule="auto"/>
        <w:rPr>
          <w:sz w:val="20"/>
          <w:szCs w:val="20"/>
          <w:color w:val="auto"/>
        </w:rPr>
      </w:pPr>
      <w:r>
        <w:rPr>
          <w:rFonts w:ascii="Times New Roman" w:cs="Times New Roman" w:eastAsia="Times New Roman" w:hAnsi="Times New Roman"/>
          <w:sz w:val="18"/>
          <w:szCs w:val="18"/>
          <w:color w:val="auto"/>
        </w:rPr>
        <w:t>whether the debt securities of the series will be convertible into or exchangeable for other debt securities, capital stock or other securities of any kind of the issuer or another person,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issuer’s option, the conversion or exchange period, and any other provision in addition to or in lieu of those described herein;</w:t>
      </w:r>
    </w:p>
    <w:p>
      <w:pPr>
        <w:spacing w:after="0" w:line="89" w:lineRule="exact"/>
        <w:rPr>
          <w:sz w:val="20"/>
          <w:szCs w:val="20"/>
          <w:color w:val="auto"/>
        </w:rPr>
      </w:pPr>
    </w:p>
    <w:p>
      <w:pPr>
        <w:jc w:val="both"/>
        <w:ind w:left="1300" w:hanging="116"/>
        <w:spacing w:after="0" w:line="266" w:lineRule="auto"/>
        <w:rPr>
          <w:sz w:val="20"/>
          <w:szCs w:val="20"/>
          <w:color w:val="auto"/>
        </w:rPr>
      </w:pPr>
      <w:r>
        <w:rPr>
          <w:rFonts w:ascii="Times New Roman" w:cs="Times New Roman" w:eastAsia="Times New Roman" w:hAnsi="Times New Roman"/>
          <w:sz w:val="18"/>
          <w:szCs w:val="18"/>
          <w:color w:val="auto"/>
        </w:rPr>
        <w:t>if applicable, that any debt securities of the series will be issuable in whole or in part in the form of one or more global securities and, in such case, the respective depositaries for such global securities and the form of any legend or legends which will be borne by any such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securities, and any circumstances in which any such global security may be exchanged in whole or in part for debt securities registered, and any transfer of such global security in whole or in part may be registered, in the name or names of persons other than the depositary for such global security or a nominee thereof and any other provisions governing exchanges or transfers of such global security;</w:t>
      </w:r>
    </w:p>
    <w:p>
      <w:pPr>
        <w:spacing w:after="0" w:line="81" w:lineRule="exact"/>
        <w:rPr>
          <w:sz w:val="20"/>
          <w:szCs w:val="20"/>
          <w:color w:val="auto"/>
        </w:rPr>
      </w:pPr>
    </w:p>
    <w:p>
      <w:pPr>
        <w:jc w:val="both"/>
        <w:ind w:left="1300" w:hanging="103"/>
        <w:spacing w:after="0" w:line="282" w:lineRule="auto"/>
        <w:rPr>
          <w:sz w:val="20"/>
          <w:szCs w:val="20"/>
          <w:color w:val="auto"/>
        </w:rPr>
      </w:pPr>
      <w:r>
        <w:rPr>
          <w:rFonts w:ascii="Times New Roman" w:cs="Times New Roman" w:eastAsia="Times New Roman" w:hAnsi="Times New Roman"/>
          <w:sz w:val="18"/>
          <w:szCs w:val="18"/>
          <w:color w:val="auto"/>
        </w:rPr>
        <w:t>the date as of which any global securities of any series shall be dated if other than the original issuance of the first debt securities of the series to be issued;</w:t>
      </w:r>
    </w:p>
    <w:p>
      <w:pPr>
        <w:spacing w:after="0" w:line="67" w:lineRule="exact"/>
        <w:rPr>
          <w:sz w:val="20"/>
          <w:szCs w:val="20"/>
          <w:color w:val="auto"/>
        </w:rPr>
      </w:pPr>
    </w:p>
    <w:p>
      <w:pPr>
        <w:jc w:val="both"/>
        <w:ind w:left="1300" w:hanging="116"/>
        <w:spacing w:after="0" w:line="282" w:lineRule="auto"/>
        <w:rPr>
          <w:sz w:val="20"/>
          <w:szCs w:val="20"/>
          <w:color w:val="auto"/>
        </w:rPr>
      </w:pPr>
      <w:r>
        <w:rPr>
          <w:rFonts w:ascii="Times New Roman" w:cs="Times New Roman" w:eastAsia="Times New Roman" w:hAnsi="Times New Roman"/>
          <w:sz w:val="18"/>
          <w:szCs w:val="18"/>
          <w:color w:val="auto"/>
        </w:rPr>
        <w:t>the denominations in which we will issue the debt securities, if other than denominations of $2,000 and any integral multiple of $1,000 in excess thereof;</w:t>
      </w:r>
    </w:p>
    <w:p>
      <w:pPr>
        <w:spacing w:after="0" w:line="67" w:lineRule="exact"/>
        <w:rPr>
          <w:sz w:val="20"/>
          <w:szCs w:val="20"/>
          <w:color w:val="auto"/>
        </w:rPr>
      </w:pPr>
    </w:p>
    <w:p>
      <w:pPr>
        <w:jc w:val="both"/>
        <w:ind w:left="1300" w:right="20" w:hanging="103"/>
        <w:spacing w:after="0" w:line="282" w:lineRule="auto"/>
        <w:rPr>
          <w:sz w:val="20"/>
          <w:szCs w:val="20"/>
          <w:color w:val="auto"/>
        </w:rPr>
      </w:pPr>
      <w:r>
        <w:rPr>
          <w:rFonts w:ascii="Times New Roman" w:cs="Times New Roman" w:eastAsia="Times New Roman" w:hAnsi="Times New Roman"/>
          <w:sz w:val="18"/>
          <w:szCs w:val="18"/>
          <w:color w:val="auto"/>
        </w:rPr>
        <w:t>the portion of the principal amount of the debt securities that will be payable if the maturity of the debt securities is accelerated, if other than the entire principal amount;</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if issued as original issue discount securities, the amount of discount;</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applicability of the provisions described below under “—Satisfaction and Discharge” or such other means of satisfaction or discharge;</w:t>
      </w:r>
    </w:p>
    <w:p>
      <w:pPr>
        <w:spacing w:after="0" w:line="131" w:lineRule="exact"/>
        <w:rPr>
          <w:sz w:val="20"/>
          <w:szCs w:val="20"/>
          <w:color w:val="auto"/>
        </w:rPr>
      </w:pPr>
    </w:p>
    <w:p>
      <w:pPr>
        <w:jc w:val="both"/>
        <w:ind w:left="1300" w:hanging="130"/>
        <w:spacing w:after="0" w:line="282" w:lineRule="auto"/>
        <w:rPr>
          <w:sz w:val="20"/>
          <w:szCs w:val="20"/>
          <w:color w:val="auto"/>
        </w:rPr>
      </w:pPr>
      <w:r>
        <w:rPr>
          <w:rFonts w:ascii="Times New Roman" w:cs="Times New Roman" w:eastAsia="Times New Roman" w:hAnsi="Times New Roman"/>
          <w:sz w:val="18"/>
          <w:szCs w:val="18"/>
          <w:color w:val="auto"/>
        </w:rPr>
        <w:t>any variation of the defeasance and covenant defeasance sections of the indenture and the manner in which our election to defease the debt securities will be evidenced, if other than by a board resolution;</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appointment of any paying agents or agents, security registrar or authenticating agent for the debt securities;</w:t>
      </w:r>
    </w:p>
    <w:p>
      <w:pPr>
        <w:spacing w:after="0" w:line="131" w:lineRule="exact"/>
        <w:rPr>
          <w:sz w:val="20"/>
          <w:szCs w:val="20"/>
          <w:color w:val="auto"/>
        </w:rPr>
      </w:pPr>
    </w:p>
    <w:p>
      <w:pPr>
        <w:jc w:val="both"/>
        <w:ind w:left="1300" w:hanging="116"/>
        <w:spacing w:after="0" w:line="266" w:lineRule="auto"/>
        <w:rPr>
          <w:sz w:val="20"/>
          <w:szCs w:val="20"/>
          <w:color w:val="auto"/>
        </w:rPr>
      </w:pPr>
      <w:r>
        <w:rPr>
          <w:rFonts w:ascii="Times New Roman" w:cs="Times New Roman" w:eastAsia="Times New Roman" w:hAnsi="Times New Roman"/>
          <w:sz w:val="18"/>
          <w:szCs w:val="18"/>
          <w:color w:val="auto"/>
        </w:rPr>
        <w:t>any deletion from or addition to or change in the events of default for the debt securities and any change in the rights of the trustee or the holders of the debt securities arising from an event of default including, among others, the right to declare the principal amount of the debt securities due and payable;</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any deletion from or modification of or addition to the covenants applicable to the particular debt securities being issued;</w:t>
      </w:r>
    </w:p>
    <w:p>
      <w:pPr>
        <w:spacing w:after="0" w:line="131" w:lineRule="exact"/>
        <w:rPr>
          <w:sz w:val="20"/>
          <w:szCs w:val="20"/>
          <w:color w:val="auto"/>
        </w:rPr>
      </w:pPr>
    </w:p>
    <w:p>
      <w:pPr>
        <w:ind w:left="1300" w:right="20" w:hanging="22"/>
        <w:spacing w:after="0" w:line="282" w:lineRule="auto"/>
        <w:rPr>
          <w:sz w:val="20"/>
          <w:szCs w:val="20"/>
          <w:color w:val="auto"/>
        </w:rPr>
      </w:pPr>
      <w:r>
        <w:rPr>
          <w:rFonts w:ascii="Times New Roman" w:cs="Times New Roman" w:eastAsia="Times New Roman" w:hAnsi="Times New Roman"/>
          <w:sz w:val="18"/>
          <w:szCs w:val="18"/>
          <w:color w:val="auto"/>
        </w:rPr>
        <w:t>whether the debt securities of the series will be guaranteed and the terms and conditions upon which those debt securities will be guaranteed;</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any restriction or condition on the transferability of the debt securities;</w:t>
      </w:r>
    </w:p>
    <w:p>
      <w:pPr>
        <w:spacing w:after="0" w:line="131" w:lineRule="exact"/>
        <w:rPr>
          <w:sz w:val="20"/>
          <w:szCs w:val="20"/>
          <w:color w:val="auto"/>
        </w:rPr>
      </w:pPr>
    </w:p>
    <w:p>
      <w:pPr>
        <w:ind w:left="1300" w:right="20" w:hanging="76"/>
        <w:spacing w:after="0" w:line="282" w:lineRule="auto"/>
        <w:rPr>
          <w:sz w:val="20"/>
          <w:szCs w:val="20"/>
          <w:color w:val="auto"/>
        </w:rPr>
      </w:pPr>
      <w:r>
        <w:rPr>
          <w:rFonts w:ascii="Times New Roman" w:cs="Times New Roman" w:eastAsia="Times New Roman" w:hAnsi="Times New Roman"/>
          <w:sz w:val="18"/>
          <w:szCs w:val="18"/>
          <w:color w:val="auto"/>
        </w:rPr>
        <w:t>any subordination provisions and related definitions in the case of debt securities that are subordinated in right of payment to the prior payment of any other indebtedness;</w:t>
      </w:r>
    </w:p>
    <w:p>
      <w:pPr>
        <w:spacing w:after="0" w:line="67" w:lineRule="exact"/>
        <w:rPr>
          <w:sz w:val="20"/>
          <w:szCs w:val="20"/>
          <w:color w:val="auto"/>
        </w:rPr>
      </w:pPr>
    </w:p>
    <w:p>
      <w:pPr>
        <w:jc w:val="both"/>
        <w:ind w:left="1300" w:hanging="130"/>
        <w:spacing w:after="0" w:line="282" w:lineRule="auto"/>
        <w:rPr>
          <w:sz w:val="20"/>
          <w:szCs w:val="20"/>
          <w:color w:val="auto"/>
        </w:rPr>
      </w:pPr>
      <w:r>
        <w:rPr>
          <w:rFonts w:ascii="Times New Roman" w:cs="Times New Roman" w:eastAsia="Times New Roman" w:hAnsi="Times New Roman"/>
          <w:sz w:val="18"/>
          <w:szCs w:val="18"/>
          <w:color w:val="auto"/>
        </w:rPr>
        <w:t>any additions or changes to the indenture necessary to issue the debt securities in bearer form, registrable or not registrable as to principal, and with or without interest coupons;</w:t>
      </w:r>
    </w:p>
    <w:p>
      <w:pPr>
        <w:spacing w:after="0" w:line="67" w:lineRule="exact"/>
        <w:rPr>
          <w:sz w:val="20"/>
          <w:szCs w:val="20"/>
          <w:color w:val="auto"/>
        </w:rPr>
      </w:pPr>
    </w:p>
    <w:p>
      <w:pPr>
        <w:ind w:left="1300" w:firstLine="45"/>
        <w:spacing w:after="0" w:line="282" w:lineRule="auto"/>
        <w:rPr>
          <w:sz w:val="20"/>
          <w:szCs w:val="20"/>
          <w:color w:val="auto"/>
        </w:rPr>
      </w:pPr>
      <w:r>
        <w:rPr>
          <w:rFonts w:ascii="Times New Roman" w:cs="Times New Roman" w:eastAsia="Times New Roman" w:hAnsi="Times New Roman"/>
          <w:sz w:val="18"/>
          <w:szCs w:val="18"/>
          <w:color w:val="auto"/>
        </w:rPr>
        <w:t>the material U.S. federal income tax considerations applicable to the debt securities, including the material federal income tax consequences and other special considerations applicable to original issue discount securities;</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 and</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any other terms of the debt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defines an “event of default” with respect to any series of debt securities. Unless we state otherwise in the prospectus supplement, each of the following will be an event of default under the indenture for any series of debt securities:</w:t>
      </w:r>
    </w:p>
    <w:p>
      <w:pPr>
        <w:spacing w:after="0" w:line="67" w:lineRule="exact"/>
        <w:rPr>
          <w:sz w:val="20"/>
          <w:szCs w:val="20"/>
          <w:color w:val="auto"/>
        </w:rPr>
      </w:pPr>
    </w:p>
    <w:p>
      <w:pPr>
        <w:jc w:val="both"/>
        <w:ind w:left="1300" w:hanging="143"/>
        <w:spacing w:after="0" w:line="266" w:lineRule="auto"/>
        <w:rPr>
          <w:sz w:val="20"/>
          <w:szCs w:val="20"/>
          <w:color w:val="auto"/>
        </w:rPr>
      </w:pPr>
      <w:r>
        <w:rPr>
          <w:rFonts w:ascii="Times New Roman" w:cs="Times New Roman" w:eastAsia="Times New Roman" w:hAnsi="Times New Roman"/>
          <w:sz w:val="18"/>
          <w:szCs w:val="18"/>
          <w:color w:val="auto"/>
        </w:rPr>
        <w:t>our failure to pay interest on any of the debt securities of that series when due and payable, and continuance of the default for a period of 30 days (unless the entire amount of such payment is deposited by us with the trustee or with a paying agent prior to 11:00 a.m., New York City time, on the 30th day of such period);</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failure to pay principal or premium, if any, on any of the debt securities of that series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99" w:lineRule="exact"/>
        <w:rPr>
          <w:sz w:val="20"/>
          <w:szCs w:val="20"/>
          <w:color w:val="auto"/>
        </w:rPr>
      </w:pPr>
    </w:p>
    <w:p>
      <w:pPr>
        <w:jc w:val="both"/>
        <w:ind w:left="1300" w:hanging="103"/>
        <w:spacing w:after="0" w:line="258" w:lineRule="auto"/>
        <w:rPr>
          <w:sz w:val="20"/>
          <w:szCs w:val="20"/>
          <w:color w:val="auto"/>
        </w:rPr>
      </w:pPr>
      <w:r>
        <w:rPr>
          <w:rFonts w:ascii="Times New Roman" w:cs="Times New Roman" w:eastAsia="Times New Roman" w:hAnsi="Times New Roman"/>
          <w:sz w:val="18"/>
          <w:szCs w:val="18"/>
          <w:color w:val="auto"/>
        </w:rPr>
        <w:t>our failure to perform, or our breach, of any covenant in the indenture in respect of that series, other than a covenant for which there are other consequences of breach or nonperformance or a covenant included in the indenture solely for the benefit of another series of debt securities, and continuance of that failure or breach, without that failure or breach having been cured or waived, for a period of 90 days after the trustee gives notice to us or, in the case of notice by the holders, the holders of at least 25% in aggregate principal amount of the outstanding debt securities of that series give notice to us and the trustee, specifying the default or breach;</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specified events involving our bankruptcy, insolvency or reorganization; or</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any other event of default we may provide for that series.</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 or different events of default applicable to a series of debt securities may be described in a prospectus supplement. An event of default under one series of debt securities does not necessarily constitute an event of default under any other series of debt securities. The indenture provides that, within 90 days after the occurrence of any default with respect to a series of debt securities of which a responsible officer of the trustee has actual knowledge, the trustee will send to all holders of debt securities of that series notice of the default, unless the default has been cured or waived. However, the indenture provides that the trustee may withhold notice of a default with respect to a series of debt securities, except a default in payment of principal, premium, if any, or interest, if any, if the trustee in good faith determines that doing so is in the interest of the holders of the debt securities of the applicable series. In the case of a default in the performance, or breach, of any covenant or warranty in the indenture or in respect of a series of debt securities, no notice will be given until at least 30 days after the occurrence of the default or breach.</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indenture provides that if an event of default, other than an event of default relating to events of bankruptcy, insolvency or reorganization, with respect to a series of debt securities occurs and is continuing, either the trustee or the holders of no fewer than 25% in aggregate principal amount of the outstanding debt securities of that series may declare the principal of, or such lesser amount as may be provided for with respect to debt securities of that series, and accrued and unpaid interest, if any, on the debt securities of that series to be due and payable immediately by a notice in writing to us (or to the trustee if given by the holders), and upon any such declaration, such principal or such lesser amount, as the case may be, and such accrued and unpaid interest will become immediately due and payable. The indenture also provides that if an event of default relating to events of bankruptcy, insolvency or reorganization with respect to a series of debt securities occurs then the principal of, and accrued and unpaid interest, if any, on, all the debt securities of that series will automatically become and be immediately due and payable without any declaration or other act on the part of the trustee or any holder of the debt securities. However, upon specified conditions, the holders of not less than a majority in aggregate principal amount of the outstanding debt securities of a series may rescind and annul an acceleration of the debt securities of that series and its consequences.</w:t>
      </w:r>
    </w:p>
    <w:p>
      <w:pPr>
        <w:spacing w:after="0" w:line="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time period in the indenture to cure any actual or alleged default or event of default may be extended or stayed by a court of competent jurisdiction.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Trust Indenture Act requiring the trustee, during the continuance of an event of default under the indenture, to act with the requisite standard of care, the trustee is under no obligation to exercise any of its rights or powers under the indenture at the request or direction of any of the holders of debt securities unless those holders have offered, and if requested, provided to the trustee security or indemnity satisfactory to the trustee against the costs, expenses and liabilities that may be incurred by taking such action.</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this requirement, holders of a majority in aggregate principal amount of the outstanding debt securities of a series have the right to direct the time, method and place of conducting any proceeding for any remedy available to the trustee under the indenture with respect to the debt securities of that series.</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90 days after it occurs.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indenture, the holder of a debt security will have the right, which is absolute and unconditional, to receive payment of the principal of, and premium, if any, and interest, if any, on that debt security on the respective due dates for those payments and to institute suit for the enforcement of those payments, and this right will not be impaired without the consent of the holder.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permits us and the trustee, with the consent of the holders of a majority in aggregate principal amount of the outstanding debt securities of a series affected by a modification or amendment, to modify or amend any of the provisions of the indenture or of the debt securities or the rights of the holders of the debt securities under the indenture. However, no modification or amendment may, without the consent of the holder of each outstanding debt security affected by the modification or amendment, among other things:</w:t>
      </w:r>
    </w:p>
    <w:p>
      <w:pPr>
        <w:spacing w:after="0" w:line="85" w:lineRule="exact"/>
        <w:rPr>
          <w:sz w:val="20"/>
          <w:szCs w:val="20"/>
          <w:color w:val="auto"/>
        </w:rPr>
      </w:pPr>
    </w:p>
    <w:p>
      <w:pPr>
        <w:jc w:val="both"/>
        <w:ind w:left="1300" w:hanging="76"/>
        <w:spacing w:after="0" w:line="261" w:lineRule="auto"/>
        <w:rPr>
          <w:sz w:val="20"/>
          <w:szCs w:val="20"/>
          <w:color w:val="auto"/>
        </w:rPr>
      </w:pPr>
      <w:r>
        <w:rPr>
          <w:rFonts w:ascii="Times New Roman" w:cs="Times New Roman" w:eastAsia="Times New Roman" w:hAnsi="Times New Roman"/>
          <w:sz w:val="18"/>
          <w:szCs w:val="18"/>
          <w:color w:val="auto"/>
        </w:rPr>
        <w:t>change the stated maturity of the principal of or any installment of principal of or interest, if any, on the debt securities, or reduce the principal amount thereof or the rate (or modify the calculation of such rate) of interest thereon, or reduce the amount payable upon redemption thereof at our option, or reduce the amount of the principal of any original issue discount security that would be due and payable upon a declaration of acceleration of the maturity pursuant to the indenture;</w:t>
      </w:r>
    </w:p>
    <w:p>
      <w:pPr>
        <w:spacing w:after="0" w:line="85" w:lineRule="exact"/>
        <w:rPr>
          <w:sz w:val="20"/>
          <w:szCs w:val="20"/>
          <w:color w:val="auto"/>
        </w:rPr>
      </w:pPr>
    </w:p>
    <w:p>
      <w:pPr>
        <w:jc w:val="both"/>
        <w:ind w:left="1300" w:hanging="103"/>
        <w:spacing w:after="0" w:line="258" w:lineRule="auto"/>
        <w:rPr>
          <w:sz w:val="20"/>
          <w:szCs w:val="20"/>
          <w:color w:val="auto"/>
        </w:rPr>
      </w:pPr>
      <w:r>
        <w:rPr>
          <w:rFonts w:ascii="Times New Roman" w:cs="Times New Roman" w:eastAsia="Times New Roman" w:hAnsi="Times New Roman"/>
          <w:sz w:val="18"/>
          <w:szCs w:val="18"/>
          <w:color w:val="auto"/>
        </w:rPr>
        <w:t>adversely affect a holder’s right to receive payment of the principal of and interest on any security on the stated maturity (including any interest payment date) thereof or impair the right to institute suit to enforce such payment on or after the stated maturity (including any interest payment date) of the debt securities, in each case as such stated maturity (including any interest payment date) may, if applicable, be extended in accordance with the terms of such debt securities, or, in the case of redemption at the option of the Company, on or after the redemption date;</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change the currency in which the principal of, any premium or interest on, any debt security is payable;</w:t>
      </w:r>
    </w:p>
    <w:p>
      <w:pPr>
        <w:spacing w:after="0" w:line="131" w:lineRule="exact"/>
        <w:rPr>
          <w:sz w:val="20"/>
          <w:szCs w:val="20"/>
          <w:color w:val="auto"/>
        </w:rPr>
      </w:pPr>
    </w:p>
    <w:p>
      <w:pPr>
        <w:jc w:val="both"/>
        <w:ind w:left="1300" w:hanging="130"/>
        <w:spacing w:after="0" w:line="282" w:lineRule="auto"/>
        <w:rPr>
          <w:sz w:val="20"/>
          <w:szCs w:val="20"/>
          <w:color w:val="auto"/>
        </w:rPr>
      </w:pPr>
      <w:r>
        <w:rPr>
          <w:rFonts w:ascii="Times New Roman" w:cs="Times New Roman" w:eastAsia="Times New Roman" w:hAnsi="Times New Roman"/>
          <w:sz w:val="18"/>
          <w:szCs w:val="18"/>
          <w:color w:val="auto"/>
        </w:rPr>
        <w:t>reduce the percentage in principal amount of outstanding debt securities whose holders must consent to any modification or amendment or any waiver of compliance with specific provisions of the indenture or certain defaults under the indenture and their consequences; or</w:t>
      </w:r>
    </w:p>
    <w:p>
      <w:pPr>
        <w:spacing w:after="0" w:line="67" w:lineRule="exact"/>
        <w:rPr>
          <w:sz w:val="20"/>
          <w:szCs w:val="20"/>
          <w:color w:val="auto"/>
        </w:rPr>
      </w:pPr>
    </w:p>
    <w:p>
      <w:pPr>
        <w:ind w:left="1300" w:hanging="76"/>
        <w:spacing w:after="0" w:line="282" w:lineRule="auto"/>
        <w:rPr>
          <w:sz w:val="20"/>
          <w:szCs w:val="20"/>
          <w:color w:val="auto"/>
        </w:rPr>
      </w:pPr>
      <w:r>
        <w:rPr>
          <w:rFonts w:ascii="Times New Roman" w:cs="Times New Roman" w:eastAsia="Times New Roman" w:hAnsi="Times New Roman"/>
          <w:sz w:val="18"/>
          <w:szCs w:val="18"/>
          <w:color w:val="auto"/>
        </w:rPr>
        <w:t>make certain modifications to the provisions for modification of the indenture and for certain waivers, except to increase the principal amount of outstanding debt securities necessary to consent to any such change.</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also contains provisions permitting us and the trustee, without the consent of the holders of the debt securities, to modify or amend the indenture, among other things:</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 convey, transfer, assign, mortgage or pledge to the trustee as security for the debt securities any property or assets that we may desire;</w:t>
      </w:r>
    </w:p>
    <w:p>
      <w:pPr>
        <w:spacing w:after="0" w:line="131" w:lineRule="exact"/>
        <w:rPr>
          <w:sz w:val="20"/>
          <w:szCs w:val="20"/>
          <w:color w:val="auto"/>
        </w:rPr>
      </w:pPr>
    </w:p>
    <w:p>
      <w:pPr>
        <w:jc w:val="both"/>
        <w:ind w:left="1300" w:hanging="143"/>
        <w:spacing w:after="0" w:line="282" w:lineRule="auto"/>
        <w:rPr>
          <w:sz w:val="20"/>
          <w:szCs w:val="20"/>
          <w:color w:val="auto"/>
        </w:rPr>
      </w:pPr>
      <w:r>
        <w:rPr>
          <w:rFonts w:ascii="Times New Roman" w:cs="Times New Roman" w:eastAsia="Times New Roman" w:hAnsi="Times New Roman"/>
          <w:sz w:val="18"/>
          <w:szCs w:val="18"/>
          <w:color w:val="auto"/>
        </w:rPr>
        <w:t>to evidence succession of another corporation to Commvault and the assumption by the successor corporation of the covenants, agreements and obligations of Commvault;</w:t>
      </w:r>
    </w:p>
    <w:p>
      <w:pPr>
        <w:spacing w:after="0" w:line="67" w:lineRule="exact"/>
        <w:rPr>
          <w:sz w:val="20"/>
          <w:szCs w:val="20"/>
          <w:color w:val="auto"/>
        </w:rPr>
      </w:pPr>
    </w:p>
    <w:p>
      <w:pPr>
        <w:jc w:val="both"/>
        <w:ind w:left="1300" w:hanging="130"/>
        <w:spacing w:after="0" w:line="266" w:lineRule="auto"/>
        <w:rPr>
          <w:sz w:val="20"/>
          <w:szCs w:val="20"/>
          <w:color w:val="auto"/>
        </w:rPr>
      </w:pPr>
      <w:r>
        <w:rPr>
          <w:rFonts w:ascii="Times New Roman" w:cs="Times New Roman" w:eastAsia="Times New Roman" w:hAnsi="Times New Roman"/>
          <w:sz w:val="18"/>
          <w:szCs w:val="18"/>
          <w:color w:val="auto"/>
        </w:rPr>
        <w:t>to add to or modify our covenants and agreements to those included in the indenture for the protection of holders of debt securities (and if such covenants, agreements, restrictions or conditions are to be for the benefit of fewer than all series of debt securities, stating that such covenants, agreements, restrictions or conditions are expressly being included solely for the benefit of such series);</w:t>
      </w:r>
    </w:p>
    <w:p>
      <w:pPr>
        <w:spacing w:after="0" w:line="81" w:lineRule="exact"/>
        <w:rPr>
          <w:sz w:val="20"/>
          <w:szCs w:val="20"/>
          <w:color w:val="auto"/>
        </w:rPr>
      </w:pPr>
    </w:p>
    <w:p>
      <w:pPr>
        <w:jc w:val="both"/>
        <w:ind w:left="1300" w:right="20" w:hanging="116"/>
        <w:spacing w:after="0" w:line="266" w:lineRule="auto"/>
        <w:rPr>
          <w:sz w:val="20"/>
          <w:szCs w:val="20"/>
          <w:color w:val="auto"/>
        </w:rPr>
      </w:pPr>
      <w:r>
        <w:rPr>
          <w:rFonts w:ascii="Times New Roman" w:cs="Times New Roman" w:eastAsia="Times New Roman" w:hAnsi="Times New Roman"/>
          <w:sz w:val="18"/>
          <w:szCs w:val="18"/>
          <w:color w:val="auto"/>
        </w:rPr>
        <w:t>to add or modify the events of default for the benefit of the holders of debt securities (and if such additional or modified events of default are to be for the benefit of fewer than all series of debt securities, stating that such additional or modified events of default are expressly being included solely for the benefit of such series);</w:t>
      </w:r>
    </w:p>
    <w:p>
      <w:pPr>
        <w:spacing w:after="0" w:line="81" w:lineRule="exact"/>
        <w:rPr>
          <w:sz w:val="20"/>
          <w:szCs w:val="20"/>
          <w:color w:val="auto"/>
        </w:rPr>
      </w:pPr>
    </w:p>
    <w:p>
      <w:pPr>
        <w:ind w:left="1160" w:right="2880"/>
        <w:spacing w:after="0" w:line="423" w:lineRule="auto"/>
        <w:rPr>
          <w:sz w:val="20"/>
          <w:szCs w:val="20"/>
          <w:color w:val="auto"/>
        </w:rPr>
      </w:pPr>
      <w:r>
        <w:rPr>
          <w:rFonts w:ascii="Times New Roman" w:cs="Times New Roman" w:eastAsia="Times New Roman" w:hAnsi="Times New Roman"/>
          <w:sz w:val="18"/>
          <w:szCs w:val="18"/>
          <w:color w:val="auto"/>
        </w:rPr>
        <w:t>to prohibit the authentication and delivery of additional series of debt securities under the indenture; to cure any ambiguity, omission, mistake, defect or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99" w:lineRule="exact"/>
        <w:rPr>
          <w:sz w:val="20"/>
          <w:szCs w:val="20"/>
          <w:color w:val="auto"/>
        </w:rPr>
      </w:pPr>
    </w:p>
    <w:p>
      <w:pPr>
        <w:jc w:val="both"/>
        <w:ind w:left="1300" w:right="20" w:hanging="143"/>
        <w:spacing w:after="0" w:line="266" w:lineRule="auto"/>
        <w:rPr>
          <w:sz w:val="20"/>
          <w:szCs w:val="20"/>
          <w:color w:val="auto"/>
        </w:rPr>
      </w:pPr>
      <w:r>
        <w:rPr>
          <w:rFonts w:ascii="Times New Roman" w:cs="Times New Roman" w:eastAsia="Times New Roman" w:hAnsi="Times New Roman"/>
          <w:sz w:val="18"/>
          <w:szCs w:val="18"/>
          <w:color w:val="auto"/>
        </w:rPr>
        <w:t>to make such other provisions in regard to matters or questions arising under the indenture as are not inconsistent with the provisions of the indenture or any supplemental indenture; provided that such action shall not adversely affect the rights of any holders of debt securities of any series in any material respect;</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 establish the form and terms of debt securities of any series issued under the indenture;</w:t>
      </w:r>
    </w:p>
    <w:p>
      <w:pPr>
        <w:spacing w:after="0" w:line="131" w:lineRule="exact"/>
        <w:rPr>
          <w:sz w:val="20"/>
          <w:szCs w:val="20"/>
          <w:color w:val="auto"/>
        </w:rPr>
      </w:pPr>
    </w:p>
    <w:p>
      <w:pPr>
        <w:jc w:val="both"/>
        <w:ind w:left="1300" w:hanging="130"/>
        <w:spacing w:after="0" w:line="266" w:lineRule="auto"/>
        <w:rPr>
          <w:sz w:val="20"/>
          <w:szCs w:val="20"/>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or to add to or change any of the provisions of the indenture as will be necessary to provide for or facilitate the administration of the trusts under the indenture by more than one trustee;</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1" w:lineRule="exact"/>
        <w:rPr>
          <w:sz w:val="20"/>
          <w:szCs w:val="20"/>
          <w:color w:val="auto"/>
        </w:rPr>
      </w:pPr>
    </w:p>
    <w:p>
      <w:pPr>
        <w:jc w:val="both"/>
        <w:ind w:left="1300" w:firstLine="18"/>
        <w:spacing w:after="0" w:line="256" w:lineRule="auto"/>
        <w:rPr>
          <w:sz w:val="20"/>
          <w:szCs w:val="20"/>
          <w:color w:val="auto"/>
        </w:rPr>
      </w:pPr>
      <w:r>
        <w:rPr>
          <w:rFonts w:ascii="Times New Roman" w:cs="Times New Roman" w:eastAsia="Times New Roman" w:hAnsi="Times New Roman"/>
          <w:sz w:val="18"/>
          <w:szCs w:val="18"/>
          <w:color w:val="auto"/>
        </w:rPr>
        <w:t>to delete, amend or supplement any provision contained herein or in any supplemental indenture (which deletion, amendment or supplement may apply to one or more series of debt securities or may apply to the indenture generally, including the amendment and restatement of the indenture), provided that such amendment or supplement does not (i) apply to any debt security of any series then outstanding created or issued prior to the date of the supplemental indenture pursuant to which such deletion, amendment or supplement, as the case may be, is made and entitled to the benefit of such provision deleted, amended or supplemented by such supplemental indenture or (ii) adversely modify the rights of the holder of any such debt security;</w:t>
      </w:r>
    </w:p>
    <w:p>
      <w:pPr>
        <w:spacing w:after="0" w:line="93" w:lineRule="exact"/>
        <w:rPr>
          <w:sz w:val="20"/>
          <w:szCs w:val="20"/>
          <w:color w:val="auto"/>
        </w:rPr>
      </w:pPr>
    </w:p>
    <w:p>
      <w:pPr>
        <w:ind w:left="1300" w:hanging="143"/>
        <w:spacing w:after="0" w:line="282" w:lineRule="auto"/>
        <w:rPr>
          <w:sz w:val="20"/>
          <w:szCs w:val="20"/>
          <w:color w:val="auto"/>
        </w:rPr>
      </w:pPr>
      <w:r>
        <w:rPr>
          <w:rFonts w:ascii="Times New Roman" w:cs="Times New Roman" w:eastAsia="Times New Roman" w:hAnsi="Times New Roman"/>
          <w:sz w:val="18"/>
          <w:szCs w:val="18"/>
          <w:color w:val="auto"/>
        </w:rPr>
        <w:t>to add guarantors or co-obligors for the benefit of the debt securities of all or any series or to release guarantors from their guarantees of the debt securities in accordance with the terms of the applicable series of debt securities;</w:t>
      </w:r>
    </w:p>
    <w:p>
      <w:pPr>
        <w:spacing w:after="0" w:line="67" w:lineRule="exact"/>
        <w:rPr>
          <w:sz w:val="20"/>
          <w:szCs w:val="20"/>
          <w:color w:val="auto"/>
        </w:rPr>
      </w:pPr>
    </w:p>
    <w:p>
      <w:pPr>
        <w:ind w:left="1300" w:right="20" w:hanging="143"/>
        <w:spacing w:after="0" w:line="282" w:lineRule="auto"/>
        <w:rPr>
          <w:sz w:val="20"/>
          <w:szCs w:val="20"/>
          <w:color w:val="auto"/>
        </w:rPr>
      </w:pPr>
      <w:r>
        <w:rPr>
          <w:rFonts w:ascii="Times New Roman" w:cs="Times New Roman" w:eastAsia="Times New Roman" w:hAnsi="Times New Roman"/>
          <w:sz w:val="18"/>
          <w:szCs w:val="18"/>
          <w:color w:val="auto"/>
        </w:rPr>
        <w:t>to evidence or facilitate the release, termination, defeasance or discharge of a guarantee of the debt securities of all or any series when such release, termination, defeasance or discharge is permitted under the indenture;</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 secure the debt securities of all or any series;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 comply with the Trust Indenture Act or maintain the qualification of the indenture under the Trust Indenture Act; or</w:t>
      </w:r>
    </w:p>
    <w:p>
      <w:pPr>
        <w:spacing w:after="0" w:line="131" w:lineRule="exact"/>
        <w:rPr>
          <w:sz w:val="20"/>
          <w:szCs w:val="20"/>
          <w:color w:val="auto"/>
        </w:rPr>
      </w:pPr>
    </w:p>
    <w:p>
      <w:pPr>
        <w:ind w:left="1300" w:hanging="89"/>
        <w:spacing w:after="0" w:line="282" w:lineRule="auto"/>
        <w:rPr>
          <w:sz w:val="20"/>
          <w:szCs w:val="20"/>
          <w:color w:val="auto"/>
        </w:rPr>
      </w:pPr>
      <w:r>
        <w:rPr>
          <w:rFonts w:ascii="Times New Roman" w:cs="Times New Roman" w:eastAsia="Times New Roman" w:hAnsi="Times New Roman"/>
          <w:sz w:val="18"/>
          <w:szCs w:val="18"/>
          <w:color w:val="auto"/>
        </w:rPr>
        <w:t>to conform the provisions of the indenture and the debt securities to the description thereof contained in this prospectus and any related prospectus supplement.</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may waive our compliance with some of the restrictive provisions of the indenture. The holders of a majority in aggregate principal amount of the outstanding debt securities may, on behalf of all holders of debt securities, waive any past default under the indenture with respect to the debt securities and its consequences, except a default in the payment of the principal of, or premium, if any, or interest, if any, on the debt securities or a default in respect of a covenant or provision which cannot be modified or amended without the consent of each holder of each outstanding debt security so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our direction, the indenture will cease to be of further effect with respect to any debt security specified, subject to the survival of specified provisions of the indenture, and we will be deemed to have been satisfied and discharged from our obligations with respect to such debt securities when:</w:t>
      </w:r>
    </w:p>
    <w:p>
      <w:pPr>
        <w:spacing w:after="0" w:line="67" w:lineRule="exact"/>
        <w:rPr>
          <w:sz w:val="20"/>
          <w:szCs w:val="20"/>
          <w:color w:val="auto"/>
        </w:rPr>
      </w:pPr>
    </w:p>
    <w:p>
      <w:pPr>
        <w:jc w:val="both"/>
        <w:ind w:left="1300" w:hanging="130"/>
        <w:spacing w:after="0" w:line="256" w:lineRule="auto"/>
        <w:rPr>
          <w:sz w:val="20"/>
          <w:szCs w:val="20"/>
          <w:color w:val="auto"/>
        </w:rPr>
      </w:pPr>
      <w:r>
        <w:rPr>
          <w:rFonts w:ascii="Times New Roman" w:cs="Times New Roman" w:eastAsia="Times New Roman" w:hAnsi="Times New Roman"/>
          <w:sz w:val="18"/>
          <w:szCs w:val="18"/>
          <w:color w:val="auto"/>
        </w:rPr>
        <w:t>either: (i) all debt securities issued under the indenture, subject to exceptions, have been delivered to the trustee for cancellation; or (ii) all debt securities issued under the indenture have become due and payable, will become due and payable at their stated maturity within one year or are to be called for redemption within one year and we have deposited with the trustee, in trust, funds in the currency in which the debt securities are payable, or, in the case of any debt securities denominated in U.S. dollars, direct or indirect obligations of the U.S. or, in the case of any debt securities denominated in a foreign currency, direct or indirect obligations of a government or governments in the confederation that issued such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(“government obligations”), or a combination thereof, as applicable, in an amount sufficient to pay the entire indebtedness on the debt securities which have not been delivered to the trustee for cancellation including the principal, premium, if any, and interest, if any, to the date of the deposit, if the debt securities have become due and payable, or to the maturity or redemption date of the debt securities, as the case may be;</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have paid all other sums payable under the indenture with respect to the outstanding debt securities issued under the indenture; and</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trustee has received each officer’s certificate and opinion of counsel called for by the indenture.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elect with respect to the debt securities issued under the indenture either:</w:t>
      </w:r>
    </w:p>
    <w:p>
      <w:pPr>
        <w:spacing w:after="0" w:line="131" w:lineRule="exact"/>
        <w:rPr>
          <w:sz w:val="20"/>
          <w:szCs w:val="20"/>
          <w:color w:val="auto"/>
        </w:rPr>
      </w:pPr>
    </w:p>
    <w:p>
      <w:pPr>
        <w:ind w:left="1300" w:hanging="116"/>
        <w:spacing w:after="0" w:line="282" w:lineRule="auto"/>
        <w:rPr>
          <w:sz w:val="20"/>
          <w:szCs w:val="20"/>
          <w:color w:val="auto"/>
        </w:rPr>
      </w:pPr>
      <w:r>
        <w:rPr>
          <w:rFonts w:ascii="Times New Roman" w:cs="Times New Roman" w:eastAsia="Times New Roman" w:hAnsi="Times New Roman"/>
          <w:sz w:val="18"/>
          <w:szCs w:val="18"/>
          <w:color w:val="auto"/>
        </w:rPr>
        <w:t>to defease and be discharged from all of our obligations with respect to the outstanding debt securities (“defeasance”), except for, among other things,</w:t>
      </w:r>
    </w:p>
    <w:p>
      <w:pPr>
        <w:spacing w:after="0" w:line="6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obligation to register the transfer or exchange of the debt securities,</w:t>
      </w:r>
    </w:p>
    <w:p>
      <w:pPr>
        <w:spacing w:after="0" w:line="1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obligation to replace temporary or mutilated, destroyed, lost or stolen debt securities,</w:t>
      </w:r>
    </w:p>
    <w:p>
      <w:pPr>
        <w:spacing w:after="0" w:line="1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obligation to maintain an office or agency in respect of the debt securities, and</w:t>
      </w:r>
    </w:p>
    <w:p>
      <w:pPr>
        <w:spacing w:after="0" w:line="1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obligation to hold monies for payment in trust; or</w:t>
      </w:r>
    </w:p>
    <w:p>
      <w:pPr>
        <w:spacing w:after="0" w:line="131" w:lineRule="exact"/>
        <w:rPr>
          <w:sz w:val="20"/>
          <w:szCs w:val="20"/>
          <w:color w:val="auto"/>
        </w:rPr>
      </w:pPr>
    </w:p>
    <w:p>
      <w:pPr>
        <w:jc w:val="both"/>
        <w:ind w:left="1300" w:hanging="76"/>
        <w:spacing w:after="0" w:line="266" w:lineRule="auto"/>
        <w:rPr>
          <w:sz w:val="20"/>
          <w:szCs w:val="20"/>
          <w:color w:val="auto"/>
        </w:rPr>
      </w:pPr>
      <w:r>
        <w:rPr>
          <w:rFonts w:ascii="Times New Roman" w:cs="Times New Roman" w:eastAsia="Times New Roman" w:hAnsi="Times New Roman"/>
          <w:sz w:val="18"/>
          <w:szCs w:val="18"/>
          <w:color w:val="auto"/>
        </w:rPr>
        <w:t>to be released from our obligations with respect to the debt securities under specified covenants in the indenture, and any omission to comply with those obligations will not constitute a default or an event of default with respect to the debt securities (“covenant defeasance”),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either case upon the irrevocable deposit by us with the trustee in trust for that purpose, of an amount in the currency in which the debt securities are specified as payable and/or government obligations which, through the payment of principal and interest in accordance with their terms, will provide money in an amount sufficient to pay the principal, premium, if any, and interest, if any, on the due dates for those payments.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defeasance or covenant defeasance described above will only be effective if, among other things:</w:t>
      </w:r>
    </w:p>
    <w:p>
      <w:pPr>
        <w:spacing w:after="0" w:line="131" w:lineRule="exact"/>
        <w:rPr>
          <w:sz w:val="20"/>
          <w:szCs w:val="20"/>
          <w:color w:val="auto"/>
        </w:rPr>
      </w:pPr>
    </w:p>
    <w:p>
      <w:pPr>
        <w:ind w:left="1300" w:hanging="103"/>
        <w:spacing w:after="0" w:line="282" w:lineRule="auto"/>
        <w:rPr>
          <w:sz w:val="20"/>
          <w:szCs w:val="20"/>
          <w:color w:val="auto"/>
        </w:rPr>
      </w:pPr>
      <w:r>
        <w:rPr>
          <w:rFonts w:ascii="Times New Roman" w:cs="Times New Roman" w:eastAsia="Times New Roman" w:hAnsi="Times New Roman"/>
          <w:sz w:val="18"/>
          <w:szCs w:val="18"/>
          <w:color w:val="auto"/>
        </w:rPr>
        <w:t>in the case of defeasance, we will have delivered to the trustee an opinion of counsel, subject to customary assumptions and exclusions, confirming that:</w:t>
      </w:r>
    </w:p>
    <w:p>
      <w:pPr>
        <w:spacing w:after="0" w:line="67" w:lineRule="exact"/>
        <w:rPr>
          <w:sz w:val="20"/>
          <w:szCs w:val="20"/>
          <w:color w:val="auto"/>
        </w:rPr>
      </w:pPr>
    </w:p>
    <w:p>
      <w:pPr>
        <w:ind w:left="1800" w:right="2460"/>
        <w:spacing w:after="0" w:line="406" w:lineRule="auto"/>
        <w:rPr>
          <w:sz w:val="20"/>
          <w:szCs w:val="20"/>
          <w:color w:val="auto"/>
        </w:rPr>
      </w:pPr>
      <w:r>
        <w:rPr>
          <w:rFonts w:ascii="Times New Roman" w:cs="Times New Roman" w:eastAsia="Times New Roman" w:hAnsi="Times New Roman"/>
          <w:sz w:val="17"/>
          <w:szCs w:val="17"/>
          <w:color w:val="auto"/>
        </w:rPr>
        <w:t>we have received from or there has been published by the Internal Revenue Service a ruling, or since the date of the indenture there has been a change in applicable U.S. federal income tax law,</w:t>
      </w: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on this ruling or change in law, the opinion of counsel will confirm that the holders of the debt securities then outstanding will not recognize income, gain or loss for U.S. federal income tax purposes as a result of the defeasance and will be subject to United States federal income tax on the same amounts, in the same manner and at the same times as would have been the case if the defeasance had not occurred;</w:t>
      </w:r>
    </w:p>
    <w:p>
      <w:pPr>
        <w:spacing w:after="0" w:line="85" w:lineRule="exact"/>
        <w:rPr>
          <w:sz w:val="20"/>
          <w:szCs w:val="20"/>
          <w:color w:val="auto"/>
        </w:rPr>
      </w:pPr>
    </w:p>
    <w:p>
      <w:pPr>
        <w:jc w:val="both"/>
        <w:ind w:left="1300" w:hanging="76"/>
        <w:spacing w:after="0" w:line="261" w:lineRule="auto"/>
        <w:rPr>
          <w:sz w:val="20"/>
          <w:szCs w:val="20"/>
          <w:color w:val="auto"/>
        </w:rPr>
      </w:pPr>
      <w:r>
        <w:rPr>
          <w:rFonts w:ascii="Times New Roman" w:cs="Times New Roman" w:eastAsia="Times New Roman" w:hAnsi="Times New Roman"/>
          <w:sz w:val="18"/>
          <w:szCs w:val="18"/>
          <w:color w:val="auto"/>
        </w:rPr>
        <w:t>in the case of covenant defeasance, we will have delivered to the trustee an opinion of counsel, subject to customary assumptions and exclusions, to the effect that the holders of the debt securities then outstanding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trustee has received each officer’s certificate and opinion of counsel called for by the indenture;</w:t>
      </w:r>
    </w:p>
    <w:p>
      <w:pPr>
        <w:spacing w:after="0" w:line="131" w:lineRule="exact"/>
        <w:rPr>
          <w:sz w:val="20"/>
          <w:szCs w:val="20"/>
          <w:color w:val="auto"/>
        </w:rPr>
      </w:pPr>
    </w:p>
    <w:p>
      <w:pPr>
        <w:jc w:val="both"/>
        <w:ind w:left="1300" w:hanging="89"/>
        <w:spacing w:after="0" w:line="282" w:lineRule="auto"/>
        <w:rPr>
          <w:sz w:val="20"/>
          <w:szCs w:val="20"/>
          <w:color w:val="auto"/>
        </w:rPr>
      </w:pPr>
      <w:r>
        <w:rPr>
          <w:rFonts w:ascii="Times New Roman" w:cs="Times New Roman" w:eastAsia="Times New Roman" w:hAnsi="Times New Roman"/>
          <w:sz w:val="18"/>
          <w:szCs w:val="18"/>
          <w:color w:val="auto"/>
        </w:rPr>
        <w:t>if the cash and/or government obligations deposited are sufficient to pay the principal of, and premium, if any, and interest, if any, with respect to the debt securities provided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securities are redeemed on a particular redemption date, we will have given the trustee irrevocable instructions to redeem the debt securities on that date; and</w:t>
      </w:r>
    </w:p>
    <w:p>
      <w:pPr>
        <w:spacing w:after="0" w:line="67" w:lineRule="exact"/>
        <w:rPr>
          <w:sz w:val="20"/>
          <w:szCs w:val="20"/>
          <w:color w:val="auto"/>
        </w:rPr>
      </w:pPr>
    </w:p>
    <w:p>
      <w:pPr>
        <w:jc w:val="right"/>
        <w:ind w:left="1160"/>
        <w:spacing w:after="0" w:line="261" w:lineRule="auto"/>
        <w:rPr>
          <w:sz w:val="20"/>
          <w:szCs w:val="20"/>
          <w:color w:val="auto"/>
        </w:rPr>
      </w:pPr>
      <w:r>
        <w:rPr>
          <w:rFonts w:ascii="Times New Roman" w:cs="Times New Roman" w:eastAsia="Times New Roman" w:hAnsi="Times New Roman"/>
          <w:sz w:val="18"/>
          <w:szCs w:val="18"/>
          <w:color w:val="auto"/>
        </w:rPr>
        <w:t>no event of default or default (other than that resulting from borrowing funds to be applied to make the irrevocable deposit described above and the granting of any liens in connection therewith) will have occurred and be continuing on the date of the deposit into trust, and, solely in the case of defeasance, no event of default or default with respect to the applicable debt securities for specified events involving our bankruptcy, insolvency or reorganization will have occurred and be continuing on the date of the irrevocable deposit described above.</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covenant defeasance is effected with respect to the debt securities and those debt securities are declared due and payable because of the occurrence of any event of default other than an event of default with respect to the covenants as to which covenant defeasance has been effected, which would no longer be applicable to the debt securities after covenant defeasance, the amount of monies and/or government obligations deposited with the trustee to effect covenant defeasance may not be sufficient to pay amounts due on the debt securities at the time of any acceleration resulting from that event of default. However, we would remain liable to make payment of those amounts due at the time of acceleration.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Securities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prospectus supplement, the debt securities will be issued in the form of one or more fully registered global notes that will be deposited with, or on behalf of, DTC, as the depositary, and registered in the name of Cede &amp; Co., DTC’s nominee, or such other name as may be requested by an authorized representative of DTC.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will undertake to perform only those duties as are specifically set forth in the applicable indenture. Upon an event of default under an indenture, the trustee must use the same degree of care as a prudent person would exercise or use in the conduct of its own affairs. Subject to this provision, the trustee is under no obligation to exercise any of the powers given it by the indenture at the request of any holder of debt securities unless it is offered, and if requested, provided security and indemnity satisfactory to it against the costs, expenses and liabilities that it might incur.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WARRANTS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description, all references to “we,” “us,” “our” or the “Company” refer only to Commvault and not to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debt warrants for the purchase of debt securities or stock warrants for the purchase of preferred stock or common stock.</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warrants will be issued under warrant agreements to be entered into between us and a bank or trust company, as warrant agent, all to be set forth in the applicable prospectus supplement relating to any or all warrants in respect of which this prospectus is being delivered. Copies of the form of agreement for each warrant, including the forms of certificates representing the warrants reflecting the provisions to be included in such agreements that will be entered into with respect to the particular offerings of each type of warrant, will be filed as exhibits to the registration statement of which this prospectus forms a part.</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warrants to which any prospectus supplement may relate. The particular terms of the warrants to which any prospectus supplement may relate and the extent, if any, to which such general provisions may apply to the warrants so offered will be described in the applicable prospectus supplement. The following summary of certain provisions of the warrants, warrant agreements and warrant certificates does not purport to be complete and is subject to, and is qualified in its entirety by reference to, all the provisions of the warrant agreements and warrant certificates, including the definitions therein of certain terms.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applicable prospectus supplement for the terms of debt warrants in respect of which this prospectus is being delivered, the debt securities warrant agreement relating to such debt warrants and the debt warrant certificates representing such debt warrants, including the following:</w:t>
      </w:r>
    </w:p>
    <w:p>
      <w:pPr>
        <w:spacing w:after="0" w:line="81" w:lineRule="exact"/>
        <w:rPr>
          <w:sz w:val="20"/>
          <w:szCs w:val="20"/>
          <w:color w:val="auto"/>
        </w:rPr>
      </w:pPr>
    </w:p>
    <w:p>
      <w:pPr>
        <w:ind w:left="1300" w:right="20" w:hanging="62"/>
        <w:spacing w:after="0" w:line="282" w:lineRule="auto"/>
        <w:rPr>
          <w:sz w:val="20"/>
          <w:szCs w:val="20"/>
          <w:color w:val="auto"/>
        </w:rPr>
      </w:pPr>
      <w:r>
        <w:rPr>
          <w:rFonts w:ascii="Times New Roman" w:cs="Times New Roman" w:eastAsia="Times New Roman" w:hAnsi="Times New Roman"/>
          <w:sz w:val="18"/>
          <w:szCs w:val="18"/>
          <w:color w:val="auto"/>
        </w:rPr>
        <w:t>the designation, aggregate principal amount and terms of the debt securities purchasable upon exercise of such debt warrants and the procedures and conditions relating to the exercise of such debt warrants;</w:t>
      </w:r>
    </w:p>
    <w:p>
      <w:pPr>
        <w:spacing w:after="0" w:line="67" w:lineRule="exact"/>
        <w:rPr>
          <w:sz w:val="20"/>
          <w:szCs w:val="20"/>
          <w:color w:val="auto"/>
        </w:rPr>
      </w:pPr>
    </w:p>
    <w:p>
      <w:pPr>
        <w:ind w:left="1300" w:hanging="89"/>
        <w:spacing w:after="0" w:line="282" w:lineRule="auto"/>
        <w:rPr>
          <w:sz w:val="20"/>
          <w:szCs w:val="20"/>
          <w:color w:val="auto"/>
        </w:rPr>
      </w:pPr>
      <w:r>
        <w:rPr>
          <w:rFonts w:ascii="Times New Roman" w:cs="Times New Roman" w:eastAsia="Times New Roman" w:hAnsi="Times New Roman"/>
          <w:sz w:val="18"/>
          <w:szCs w:val="18"/>
          <w:color w:val="auto"/>
        </w:rPr>
        <w:t>the designation and terms of any related debt securities with which such debt warrants are issued and the number of such debt warrants issued with each such debt security;</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date, if any, on and after which such debt warrants and any related debt securities will be separately transferable;</w:t>
      </w:r>
    </w:p>
    <w:p>
      <w:pPr>
        <w:spacing w:after="0" w:line="131" w:lineRule="exact"/>
        <w:rPr>
          <w:sz w:val="20"/>
          <w:szCs w:val="20"/>
          <w:color w:val="auto"/>
        </w:rPr>
      </w:pPr>
    </w:p>
    <w:p>
      <w:pPr>
        <w:ind w:left="1300" w:hanging="143"/>
        <w:spacing w:after="0" w:line="282" w:lineRule="auto"/>
        <w:rPr>
          <w:sz w:val="20"/>
          <w:szCs w:val="20"/>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such principal amount of debt securities may be purchased upon such exercise;</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offering price of such debt warrants, if any;</w:t>
      </w:r>
    </w:p>
    <w:p>
      <w:pPr>
        <w:spacing w:after="0" w:line="131" w:lineRule="exact"/>
        <w:rPr>
          <w:sz w:val="20"/>
          <w:szCs w:val="20"/>
          <w:color w:val="auto"/>
        </w:rPr>
      </w:pPr>
    </w:p>
    <w:p>
      <w:pPr>
        <w:ind w:left="1300" w:hanging="62"/>
        <w:spacing w:after="0" w:line="282" w:lineRule="auto"/>
        <w:rPr>
          <w:sz w:val="20"/>
          <w:szCs w:val="20"/>
          <w:color w:val="auto"/>
        </w:rPr>
      </w:pPr>
      <w:r>
        <w:rPr>
          <w:rFonts w:ascii="Times New Roman" w:cs="Times New Roman" w:eastAsia="Times New Roman" w:hAnsi="Times New Roman"/>
          <w:sz w:val="18"/>
          <w:szCs w:val="18"/>
          <w:color w:val="auto"/>
        </w:rPr>
        <w:t>the initial price at which such debt securities may be purchased upon exercise of debt warrants and any provision with respect to the adjustment thereof;</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denominations of such debt warrants;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date on which the right to exercise such debt warrants shall commence and the date on which such right shall expire;</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 discussion of the material U.S. federal income tax considerations applicable to the ownership or exercise of debt warrants;</w:t>
      </w:r>
    </w:p>
    <w:p>
      <w:pPr>
        <w:spacing w:after="0" w:line="131" w:lineRule="exact"/>
        <w:rPr>
          <w:sz w:val="20"/>
          <w:szCs w:val="20"/>
          <w:color w:val="auto"/>
        </w:rPr>
      </w:pPr>
    </w:p>
    <w:p>
      <w:pPr>
        <w:ind w:left="1300" w:hanging="116"/>
        <w:spacing w:after="0" w:line="282" w:lineRule="auto"/>
        <w:rPr>
          <w:sz w:val="20"/>
          <w:szCs w:val="20"/>
          <w:color w:val="auto"/>
        </w:rPr>
      </w:pPr>
      <w:r>
        <w:rPr>
          <w:rFonts w:ascii="Times New Roman" w:cs="Times New Roman" w:eastAsia="Times New Roman" w:hAnsi="Times New Roman"/>
          <w:sz w:val="18"/>
          <w:szCs w:val="18"/>
          <w:color w:val="auto"/>
        </w:rPr>
        <w:t>whether the debt warrants represented by the debt warrant certificates will be issued in registered or bearer form, and, if registered, where they may be transferred and registered;</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redemption provisions of such debt warrants, if any; and</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any other terms of the debt warrants.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warrant certificates will be exchangeable for new debt warrant certificates of different denominations and debt warrants may be exercised at the corporate trust office of the warrant agent or any other office indicated in the applicable prospectus supplement. Prior to the exercise of their debt warrants, holders of debt warrants will not have any of the rights of holders of the debt securities purchasable upon such exercise and will not be entitled to any payments of principal and premium, if any, and interest, if any, on the debt securities purchasable upon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Debt Warrants</w:t>
      </w:r>
    </w:p>
    <w:p>
      <w:pPr>
        <w:spacing w:after="0" w:line="12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Each debt warrant will entitle the holder to purchase for cash such principal amount of debt securities at such exercise price as shall in each case be set forth in, or be determinable as set forth in, the applicable prospectus supplement relating to the debt warrants offered thereby. Unless otherwise specified in the applicable prospectus supplement, debt warrants may be exercised at any time up to 5:00 p.m., New York City time, on the expiration date set forth in the applicable prospectus supplement. After 5:00 p.m., New York City time, on the expiration date, unexercised debt warrants will become void.</w:t>
      </w:r>
    </w:p>
    <w:p>
      <w:pPr>
        <w:spacing w:after="0" w:line="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warrants may be exercised as set forth in the applicable prospectus supplement relating to the debt warrants. Upon receipt of payment and the debt warrant certificate properly completed and duly executed at the corporate trust office of the warrant agent or any other office indicated in the applicable prospectus supplement, we will, as soon as practicable, forward the debt securities purchasable upon such exercise. If less than all of the debt warrants represented by such debt warrant certificate are exercised, a new debt warrant certificate will be issued for the remaining amount of debt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applicable prospectus supplement for the terms of stock warrants in respect of which this prospectus is being delivered, the stock warrant agreement relating to such stock warrants and the stock warrant certificates representing such stock warrants, including the following:</w:t>
      </w:r>
    </w:p>
    <w:p>
      <w:pPr>
        <w:spacing w:after="0" w:line="67" w:lineRule="exact"/>
        <w:rPr>
          <w:sz w:val="20"/>
          <w:szCs w:val="20"/>
          <w:color w:val="auto"/>
        </w:rPr>
      </w:pPr>
    </w:p>
    <w:p>
      <w:pPr>
        <w:ind w:left="1300" w:hanging="103"/>
        <w:spacing w:after="0" w:line="282" w:lineRule="auto"/>
        <w:rPr>
          <w:sz w:val="20"/>
          <w:szCs w:val="20"/>
          <w:color w:val="auto"/>
        </w:rPr>
      </w:pPr>
      <w:r>
        <w:rPr>
          <w:rFonts w:ascii="Times New Roman" w:cs="Times New Roman" w:eastAsia="Times New Roman" w:hAnsi="Times New Roman"/>
          <w:sz w:val="18"/>
          <w:szCs w:val="18"/>
          <w:color w:val="auto"/>
        </w:rPr>
        <w:t>the type and number of shares of preferred stock or common stock purchasable upon exercise of such stock warrants and the procedures and conditions relating to the exercise of such stock warrants;</w:t>
      </w:r>
    </w:p>
    <w:p>
      <w:pPr>
        <w:spacing w:after="0" w:line="67" w:lineRule="exact"/>
        <w:rPr>
          <w:sz w:val="20"/>
          <w:szCs w:val="20"/>
          <w:color w:val="auto"/>
        </w:rPr>
      </w:pPr>
    </w:p>
    <w:p>
      <w:pPr>
        <w:ind w:left="1160" w:right="800"/>
        <w:spacing w:after="0" w:line="391" w:lineRule="auto"/>
        <w:rPr>
          <w:sz w:val="20"/>
          <w:szCs w:val="20"/>
          <w:color w:val="auto"/>
        </w:rPr>
      </w:pPr>
      <w:r>
        <w:rPr>
          <w:rFonts w:ascii="Times New Roman" w:cs="Times New Roman" w:eastAsia="Times New Roman" w:hAnsi="Times New Roman"/>
          <w:sz w:val="18"/>
          <w:szCs w:val="18"/>
          <w:color w:val="auto"/>
        </w:rPr>
        <w:t>the date, if any, on and after which such stock warrants and related preferred stock or common stock will be separately tradeable; the offering price of such stock warrants, if any;</w:t>
      </w:r>
    </w:p>
    <w:p>
      <w:pPr>
        <w:spacing w:after="0" w:line="1" w:lineRule="exact"/>
        <w:rPr>
          <w:sz w:val="20"/>
          <w:szCs w:val="20"/>
          <w:color w:val="auto"/>
        </w:rPr>
      </w:pPr>
    </w:p>
    <w:p>
      <w:pPr>
        <w:ind w:left="1300" w:hanging="116"/>
        <w:spacing w:after="0" w:line="282" w:lineRule="auto"/>
        <w:rPr>
          <w:sz w:val="20"/>
          <w:szCs w:val="20"/>
          <w:color w:val="auto"/>
        </w:rPr>
      </w:pPr>
      <w:r>
        <w:rPr>
          <w:rFonts w:ascii="Times New Roman" w:cs="Times New Roman" w:eastAsia="Times New Roman" w:hAnsi="Times New Roman"/>
          <w:sz w:val="18"/>
          <w:szCs w:val="18"/>
          <w:color w:val="auto"/>
        </w:rPr>
        <w:t>the initial price at which such shares may be purchased upon exercise of stock warrants and any provision with respect to the adjustment thereof;</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denominations of such stock warrants;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date on which the right to exercise such stock warrants shall commence and the date on which such right shall expire;</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 discussion of the material U.S. federal income tax considerations applicable to the ownership or exercise of stock warrants;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redemption provisions of such stock warrants, if any;</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anti-dilution provisions of the stock warrants, if any;</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other information relating to any capital stock purchasable upon exercise of such stock warrants; and</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any other terms of the stock warrants.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stock warrant certificates will be exchangeable for new stock warrant certificates of different denominations and stock warrants may be exercised at the corporate trust office of the warrant agent or any other office indicated in the applicable prospectus supplement. Prior to the exercise of their stock warrants, holders of stock warrants will not have any of the rights of holders of shares of capital stock purchasable upon such exercise and will not be entitled to any dividend or other distribution payments on such capital stock purchasable upon such exercise.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Stock Warrants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stock warrant will entitle the holder to purchase for cash such number of shares of preferred stock or common stock, as the case may be, at such exercise price as shall in each case be set forth in, or be determinable as set forth in, the applicable prospectus supplement relating to the stock warrants offered thereby. Unless otherwise specified in the applicable prospectus supplement, stock warrants may be exercised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 to 5:00 p.m., New York City time, on the expiration date set forth in the applicable prospectus supplement. After 5:00 p.m., New York City time, on the expiration date, unexercised stock warrants will become void.</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 warrants may be exercised as set forth in the applicable prospectus supplement relating thereto. Upon receipt of payment and the stock warrant certificates properly completed and duly executed at the corporate trust office of the warrant agent or any other office indicated in the applicable prospectus supplement, we will, as soon as practicable, forward a certificate representing the number of shares of capital stock purchasable upon such exercise. If less than all of the stock warrants represented by such stock warrant certificate are exercised, a new stock warrant certificate will be issued for the remaining amount of stock warrants.</w:t>
      </w:r>
    </w:p>
    <w:p>
      <w:pPr>
        <w:spacing w:after="0" w:line="200" w:lineRule="exact"/>
        <w:rPr>
          <w:sz w:val="20"/>
          <w:szCs w:val="20"/>
          <w:color w:val="auto"/>
        </w:rPr>
      </w:pPr>
    </w:p>
    <w:p>
      <w:pPr>
        <w:spacing w:after="0" w:line="22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STOCK PURCHASE CONTRACTS AND STOCK PURCHASE UNITS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description, all references to “we,” “us,” “our” or the “Company” refer only to Commvault and not to any of its subsidiaries.</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stock purchase contracts, representing contracts obligating holders to purchase from us, and requiring us to sell to the holders, a specified number of shares of common stock at a future date or dates. The price per share of common stock may be fixed at the time the stock purchase contracts are issued or may be determined by reference to a specific formula set forth in the stock purchase contracts. The stock purchase contracts may be issued separately or as a part of units, or stock purchase units, consisting of a stock purchase contract and either (x) our debt securities or (y) debt obligations of third parties, including U.S. Treasury securities, in each case, securing the holder’s obligations to purchase the common stock under the stock purchase contracts. The stock purchase contracts may require us to make periodic payments to the holders of the stock purchase contracts or vice versa, and such payments may be unsecured or prefunded on some basis. The stock purchase contracts may require holders to secure their obligations thereunder in a specified manner and in certain circumstances we may deliver newly issued prepaid stock purchase contracts, or prepaid securities, upon release to a holder of any collateral securing such holder’s obligations under the original stock purchase contract.</w:t>
      </w:r>
    </w:p>
    <w:p>
      <w:pPr>
        <w:spacing w:after="0" w:line="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stock purchase contracts or stock purchase units and, if applicable, prepaid securities. The description in the prospectus supplement will not purport to be complete and will be qualified in its entirety by reference to the stock purchase contracts, the collateral arrangements and depositary arrangements, if applicable, relating to such stock purchase contracts or stock purchase units and, if applicable, the prepaid securities and the document pursuant to which such prepaid securities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8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Commvault may sell the securities being offered hereby in one or more of the following ways from time to time:</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 or through underwriters;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 or through dealers;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through agents;</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directly or through its subsidiaries to purchasers; or</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through a combination of the foregoing methods.</w:t>
      </w:r>
    </w:p>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Commvault may distribute the offered securities from time to time in one or more transactions at (1) a fixed price or prices, which may be changed, (2) market prices prevailing at the time of sale, (3) prices related to such market prices or (4) negotiated prices.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Commvault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If so, the third parties may use securities borrowed from Commvault or others to settle such sales and may use securities received from Commvault to close out any related short positions. Commvault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underwriters are used in the offering of the offered securities, the names of the managing underwriter or underwriters and any other underwriters and certain terms of the offering, including compensation of the underwriters and dealers, if any, will be set forth in the applicable prospectus supplement. Only underwriters named in the applicable prospectus supplement will be deemed to be underwriters in connection with the offered securities described in that prospectus supplement. Firms not so named will have no direct or indirect participation in the underwriting of such securities, although such a firm may participate in the distribution of those securities under circumstances entitling that firm to a dealer’s commission. It is anticipated that any underwriting agreement pertaining to any offered securities will entitle the underwriters to indemnification by us against certain civil liabilities, including liabilities under the Securities Act, or to contribution for payments which the underwriters may be required to make in respect thereof and provide that the obligations of the underwriters will be subject to certain conditions precedent.</w:t>
      </w:r>
    </w:p>
    <w:p>
      <w:pPr>
        <w:spacing w:after="0" w:line="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Commvault also may sell the offered securities to a dealer as principal. If Commvault sells the offered securities to a dealer as a principal, then the dealer may resell those securities to the public at varying prices to be determined by such dealer at the time of resale. The name of the dealer and the terms of the transactions will be set forth in the applicable prospectus supplement.</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offered securities also may be offered through agents that Commvault may designate from time to time. The applicable prospectus supplement will contain the name of any such agent and the terms of its agency. Unless otherwise indicated in the prospectus supplement, any such agent will act on a best efforts basis for the period of its appointment.</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Dealers and agents named in a prospectus supplement may be deemed to be underwriters (within the meaning of the Securities Act) of the securities described in the prospectus supplement and, under agreements which may be entered into with Commvault, may be entitled to indemnification by Commvault against certain civil liabilities, including liabilities under the Securities Act, or to contribution for payments which they may be required to make in respect of those liabilities.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Underwriters, dealers and agents may engage in transactions with us or perform services for us in the ordinary course of business.</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Offers to purchase the offered securities may be solicited directly by Commvault or through its subsidiaries and sales thereof may be made by Commvault directly to institutional investors or others. The terms of any such sales will be described in the applicable prospectus supplement.</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plan of distribution, including any underwriters, dealers, agents or direct purchasers and their compensation, for any securities offered hereunder will be identified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legality of the securities will be passed upon for us by Kirkland &amp; Ellis LLP, New York, New York, and for any underwriters, dealers or agents by counsel as may be specified in the applicable prospectus supplement.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Commvault Systems, Inc. appearing in Commvault Systems, Inc.’s Annual Report (Form 10-K) for the year ended March 31, 2026, and the effectiveness of Commvault Systems, Inc.’s internal control over financial reporting as of March 31, 2026,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file annual, quarterly and periodic reports, proxy statements and other information with the SEC. The SEC allows us to “incorporate by reference” into this prospectus information which we file with it. This means that we can disclose important information to you by referring you to the documents containing that information and that such information will be regarded as an important part of this prospectus. We encourage you to read the SEC filings incorporated by reference into this prospectus before investing in any of our securities. Our SEC filings are available to the public on the SEC’s website (www.sec.gov). We make available free of charge most of our SEC filings through our website (www.commvault.com) as soon as reasonably practical after they are filed with the SEC. We have included our website address in this prospectus solely as an inactive textual reference and the information contained in, or that can be accessed through, our website is not a part of, or incorporated by reference in, this prospectus.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following documents that Commvault previously filed with the SEC (other than information in such documents that is deemed furnished and not filed):</w:t>
      </w:r>
    </w:p>
    <w:p>
      <w:pPr>
        <w:spacing w:after="0" w:line="67" w:lineRule="exact"/>
        <w:rPr>
          <w:sz w:val="20"/>
          <w:szCs w:val="20"/>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March 31, 2026, filed with the SEC on </w:t>
      </w:r>
      <w:hyperlink r:id="rId10">
        <w:r>
          <w:rPr>
            <w:rFonts w:ascii="Times New Roman" w:cs="Times New Roman" w:eastAsia="Times New Roman" w:hAnsi="Times New Roman"/>
            <w:sz w:val="18"/>
            <w:szCs w:val="18"/>
            <w:u w:val="single" w:color="auto"/>
            <w:color w:val="0000FF"/>
          </w:rPr>
          <w:t>May 11, 2026</w:t>
        </w:r>
      </w:hyperlink>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60" w:hanging="10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 ended June 30, 2026, filed with the SEC on </w:t>
      </w:r>
      <w:hyperlink r:id="rId11">
        <w:r>
          <w:rPr>
            <w:rFonts w:ascii="Times New Roman" w:cs="Times New Roman" w:eastAsia="Times New Roman" w:hAnsi="Times New Roman"/>
            <w:sz w:val="18"/>
            <w:szCs w:val="18"/>
            <w:u w:val="single" w:color="auto"/>
            <w:color w:val="0000FF"/>
          </w:rPr>
          <w:t>July 29, 2026</w:t>
        </w:r>
      </w:hyperlink>
      <w:r>
        <w:rPr>
          <w:rFonts w:ascii="Times New Roman" w:cs="Times New Roman" w:eastAsia="Times New Roman" w:hAnsi="Times New Roman"/>
          <w:sz w:val="18"/>
          <w:szCs w:val="18"/>
          <w:color w:val="auto"/>
        </w:rPr>
        <w:t xml:space="preserve">, and the quarter ended September 30, 2026, filed with the SEC on </w:t>
      </w:r>
      <w:hyperlink r:id="rId12">
        <w:r>
          <w:rPr>
            <w:rFonts w:ascii="Times New Roman" w:cs="Times New Roman" w:eastAsia="Times New Roman" w:hAnsi="Times New Roman"/>
            <w:sz w:val="18"/>
            <w:szCs w:val="18"/>
            <w:u w:val="single" w:color="auto"/>
            <w:color w:val="0000FF"/>
          </w:rPr>
          <w:t>October 28, 2026</w:t>
        </w:r>
      </w:hyperlink>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13">
        <w:r>
          <w:rPr>
            <w:rFonts w:ascii="Times New Roman" w:cs="Times New Roman" w:eastAsia="Times New Roman" w:hAnsi="Times New Roman"/>
            <w:sz w:val="18"/>
            <w:szCs w:val="18"/>
            <w:u w:val="single" w:color="auto"/>
            <w:color w:val="0000FF"/>
          </w:rPr>
          <w:t xml:space="preserve">April 13, 2026, </w:t>
        </w:r>
      </w:hyperlink>
      <w:hyperlink r:id="rId14">
        <w:r>
          <w:rPr>
            <w:rFonts w:ascii="Times New Roman" w:cs="Times New Roman" w:eastAsia="Times New Roman" w:hAnsi="Times New Roman"/>
            <w:sz w:val="18"/>
            <w:szCs w:val="18"/>
            <w:u w:val="single" w:color="auto"/>
            <w:color w:val="auto"/>
          </w:rPr>
          <w:t xml:space="preserve">August </w:t>
        </w:r>
        <w:r>
          <w:rPr>
            <w:rFonts w:ascii="Times New Roman" w:cs="Times New Roman" w:eastAsia="Times New Roman" w:hAnsi="Times New Roman"/>
            <w:sz w:val="18"/>
            <w:szCs w:val="18"/>
            <w:u w:val="single" w:color="auto"/>
            <w:color w:val="0000FF"/>
          </w:rPr>
          <w:t>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5">
        <w:r>
          <w:rPr>
            <w:rFonts w:ascii="Times New Roman" w:cs="Times New Roman" w:eastAsia="Times New Roman" w:hAnsi="Times New Roman"/>
            <w:sz w:val="18"/>
            <w:szCs w:val="18"/>
            <w:u w:val="single" w:color="auto"/>
            <w:color w:val="0000FF"/>
          </w:rPr>
          <w:t>September 24, 2026</w:t>
        </w:r>
      </w:hyperlink>
      <w:r>
        <w:rPr>
          <w:rFonts w:ascii="Times New Roman" w:cs="Times New Roman" w:eastAsia="Times New Roman" w:hAnsi="Times New Roman"/>
          <w:sz w:val="18"/>
          <w:szCs w:val="18"/>
          <w:color w:val="auto"/>
        </w:rPr>
        <w:t>;</w:t>
      </w:r>
    </w:p>
    <w:p>
      <w:pPr>
        <w:spacing w:after="0" w:line="131" w:lineRule="exact"/>
        <w:rPr>
          <w:rFonts w:ascii="Times New Roman" w:cs="Times New Roman" w:eastAsia="Times New Roman" w:hAnsi="Times New Roman"/>
          <w:sz w:val="18"/>
          <w:szCs w:val="18"/>
          <w:color w:val="auto"/>
        </w:rPr>
      </w:pPr>
    </w:p>
    <w:p>
      <w:pPr>
        <w:ind w:left="660" w:hanging="7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Form 10-K for the fiscal year ended March 31, 2026 from the definitive proxy statement, filed with the SEC on </w:t>
      </w:r>
      <w:hyperlink r:id="rId16">
        <w:r>
          <w:rPr>
            <w:rFonts w:ascii="Times New Roman" w:cs="Times New Roman" w:eastAsia="Times New Roman" w:hAnsi="Times New Roman"/>
            <w:sz w:val="18"/>
            <w:szCs w:val="18"/>
            <w:u w:val="single" w:color="auto"/>
            <w:color w:val="0000FF"/>
          </w:rPr>
          <w:t>June 24, 2026</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660" w:hanging="13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Commvault’s common stock as contained in </w:t>
      </w:r>
      <w:hyperlink r:id="rId17">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fiscal year ended March 31, 2023, filed with the SEC on May 5, 2023, including all amendments and reports filed for the purpose of updating such description.</w:t>
      </w:r>
    </w:p>
    <w:p>
      <w:pPr>
        <w:spacing w:after="0" w:line="54" w:lineRule="exact"/>
        <w:rPr>
          <w:rFonts w:ascii="Times New Roman" w:cs="Times New Roman" w:eastAsia="Times New Roman" w:hAnsi="Times New Roman"/>
          <w:sz w:val="18"/>
          <w:szCs w:val="18"/>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we make with the SEC under Sections 13(a), 13(c), 14 or 15(d) of the Exchange Act on or after the date of this prospectus and, in the case of any particular offering of securities, until such offering of securities is terminated (other than any such filings or portions thereof, including any corresponding exhibits, that are not deemed filed with the SEC, including any information furnished under Item 2.02 or Item 7.01 of a Current Report on Form 8-K, unless otherwise indicated therein). Our future filings with the SEC will automatically update and supersede any inconsistent information in this prospectus and in our other SEC filings, and such outdated or inconsistent information will no longer be regarded as part of this prospectus.</w:t>
      </w:r>
    </w:p>
    <w:p>
      <w:pPr>
        <w:spacing w:after="0" w:line="7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also obtain a free copy of these filings by telephoning or writing to us at the following address and telephone number:</w:t>
      </w:r>
    </w:p>
    <w:p>
      <w:pPr>
        <w:spacing w:after="0" w:line="11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Commvault Systems,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 Commvault Way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Tinton Falls, New Jersey 07724</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(732) 870-4000</w:t>
      </w:r>
    </w:p>
    <w:p>
      <w:pPr>
        <w:spacing w:after="0" w:line="99"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making an offer to sell, or the solicitation of an offer to buy, any of these securities in any jurisdiction where an offer or sale is not permitted. You should not assume that the information contained in this prospectus or the applicable prospectus supplement is accurate as of any date other than the date on the front cover of this prospectus or the applicable prospectus supplement, as the case may be, or that the information incorporated by reference herein and therein is accurate as of any date other than the date of the relevant report or other document in which such information is contained.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estimated expenses relating to the issuance and distribution of the securities being registered, other than underwriting discounts and commissions, to be paid by the registrant.</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18"/>
                <w:szCs w:val="18"/>
                <w:color w:val="auto"/>
              </w:rPr>
            </w:pPr>
          </w:p>
        </w:tc>
      </w:tr>
      <w:tr>
        <w:trPr>
          <w:trHeight w:val="238"/>
        </w:trPr>
        <w:tc>
          <w:tcPr>
            <w:tcW w:w="9260" w:type="dxa"/>
            <w:vAlign w:val="bottom"/>
          </w:tcPr>
          <w:p>
            <w:pPr>
              <w:spacing w:after="0"/>
              <w:rPr>
                <w:sz w:val="20"/>
                <w:szCs w:val="20"/>
                <w:color w:val="auto"/>
              </w:rPr>
            </w:pP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To Be Paid</w:t>
            </w:r>
          </w:p>
        </w:tc>
        <w:tc>
          <w:tcPr>
            <w:tcW w:w="260" w:type="dxa"/>
            <w:vAlign w:val="bottom"/>
          </w:tcPr>
          <w:p>
            <w:pPr>
              <w:spacing w:after="0"/>
              <w:rPr>
                <w:sz w:val="20"/>
                <w:szCs w:val="20"/>
                <w:color w:val="auto"/>
              </w:rPr>
            </w:pPr>
          </w:p>
        </w:tc>
      </w:tr>
      <w:tr>
        <w:trPr>
          <w:trHeight w:val="27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Trustee and transfer agent fees</w:t>
            </w:r>
          </w:p>
        </w:tc>
        <w:tc>
          <w:tcPr>
            <w:tcW w:w="16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and listing fees</w:t>
            </w:r>
          </w:p>
        </w:tc>
        <w:tc>
          <w:tcPr>
            <w:tcW w:w="16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fees and expenses</w:t>
            </w:r>
          </w:p>
        </w:tc>
        <w:tc>
          <w:tcPr>
            <w:tcW w:w="16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70"/>
        </w:trPr>
        <w:tc>
          <w:tcPr>
            <w:tcW w:w="9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14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80" w:lineRule="exact"/>
        <w:rPr>
          <w:sz w:val="20"/>
          <w:szCs w:val="20"/>
          <w:color w:val="auto"/>
        </w:rPr>
      </w:pPr>
    </w:p>
    <w:p>
      <w:pPr>
        <w:ind w:left="340" w:right="20" w:hanging="332"/>
        <w:spacing w:after="0" w:line="282" w:lineRule="auto"/>
        <w:tabs>
          <w:tab w:leader="none" w:pos="3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deferred pursuant to Rule 456(b) under the Securities Act and calculated in connection with an offering of securities under this registration statement pursuant to Rule 457(r) under the Securities Act.</w:t>
      </w:r>
    </w:p>
    <w:p>
      <w:pPr>
        <w:spacing w:after="0" w:line="54" w:lineRule="exact"/>
        <w:rPr>
          <w:sz w:val="20"/>
          <w:szCs w:val="20"/>
          <w:color w:val="auto"/>
        </w:rPr>
      </w:pPr>
    </w:p>
    <w:p>
      <w:pPr>
        <w:jc w:val="both"/>
        <w:ind w:left="340" w:hanging="332"/>
        <w:spacing w:after="0" w:line="266" w:lineRule="auto"/>
        <w:tabs>
          <w:tab w:leader="none" w:pos="4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102(b)(7) of the Delaware General Corporation Law, as amended (the “DGCL”), permits a corporation to eliminate or limit the personal liability of directors or officers of a corporation to the corporation or its stockholders for monetary damages for a breach of fiduciary duty as a director or officer, except for liability of (a) a director or officer for any breach of the director’s or officer’s duty of loyalty to the corporation or its stockholders, (b) a director or officer for acts or omissions not in good faith or which involve intentional misconduct or a knowing violation of law, (c) a director for unlawful payments of dividends or unlawful stock repurchases or redemptions as provided in Section 174 of the DGCL, (d) a director or officer for any transaction from which the director or officer derived an improper personal benefit, or (e) an officer in any action by or in the right of the corporation.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agent or employee of the corporation or is or was serving at the corporation’s request as a director, officer, agent or employee of another corporation, partnership, joint venture, trust or other enterprise, against expenses (including attorneys’ fees), judgments, fines and amounts paid in settlement actually and reasonably incurred by the person in connection with such action, suit or proceeding. The power to indemnify applies (a) if such person is successful on the merits or otherwise in defense of any action, suit or proceeding or (b) if such person acted in good faith and in a manner such person reasonably believed to be in the best interests, or not opposed to the best interests, of the corporation, and with respect to any criminal action or proceeding, had no reasonable cause to believe such person’s conduct was unlawful. The power to indemnify applies to actions brought by or in the right of the corporation as well, but only to the extent of expenses (including attorneys’ fees but excluding amounts paid in settlement) actually and reasonably incurred in the defense or settlement of such action and not to any satisfaction of judgment or settlement of the claim itself, and with the further limitation that in such actions no indemnification shall be made in the event of any adjudication of negligence or misconduct in the performance of duties to the corporation, unless the court believes that in light of all the circumstances indemnification should apply.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shall be held liable for such actions. A director who was either absent when the unlawful actions were approved or dissented at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type w:val="continuous"/>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time, may avoid liability by causing his or her dissent to such actions to be entered on the books containing the minutes of the meetings of the Board of directors at the time such actions occurred or immediately after such absent director receives notice of the unlawful acts.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certificate of incorporation (the “Certificate”) exculpates the Company’s directors and officers from personal liability as permitted by DGCL Section 102(b)(7), described above. The Certificate and bylaws provide for indemnification of its directors and officers to the fullest extent permitted by the DGCL and require the Company to advance litigation expenses upon its receipt of an undertaking by or on behalf of a director or officer to repay such advances if it is ultimately determined that such director or officer is not entitled to indemnification. The indemnification provisions contained in the Company’s bylaws are not exclusive of any other rights to which a person may be entitled by law, agreement, vote of stockholders or disinterested directors or otherwise. The Company has obtained directors’ and officers’ liability insurance.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has entered into agreements to indemnify its directors and certain of its officers in addition to the indemnification provided for in the Certificate and bylaws. These agreements, among other things, indemnify the Company’s directors and some of its officers for certain expenses (including attorneys’ fees), judgments, fines and settlement amounts incurred by such person in any action or proceeding, including any action by or in the Company’s right, on account of services by that person as a director or officer of the Company or as a director or officer of any of the Company’s subsidiaries, or as a director or officer of any other company or enterprise that the person provides services to at the Company’s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66" w:lineRule="exact"/>
        <w:rPr>
          <w:sz w:val="20"/>
          <w:szCs w:val="20"/>
          <w:color w:val="auto"/>
        </w:rPr>
      </w:pPr>
    </w:p>
    <w:p>
      <w:pPr>
        <w:ind w:left="14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Form of Underwriting Agreement.</w:t>
      </w:r>
    </w:p>
    <w:p>
      <w:pPr>
        <w:spacing w:after="0" w:line="27" w:lineRule="exact"/>
        <w:rPr>
          <w:sz w:val="20"/>
          <w:szCs w:val="20"/>
          <w:color w:val="auto"/>
        </w:rPr>
      </w:pPr>
    </w:p>
    <w:p>
      <w:pPr>
        <w:ind w:left="1200" w:right="80" w:hanging="746"/>
        <w:spacing w:after="0" w:line="234" w:lineRule="auto"/>
        <w:tabs>
          <w:tab w:leader="none" w:pos="1180" w:val="left"/>
        </w:tabs>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Amended and Restated Certificate of Incorporation of Commvault Systems, Inc., as amended (incorporated by reference to Exhibit 3.1 to Commvault Systems, Inc.’s Quarterly Report on Form 10-Q for the quarter ended September 30, 2019).</w:t>
      </w:r>
    </w:p>
    <w:p>
      <w:pPr>
        <w:spacing w:after="0" w:line="118" w:lineRule="exact"/>
        <w:rPr>
          <w:sz w:val="20"/>
          <w:szCs w:val="20"/>
          <w:color w:val="auto"/>
        </w:rPr>
      </w:pPr>
    </w:p>
    <w:p>
      <w:pPr>
        <w:ind w:left="1200" w:right="100" w:hanging="746"/>
        <w:spacing w:after="0" w:line="237" w:lineRule="auto"/>
        <w:tabs>
          <w:tab w:leader="none" w:pos="1180" w:val="left"/>
        </w:tabs>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Certificate of Amendment of Amended and Restated Certificate of Incorporation of Commvault Systems, Inc. (incorporated by reference to Exhibit 3.1 to Commvault Systems, Inc.’s Current Report on Form 8-K dated August 28, 2020).</w:t>
      </w:r>
    </w:p>
    <w:p>
      <w:pPr>
        <w:spacing w:after="0" w:line="118" w:lineRule="exact"/>
        <w:rPr>
          <w:sz w:val="20"/>
          <w:szCs w:val="20"/>
          <w:color w:val="auto"/>
        </w:rPr>
      </w:pPr>
    </w:p>
    <w:p>
      <w:pPr>
        <w:ind w:left="1200" w:right="100" w:hanging="746"/>
        <w:spacing w:after="0" w:line="237" w:lineRule="auto"/>
        <w:tabs>
          <w:tab w:leader="none" w:pos="1180" w:val="left"/>
        </w:tabs>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u w:val="single" w:color="auto"/>
            <w:color w:val="0000FF"/>
          </w:rPr>
          <w:t>3.3</w:t>
        </w:r>
      </w:hyperlink>
      <w:r>
        <w:rPr>
          <w:rFonts w:ascii="Times New Roman" w:cs="Times New Roman" w:eastAsia="Times New Roman" w:hAnsi="Times New Roman"/>
          <w:sz w:val="18"/>
          <w:szCs w:val="18"/>
          <w:color w:val="0000FF"/>
        </w:rPr>
        <w:tab/>
        <w:t>Certificate of Amendment of Amended and Restated Certificate of Incorporation of Commvault Systems, Inc. (incorporated by reference to Exhibit 3.1 to Commvault Systems, Inc.’s Quarterly Report on Form 10-Q for the quarter ended September 30, 2023).</w:t>
      </w:r>
    </w:p>
    <w:p>
      <w:pPr>
        <w:spacing w:after="0" w:line="10" w:lineRule="exact"/>
        <w:rPr>
          <w:sz w:val="20"/>
          <w:szCs w:val="20"/>
          <w:color w:val="auto"/>
        </w:rPr>
      </w:pPr>
    </w:p>
    <w:p>
      <w:pPr>
        <w:ind w:left="1200" w:right="380" w:hanging="746"/>
        <w:spacing w:after="0" w:line="237" w:lineRule="auto"/>
        <w:tabs>
          <w:tab w:leader="none" w:pos="1180" w:val="left"/>
        </w:tabs>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u w:val="single" w:color="auto"/>
            <w:color w:val="0000FF"/>
          </w:rPr>
          <w:t>3.4</w:t>
        </w:r>
      </w:hyperlink>
      <w:r>
        <w:rPr>
          <w:rFonts w:ascii="Times New Roman" w:cs="Times New Roman" w:eastAsia="Times New Roman" w:hAnsi="Times New Roman"/>
          <w:sz w:val="18"/>
          <w:szCs w:val="18"/>
          <w:color w:val="0000FF"/>
        </w:rPr>
        <w:tab/>
        <w:t>Fifth Amended and Restated Bylaws of Commvault Systems, Inc., effective May 7, 2026 (incorporated by reference to Exhibit 3.4 to Commvault Systems, Inc.’s Annual Report on Form 10-K for the fiscal year ended March 31, 2026).</w:t>
      </w:r>
    </w:p>
    <w:p>
      <w:pPr>
        <w:spacing w:after="0" w:line="10" w:lineRule="exact"/>
        <w:rPr>
          <w:sz w:val="20"/>
          <w:szCs w:val="20"/>
          <w:color w:val="auto"/>
        </w:rPr>
      </w:pPr>
    </w:p>
    <w:p>
      <w:pPr>
        <w:ind w:left="1200" w:right="380" w:hanging="746"/>
        <w:spacing w:after="0" w:line="237" w:lineRule="auto"/>
        <w:tabs>
          <w:tab w:leader="none" w:pos="1180" w:val="left"/>
        </w:tabs>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u w:val="single" w:color="auto"/>
            <w:color w:val="0000FF"/>
          </w:rPr>
          <w:t>3.5</w:t>
        </w:r>
      </w:hyperlink>
      <w:r>
        <w:rPr>
          <w:rFonts w:ascii="Times New Roman" w:cs="Times New Roman" w:eastAsia="Times New Roman" w:hAnsi="Times New Roman"/>
          <w:sz w:val="18"/>
          <w:szCs w:val="18"/>
          <w:color w:val="0000FF"/>
        </w:rPr>
        <w:tab/>
        <w:t>Certificate of Designation of Series A Junior Participating Preferred Stock of Commvault Systems, Inc. (incorporated by reference to Exhibit 3.1 to Commvault Systems, Inc.’s Current Report on Form 8-K dated November 14, 2008).</w:t>
      </w:r>
    </w:p>
    <w:p>
      <w:pPr>
        <w:spacing w:after="0" w:line="10" w:lineRule="exact"/>
        <w:rPr>
          <w:sz w:val="20"/>
          <w:szCs w:val="20"/>
          <w:color w:val="auto"/>
        </w:rPr>
      </w:pPr>
    </w:p>
    <w:p>
      <w:pPr>
        <w:ind w:left="1200" w:right="300" w:hanging="746"/>
        <w:spacing w:after="0" w:line="237" w:lineRule="auto"/>
        <w:tabs>
          <w:tab w:leader="none" w:pos="1180" w:val="left"/>
        </w:tabs>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t>Form of Common Stock Certificate (incorporated by reference to Exhibit 4.1 to Commvault Systems, Inc.’s Registration Statement on Form S-1, Commission File No. 333-132550).</w:t>
      </w:r>
    </w:p>
    <w:p>
      <w:pPr>
        <w:spacing w:after="0" w:line="118" w:lineRule="exact"/>
        <w:rPr>
          <w:sz w:val="20"/>
          <w:szCs w:val="20"/>
          <w:color w:val="auto"/>
        </w:rPr>
      </w:pPr>
    </w:p>
    <w:p>
      <w:pPr>
        <w:ind w:left="1200" w:right="420" w:hanging="746"/>
        <w:spacing w:after="0" w:line="237" w:lineRule="auto"/>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4.2</w:t>
      </w:r>
      <w:r>
        <w:rPr>
          <w:sz w:val="20"/>
          <w:szCs w:val="20"/>
          <w:color w:val="auto"/>
        </w:rPr>
        <w:tab/>
      </w:r>
      <w:r>
        <w:rPr>
          <w:rFonts w:ascii="Times New Roman" w:cs="Times New Roman" w:eastAsia="Times New Roman" w:hAnsi="Times New Roman"/>
          <w:sz w:val="18"/>
          <w:szCs w:val="18"/>
          <w:color w:val="auto"/>
        </w:rPr>
        <w:t>Indenture, dated as of October 28, 2026, between Commvault Systems, Inc. and U.S. Bank Trust Company, National Association, as trustee.</w:t>
      </w:r>
    </w:p>
    <w:p>
      <w:pPr>
        <w:spacing w:after="0" w:line="10"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Form of debt security of Commvault Systems, Inc.</w:t>
      </w:r>
    </w:p>
    <w:p>
      <w:pPr>
        <w:spacing w:after="0" w:line="27"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Certificate of designation, preferences and rights with respect to Commvault Systems, Inc.’s preferred stock.</w:t>
      </w:r>
    </w:p>
    <w:p>
      <w:pPr>
        <w:spacing w:after="0" w:line="23"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Specimen preferred stock certificate of Commvault Systems, Inc.</w:t>
      </w:r>
    </w:p>
    <w:p>
      <w:pPr>
        <w:spacing w:after="0" w:line="23"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Form of Deposit Agreement (including form of Deposit Receipt).</w:t>
      </w:r>
    </w:p>
    <w:p>
      <w:pPr>
        <w:spacing w:after="0" w:line="23"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Form of Warrant Agreement (Stock) (including form of Warrant Certificate).</w:t>
      </w:r>
    </w:p>
    <w:p>
      <w:pPr>
        <w:spacing w:after="0" w:line="23"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Form of Warrant Agreement (Debt) (including form of Warrant Certificate).</w:t>
      </w:r>
    </w:p>
    <w:p>
      <w:pPr>
        <w:spacing w:after="0" w:line="23"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Form of Stock Purchase Contract.</w:t>
      </w:r>
    </w:p>
    <w:p>
      <w:pPr>
        <w:spacing w:after="0" w:line="23"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Form of Unit Agreement.</w:t>
      </w:r>
    </w:p>
    <w:p>
      <w:pPr>
        <w:spacing w:after="0" w:line="23" w:lineRule="exact"/>
        <w:rPr>
          <w:sz w:val="20"/>
          <w:szCs w:val="20"/>
          <w:color w:val="auto"/>
        </w:rPr>
      </w:pPr>
    </w:p>
    <w:p>
      <w:pPr>
        <w:ind w:left="46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5.1</w:t>
      </w:r>
      <w:r>
        <w:rPr>
          <w:sz w:val="20"/>
          <w:szCs w:val="20"/>
          <w:color w:val="auto"/>
        </w:rPr>
        <w:tab/>
      </w:r>
      <w:r>
        <w:rPr>
          <w:rFonts w:ascii="Times New Roman" w:cs="Times New Roman" w:eastAsia="Times New Roman" w:hAnsi="Times New Roman"/>
          <w:sz w:val="17"/>
          <w:szCs w:val="17"/>
          <w:color w:val="auto"/>
        </w:rPr>
        <w:t>Opinion of Kirkland &amp; Ellis LLP.</w:t>
      </w:r>
    </w:p>
    <w:p>
      <w:pPr>
        <w:spacing w:after="0" w:line="23"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7"/>
          <w:szCs w:val="17"/>
          <w:color w:val="auto"/>
        </w:rPr>
        <w:t>Consent of Ernst &amp; Young LLP.</w:t>
      </w:r>
    </w:p>
    <w:p>
      <w:pPr>
        <w:spacing w:after="0" w:line="23"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Consent of Kirkland &amp; Ellis LLP (included in Exhibit 5.1).</w:t>
      </w:r>
    </w:p>
    <w:p>
      <w:pPr>
        <w:spacing w:after="0" w:line="166"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Powers of attorney of Commvault Systems, Inc. (included as part of the signature pages hereto).</w:t>
      </w:r>
    </w:p>
    <w:p>
      <w:pPr>
        <w:spacing w:after="0" w:line="11"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25.1</w:t>
      </w:r>
      <w:r>
        <w:rPr>
          <w:sz w:val="20"/>
          <w:szCs w:val="20"/>
          <w:color w:val="auto"/>
        </w:rPr>
        <w:tab/>
      </w:r>
      <w:r>
        <w:rPr>
          <w:rFonts w:ascii="Times New Roman" w:cs="Times New Roman" w:eastAsia="Times New Roman" w:hAnsi="Times New Roman"/>
          <w:sz w:val="17"/>
          <w:szCs w:val="17"/>
          <w:color w:val="auto"/>
        </w:rPr>
        <w:t>Statement of Eligibility on Form T-1 under the Trust Indenture Act of 1939, as amended, of the trustee under the indenture filed as Exhibit</w:t>
      </w:r>
    </w:p>
    <w:p>
      <w:pPr>
        <w:ind w:left="1200"/>
        <w:spacing w:after="0"/>
        <w:rPr>
          <w:sz w:val="20"/>
          <w:szCs w:val="20"/>
          <w:color w:val="auto"/>
        </w:rPr>
      </w:pPr>
      <w:r>
        <w:rPr>
          <w:rFonts w:ascii="Times New Roman" w:cs="Times New Roman" w:eastAsia="Times New Roman" w:hAnsi="Times New Roman"/>
          <w:sz w:val="18"/>
          <w:szCs w:val="18"/>
          <w:color w:val="auto"/>
        </w:rPr>
        <w:t>4.2 above.</w:t>
      </w:r>
    </w:p>
    <w:p>
      <w:pPr>
        <w:spacing w:after="0" w:line="16" w:lineRule="exact"/>
        <w:rPr>
          <w:sz w:val="20"/>
          <w:szCs w:val="20"/>
          <w:color w:val="auto"/>
        </w:rPr>
      </w:pPr>
    </w:p>
    <w:p>
      <w:pPr>
        <w:ind w:left="1200" w:hanging="760"/>
        <w:spacing w:after="0"/>
        <w:tabs>
          <w:tab w:leader="none" w:pos="1200" w:val="left"/>
        </w:tabs>
        <w:numPr>
          <w:ilvl w:val="1"/>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Filing Fee Table.</w:t>
      </w:r>
    </w:p>
    <w:p>
      <w:pPr>
        <w:spacing w:after="0" w:line="200" w:lineRule="exact"/>
        <w:rPr>
          <w:rFonts w:ascii="Times New Roman" w:cs="Times New Roman" w:eastAsia="Times New Roman" w:hAnsi="Times New Roman"/>
          <w:sz w:val="18"/>
          <w:szCs w:val="18"/>
          <w:u w:val="single" w:color="auto"/>
          <w:color w:val="0000FF"/>
        </w:rPr>
      </w:pPr>
    </w:p>
    <w:p>
      <w:pPr>
        <w:spacing w:after="0" w:line="227" w:lineRule="exact"/>
        <w:rPr>
          <w:rFonts w:ascii="Times New Roman" w:cs="Times New Roman" w:eastAsia="Times New Roman" w:hAnsi="Times New Roman"/>
          <w:sz w:val="18"/>
          <w:szCs w:val="18"/>
          <w:u w:val="single" w:color="auto"/>
          <w:color w:val="0000FF"/>
        </w:rPr>
      </w:pPr>
    </w:p>
    <w:p>
      <w:pPr>
        <w:ind w:left="340" w:right="40" w:hanging="324"/>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To be filed, if necessary, after the effectiveness of this registration statement as an exhibit to a post-effective amendment hereto or to a report filed with the SEC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114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80"/>
          </w:cols>
          <w:pgMar w:left="320" w:top="1413" w:right="399" w:bottom="1440" w:gutter="0" w:footer="0" w:header="0"/>
        </w:sectPr>
      </w:pPr>
    </w:p>
    <w:bookmarkStart w:id="32" w:name="page33"/>
    <w:bookmarkEnd w:id="3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1960" w:hanging="656"/>
        <w:spacing w:after="0" w:line="255" w:lineRule="auto"/>
        <w:tabs>
          <w:tab w:leader="none" w:pos="172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w:t>
      </w:r>
    </w:p>
    <w:p>
      <w:pPr>
        <w:spacing w:after="0" w:line="80" w:lineRule="exact"/>
        <w:rPr>
          <w:rFonts w:ascii="Times New Roman" w:cs="Times New Roman" w:eastAsia="Times New Roman" w:hAnsi="Times New Roman"/>
          <w:sz w:val="18"/>
          <w:szCs w:val="18"/>
          <w:color w:val="auto"/>
        </w:rPr>
      </w:pPr>
    </w:p>
    <w:p>
      <w:pPr>
        <w:ind w:left="1960" w:hanging="656"/>
        <w:spacing w:after="0" w:line="282" w:lineRule="auto"/>
        <w:tabs>
          <w:tab w:leader="none" w:pos="176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ind w:left="1300" w:hanging="644"/>
        <w:spacing w:after="0" w:line="266" w:lineRule="auto"/>
        <w:tabs>
          <w:tab w:leader="none" w:pos="10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1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69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960" w:hanging="656"/>
        <w:spacing w:after="0" w:line="253" w:lineRule="auto"/>
        <w:tabs>
          <w:tab w:leader="none" w:pos="175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 part of the registration statement or made in any such document immediately prior to such effective date.</w:t>
      </w:r>
    </w:p>
    <w:p>
      <w:pPr>
        <w:spacing w:after="0" w:line="117" w:lineRule="exact"/>
        <w:rPr>
          <w:sz w:val="20"/>
          <w:szCs w:val="20"/>
          <w:color w:val="auto"/>
        </w:rPr>
      </w:pPr>
    </w:p>
    <w:p>
      <w:pPr>
        <w:ind w:left="1300" w:hanging="644"/>
        <w:spacing w:after="0" w:line="282" w:lineRule="auto"/>
        <w:tabs>
          <w:tab w:leader="none" w:pos="10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54"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2" w:lineRule="exact"/>
        <w:rPr>
          <w:sz w:val="20"/>
          <w:szCs w:val="20"/>
          <w:color w:val="auto"/>
        </w:rPr>
      </w:pPr>
    </w:p>
    <w:p>
      <w:pPr>
        <w:ind w:left="1960" w:hanging="656"/>
        <w:spacing w:after="0" w:line="282" w:lineRule="auto"/>
        <w:tabs>
          <w:tab w:leader="none" w:pos="167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960" w:hanging="656"/>
        <w:spacing w:after="0" w:line="282" w:lineRule="auto"/>
        <w:tabs>
          <w:tab w:leader="none" w:pos="172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1960" w:hanging="656"/>
        <w:spacing w:after="0" w:line="282" w:lineRule="auto"/>
        <w:tabs>
          <w:tab w:leader="none" w:pos="18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17" w:lineRule="exact"/>
        <w:rPr>
          <w:rFonts w:ascii="Times New Roman" w:cs="Times New Roman" w:eastAsia="Times New Roman" w:hAnsi="Times New Roman"/>
          <w:sz w:val="18"/>
          <w:szCs w:val="18"/>
          <w:color w:val="auto"/>
        </w:rPr>
      </w:pPr>
    </w:p>
    <w:p>
      <w:pPr>
        <w:ind w:left="660" w:hanging="652"/>
        <w:spacing w:after="0" w:line="258" w:lineRule="auto"/>
        <w:tabs>
          <w:tab w:leader="none" w:pos="4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5" w:lineRule="exact"/>
        <w:rPr>
          <w:rFonts w:ascii="Times New Roman" w:cs="Times New Roman" w:eastAsia="Times New Roman" w:hAnsi="Times New Roman"/>
          <w:sz w:val="18"/>
          <w:szCs w:val="18"/>
          <w:color w:val="auto"/>
        </w:rPr>
      </w:pPr>
    </w:p>
    <w:p>
      <w:pPr>
        <w:ind w:left="660" w:hanging="652"/>
        <w:spacing w:after="0" w:line="254" w:lineRule="auto"/>
        <w:tabs>
          <w:tab w:leader="none" w:pos="4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Tinton Falls, state of New Jersey, on October 28, 2026.</w:t>
      </w:r>
    </w:p>
    <w:p>
      <w:pPr>
        <w:spacing w:after="0" w:line="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121"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1174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9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Name:</w:t>
        <w:tab/>
        <w:t>Sanjay Mirchandani</w:t>
      </w:r>
    </w:p>
    <w:p>
      <w:pPr>
        <w:spacing w:after="0" w:line="115" w:lineRule="exact"/>
        <w:rPr>
          <w:sz w:val="20"/>
          <w:szCs w:val="20"/>
          <w:color w:val="auto"/>
        </w:rPr>
      </w:pPr>
    </w:p>
    <w:p>
      <w:pPr>
        <w:ind w:left="454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President and Chief Executive Officer</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Sanjay Mirchandani, Gary Merrill, Danielle Abrahamsen and Danielle Sheer, and each of them, as attorneys-in-fact, each with the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promulgated under the Securities Act of 1933, as amended,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such attorneys-in-fact and agents or any of them, or his or her substitute or substitutes, may lawfully do or cause to be done by virtue hereof.</w:t>
      </w:r>
    </w:p>
    <w:p>
      <w:pPr>
        <w:spacing w:after="0" w:line="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66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19685</wp:posOffset>
            </wp:positionV>
            <wp:extent cx="4620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4420" w:space="720"/>
            <w:col w:w="4480"/>
          </w:cols>
          <w:pgMar w:left="980" w:top="1440" w:right="1299" w:bottom="1440" w:gutter="0" w:footer="0" w:header="0"/>
        </w:sectPr>
      </w:pPr>
    </w:p>
    <w:p>
      <w:pPr>
        <w:spacing w:after="0" w:line="25" w:lineRule="exact"/>
        <w:rPr>
          <w:sz w:val="20"/>
          <w:szCs w:val="20"/>
          <w:color w:val="auto"/>
        </w:rPr>
      </w:pPr>
    </w:p>
    <w:p>
      <w:pPr>
        <w:jc w:val="center"/>
        <w:ind w:right="20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Sanjay Mirchandani</w:t>
      </w:r>
    </w:p>
    <w:p>
      <w:pPr>
        <w:spacing w:after="0" w:line="306" w:lineRule="exact"/>
        <w:rPr>
          <w:sz w:val="20"/>
          <w:szCs w:val="20"/>
          <w:color w:val="auto"/>
        </w:rPr>
      </w:pPr>
    </w:p>
    <w:p>
      <w:pPr>
        <w:jc w:val="center"/>
        <w:ind w:right="20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Gary Merrill</w:t>
      </w:r>
    </w:p>
    <w:p>
      <w:pPr>
        <w:spacing w:after="0" w:line="306" w:lineRule="exact"/>
        <w:rPr>
          <w:sz w:val="20"/>
          <w:szCs w:val="20"/>
          <w:color w:val="auto"/>
        </w:rPr>
      </w:pPr>
    </w:p>
    <w:p>
      <w:pPr>
        <w:jc w:val="center"/>
        <w:ind w:right="1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DANIELLE ABRAHAMSEN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Danielle Abrahamsen</w:t>
      </w:r>
    </w:p>
    <w:p>
      <w:pPr>
        <w:spacing w:after="0" w:line="158" w:lineRule="exact"/>
        <w:rPr>
          <w:sz w:val="20"/>
          <w:szCs w:val="20"/>
          <w:color w:val="auto"/>
        </w:rPr>
      </w:pPr>
    </w:p>
    <w:p>
      <w:pPr>
        <w:jc w:val="center"/>
        <w:ind w:right="20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NICOLA ADAMO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Nicola Adamo</w:t>
      </w:r>
    </w:p>
    <w:p>
      <w:pPr>
        <w:spacing w:after="0" w:line="158" w:lineRule="exact"/>
        <w:rPr>
          <w:sz w:val="20"/>
          <w:szCs w:val="20"/>
          <w:color w:val="auto"/>
        </w:rPr>
      </w:pPr>
    </w:p>
    <w:p>
      <w:pPr>
        <w:jc w:val="center"/>
        <w:ind w:right="1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MARTHA H. BEJAR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Martha H. Bejar</w:t>
      </w:r>
    </w:p>
    <w:p>
      <w:pPr>
        <w:spacing w:after="0" w:line="158" w:lineRule="exact"/>
        <w:rPr>
          <w:sz w:val="20"/>
          <w:szCs w:val="20"/>
          <w:color w:val="auto"/>
        </w:rPr>
      </w:pPr>
    </w:p>
    <w:p>
      <w:pPr>
        <w:jc w:val="center"/>
        <w:ind w:right="20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KEITH GEESLIN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Keith Geeslin</w:t>
      </w:r>
    </w:p>
    <w:p>
      <w:pPr>
        <w:spacing w:after="0" w:line="158" w:lineRule="exact"/>
        <w:rPr>
          <w:sz w:val="20"/>
          <w:szCs w:val="20"/>
          <w:color w:val="auto"/>
        </w:rPr>
      </w:pPr>
    </w:p>
    <w:p>
      <w:pPr>
        <w:jc w:val="center"/>
        <w:ind w:right="1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VIVIE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Vivie Lee</w:t>
      </w:r>
    </w:p>
    <w:p>
      <w:pPr>
        <w:spacing w:after="0" w:line="158" w:lineRule="exact"/>
        <w:rPr>
          <w:sz w:val="20"/>
          <w:szCs w:val="20"/>
          <w:color w:val="auto"/>
        </w:rPr>
      </w:pPr>
    </w:p>
    <w:p>
      <w:pPr>
        <w:jc w:val="center"/>
        <w:ind w:right="20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CHARLES 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Charles E. Moran</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DAVID MORTON,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David Morton, Jr.</w:t>
      </w:r>
    </w:p>
    <w:p>
      <w:pPr>
        <w:spacing w:after="0" w:line="158" w:lineRule="exact"/>
        <w:rPr>
          <w:sz w:val="20"/>
          <w:szCs w:val="20"/>
          <w:color w:val="auto"/>
        </w:rPr>
      </w:pPr>
    </w:p>
    <w:p>
      <w:pPr>
        <w:ind w:left="260"/>
        <w:spacing w:after="0"/>
        <w:tabs>
          <w:tab w:leader="none" w:pos="5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 SHANE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34290</wp:posOffset>
            </wp:positionV>
            <wp:extent cx="2434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8"/>
          <w:szCs w:val="18"/>
          <w:color w:val="auto"/>
        </w:rPr>
        <w:t>A.</w:t>
        <w:tab/>
        <w:t>Shane Sanders</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jc w:val="center"/>
        <w:ind w:right="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Chief Accounting Officer (Principal Accounting</w:t>
      </w:r>
    </w:p>
    <w:p>
      <w:pPr>
        <w:jc w:val="center"/>
        <w:ind w:right="46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2026</w:t>
      </w:r>
    </w:p>
    <w:p>
      <w:pPr>
        <w:spacing w:after="0" w:line="346" w:lineRule="exact"/>
        <w:rPr>
          <w:sz w:val="20"/>
          <w:szCs w:val="20"/>
          <w:color w:val="auto"/>
        </w:rPr>
      </w:pPr>
    </w:p>
    <w:p>
      <w:pPr>
        <w:sectPr>
          <w:pgSz w:w="11900" w:h="16838" w:orient="portrait"/>
          <w:cols w:equalWidth="0" w:num="3">
            <w:col w:w="2720" w:space="720"/>
            <w:col w:w="4220" w:space="720"/>
            <w:col w:w="1240"/>
          </w:cols>
          <w:pgMar w:left="980" w:top="1440"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9620"/>
          </w:cols>
          <w:pgMar w:left="980" w:top="1440" w:right="1299" w:bottom="1440" w:gutter="0" w:footer="0" w:header="0"/>
          <w:type w:val="continuous"/>
        </w:sectPr>
      </w:pPr>
    </w:p>
    <w:bookmarkStart w:id="36" w:name="page37"/>
    <w:bookmarkEnd w:id="36"/>
    <w:tbl>
      <w:tblPr>
        <w:tblLayout w:type="fixed"/>
        <w:tblInd w:w="10" w:type="dxa"/>
        <w:tblCellMar>
          <w:top w:w="0" w:type="dxa"/>
          <w:left w:w="0" w:type="dxa"/>
          <w:bottom w:w="0" w:type="dxa"/>
          <w:right w:w="0" w:type="dxa"/>
        </w:tblCellMar>
      </w:tblPr>
      <w:tr>
        <w:trPr>
          <w:trHeight w:val="212"/>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Exhibit 107</w:t>
            </w:r>
          </w:p>
        </w:tc>
        <w:tc>
          <w:tcPr>
            <w:tcW w:w="0" w:type="dxa"/>
            <w:vAlign w:val="bottom"/>
          </w:tcPr>
          <w:p>
            <w:pPr>
              <w:spacing w:after="0"/>
              <w:rPr>
                <w:sz w:val="1"/>
                <w:szCs w:val="1"/>
                <w:color w:val="auto"/>
              </w:rPr>
            </w:pPr>
          </w:p>
        </w:tc>
      </w:tr>
      <w:tr>
        <w:trPr>
          <w:trHeight w:val="843"/>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80" w:type="dxa"/>
            <w:vAlign w:val="bottom"/>
            <w:gridSpan w:val="5"/>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S-3</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80" w:type="dxa"/>
            <w:vAlign w:val="bottom"/>
            <w:gridSpan w:val="5"/>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9"/>
              </w:rPr>
              <w:t>Commvault Systems, Inc.</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40" w:type="dxa"/>
            <w:vAlign w:val="bottom"/>
            <w:tcBorders>
              <w:bottom w:val="single" w:sz="8" w:color="7F7F7F"/>
            </w:tcBorders>
            <w:gridSpan w:val="6"/>
          </w:tcPr>
          <w:p>
            <w:pPr>
              <w:spacing w:after="0"/>
              <w:rPr>
                <w:sz w:val="14"/>
                <w:szCs w:val="14"/>
                <w:color w:val="auto"/>
              </w:rPr>
            </w:pPr>
          </w:p>
        </w:tc>
        <w:tc>
          <w:tcPr>
            <w:tcW w:w="820" w:type="dxa"/>
            <w:vAlign w:val="bottom"/>
            <w:tcBorders>
              <w:bottom w:val="single" w:sz="8" w:color="7F7F7F"/>
            </w:tcBorders>
          </w:tcPr>
          <w:p>
            <w:pPr>
              <w:spacing w:after="0"/>
              <w:rPr>
                <w:sz w:val="14"/>
                <w:szCs w:val="14"/>
                <w:color w:val="auto"/>
              </w:rPr>
            </w:pPr>
          </w:p>
        </w:tc>
        <w:tc>
          <w:tcPr>
            <w:tcW w:w="860" w:type="dxa"/>
            <w:vAlign w:val="bottom"/>
            <w:tcBorders>
              <w:bottom w:val="single" w:sz="8" w:color="7F7F7F"/>
            </w:tcBorders>
          </w:tcPr>
          <w:p>
            <w:pPr>
              <w:spacing w:after="0"/>
              <w:rPr>
                <w:sz w:val="14"/>
                <w:szCs w:val="14"/>
                <w:color w:val="auto"/>
              </w:rPr>
            </w:pPr>
          </w:p>
        </w:tc>
        <w:tc>
          <w:tcPr>
            <w:tcW w:w="760" w:type="dxa"/>
            <w:vAlign w:val="bottom"/>
            <w:tcBorders>
              <w:bottom w:val="single" w:sz="8" w:color="7F7F7F"/>
            </w:tcBorders>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720" w:type="dxa"/>
            <w:vAlign w:val="bottom"/>
            <w:tcBorders>
              <w:bottom w:val="single" w:sz="8" w:color="7F7F7F"/>
            </w:tcBorders>
          </w:tcPr>
          <w:p>
            <w:pPr>
              <w:spacing w:after="0"/>
              <w:rPr>
                <w:sz w:val="14"/>
                <w:szCs w:val="14"/>
                <w:color w:val="auto"/>
              </w:rPr>
            </w:pPr>
          </w:p>
        </w:tc>
        <w:tc>
          <w:tcPr>
            <w:tcW w:w="760" w:type="dxa"/>
            <w:vAlign w:val="bottom"/>
            <w:tcBorders>
              <w:bottom w:val="single" w:sz="8" w:color="7F7F7F"/>
            </w:tcBorders>
          </w:tcPr>
          <w:p>
            <w:pPr>
              <w:spacing w:after="0"/>
              <w:rPr>
                <w:sz w:val="14"/>
                <w:szCs w:val="14"/>
                <w:color w:val="auto"/>
              </w:rPr>
            </w:pPr>
          </w:p>
        </w:tc>
        <w:tc>
          <w:tcPr>
            <w:tcW w:w="1680" w:type="dxa"/>
            <w:vAlign w:val="bottom"/>
            <w:tcBorders>
              <w:bottom w:val="single" w:sz="8" w:color="7F7F7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40" w:type="dxa"/>
            <w:vAlign w:val="bottom"/>
            <w:tcBorders>
              <w:left w:val="single" w:sz="8" w:color="7F7F7F"/>
              <w:bottom w:val="single" w:sz="8" w:color="7F7F7F"/>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Table 1: Newly Registered and Carry Forward Securities</w:t>
            </w:r>
          </w:p>
        </w:tc>
        <w:tc>
          <w:tcPr>
            <w:tcW w:w="820" w:type="dxa"/>
            <w:vAlign w:val="bottom"/>
            <w:tcBorders>
              <w:bottom w:val="single" w:sz="8" w:color="7F7F7F"/>
            </w:tcBorders>
          </w:tcPr>
          <w:p>
            <w:pPr>
              <w:spacing w:after="0"/>
              <w:rPr>
                <w:sz w:val="20"/>
                <w:szCs w:val="20"/>
                <w:color w:val="auto"/>
              </w:rPr>
            </w:pPr>
          </w:p>
        </w:tc>
        <w:tc>
          <w:tcPr>
            <w:tcW w:w="8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20" w:type="dxa"/>
            <w:vAlign w:val="bottom"/>
            <w:tcBorders>
              <w:bottom w:val="single" w:sz="8" w:color="7F7F7F"/>
            </w:tcBorders>
          </w:tcPr>
          <w:p>
            <w:pPr>
              <w:spacing w:after="0"/>
              <w:rPr>
                <w:sz w:val="20"/>
                <w:szCs w:val="20"/>
                <w:color w:val="auto"/>
              </w:rPr>
            </w:pPr>
          </w:p>
        </w:tc>
        <w:tc>
          <w:tcPr>
            <w:tcW w:w="72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right w:val="single" w:sz="8" w:color="7F7F7F"/>
            </w:tcBorders>
          </w:tcPr>
          <w:p>
            <w:pPr>
              <w:spacing w:after="0"/>
              <w:rPr>
                <w:sz w:val="20"/>
                <w:szCs w:val="20"/>
                <w:color w:val="auto"/>
              </w:rPr>
            </w:pPr>
          </w:p>
        </w:tc>
        <w:tc>
          <w:tcPr>
            <w:tcW w:w="1680" w:type="dxa"/>
            <w:vAlign w:val="bottom"/>
            <w:tcBorders>
              <w:bottom w:val="single" w:sz="8" w:color="7F7F7F"/>
              <w:right w:val="single" w:sz="8" w:color="7F7F7F"/>
            </w:tcBorders>
            <w:gridSpan w:val="2"/>
          </w:tcPr>
          <w:p>
            <w:pPr>
              <w:ind w:left="4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Not Applicable</w:t>
            </w:r>
          </w:p>
        </w:tc>
        <w:tc>
          <w:tcPr>
            <w:tcW w:w="0" w:type="dxa"/>
            <w:vAlign w:val="bottom"/>
          </w:tcPr>
          <w:p>
            <w:pPr>
              <w:spacing w:after="0"/>
              <w:rPr>
                <w:sz w:val="1"/>
                <w:szCs w:val="1"/>
                <w:color w:val="auto"/>
              </w:rPr>
            </w:pPr>
          </w:p>
        </w:tc>
      </w:tr>
      <w:tr>
        <w:trPr>
          <w:trHeight w:val="156"/>
        </w:trPr>
        <w:tc>
          <w:tcPr>
            <w:tcW w:w="920" w:type="dxa"/>
            <w:vAlign w:val="bottom"/>
            <w:tcBorders>
              <w:left w:val="single" w:sz="8" w:color="7F7F7F"/>
              <w:right w:val="single" w:sz="8" w:color="7F7F7F"/>
            </w:tcBorders>
            <w:shd w:val="clear" w:color="auto" w:fill="DAE9F7"/>
          </w:tcPr>
          <w:p>
            <w:pPr>
              <w:spacing w:after="0"/>
              <w:rPr>
                <w:sz w:val="13"/>
                <w:szCs w:val="13"/>
                <w:color w:val="auto"/>
              </w:rPr>
            </w:pPr>
          </w:p>
        </w:tc>
        <w:tc>
          <w:tcPr>
            <w:tcW w:w="400" w:type="dxa"/>
            <w:vAlign w:val="bottom"/>
            <w:tcBorders>
              <w:right w:val="single" w:sz="8" w:color="7F7F7F"/>
            </w:tcBorders>
            <w:shd w:val="clear" w:color="auto" w:fill="DAE9F7"/>
          </w:tcPr>
          <w:p>
            <w:pPr>
              <w:spacing w:after="0"/>
              <w:rPr>
                <w:sz w:val="13"/>
                <w:szCs w:val="13"/>
                <w:color w:val="auto"/>
              </w:rPr>
            </w:pPr>
          </w:p>
        </w:tc>
        <w:tc>
          <w:tcPr>
            <w:tcW w:w="640" w:type="dxa"/>
            <w:vAlign w:val="bottom"/>
            <w:tcBorders>
              <w:right w:val="single" w:sz="8" w:color="7F7F7F"/>
            </w:tcBorders>
            <w:shd w:val="clear" w:color="auto" w:fill="DAE9F7"/>
          </w:tcPr>
          <w:p>
            <w:pPr>
              <w:spacing w:after="0"/>
              <w:rPr>
                <w:sz w:val="13"/>
                <w:szCs w:val="13"/>
                <w:color w:val="auto"/>
              </w:rPr>
            </w:pPr>
          </w:p>
        </w:tc>
        <w:tc>
          <w:tcPr>
            <w:tcW w:w="1060" w:type="dxa"/>
            <w:vAlign w:val="bottom"/>
            <w:tcBorders>
              <w:right w:val="single" w:sz="8" w:color="7F7F7F"/>
            </w:tcBorders>
            <w:shd w:val="clear" w:color="auto" w:fill="DAE9F7"/>
          </w:tcPr>
          <w:p>
            <w:pPr>
              <w:spacing w:after="0"/>
              <w:rPr>
                <w:sz w:val="13"/>
                <w:szCs w:val="13"/>
                <w:color w:val="auto"/>
              </w:rPr>
            </w:pPr>
          </w:p>
        </w:tc>
        <w:tc>
          <w:tcPr>
            <w:tcW w:w="900" w:type="dxa"/>
            <w:vAlign w:val="bottom"/>
            <w:tcBorders>
              <w:right w:val="single" w:sz="8" w:color="7F7F7F"/>
            </w:tcBorders>
            <w:shd w:val="clear" w:color="auto" w:fill="DAE9F7"/>
          </w:tcPr>
          <w:p>
            <w:pPr>
              <w:spacing w:after="0"/>
              <w:rPr>
                <w:sz w:val="13"/>
                <w:szCs w:val="13"/>
                <w:color w:val="auto"/>
              </w:rPr>
            </w:pPr>
          </w:p>
        </w:tc>
        <w:tc>
          <w:tcPr>
            <w:tcW w:w="820" w:type="dxa"/>
            <w:vAlign w:val="bottom"/>
            <w:tcBorders>
              <w:right w:val="single" w:sz="8" w:color="7F7F7F"/>
            </w:tcBorders>
            <w:shd w:val="clear" w:color="auto" w:fill="DAE9F7"/>
          </w:tcPr>
          <w:p>
            <w:pPr>
              <w:spacing w:after="0"/>
              <w:rPr>
                <w:sz w:val="13"/>
                <w:szCs w:val="13"/>
                <w:color w:val="auto"/>
              </w:rPr>
            </w:pPr>
          </w:p>
        </w:tc>
        <w:tc>
          <w:tcPr>
            <w:tcW w:w="820" w:type="dxa"/>
            <w:vAlign w:val="bottom"/>
            <w:tcBorders>
              <w:right w:val="single" w:sz="8" w:color="7F7F7F"/>
            </w:tcBorders>
            <w:shd w:val="clear" w:color="auto" w:fill="DAE9F7"/>
          </w:tcPr>
          <w:p>
            <w:pPr>
              <w:spacing w:after="0"/>
              <w:rPr>
                <w:sz w:val="13"/>
                <w:szCs w:val="13"/>
                <w:color w:val="auto"/>
              </w:rPr>
            </w:pPr>
          </w:p>
        </w:tc>
        <w:tc>
          <w:tcPr>
            <w:tcW w:w="860" w:type="dxa"/>
            <w:vAlign w:val="bottom"/>
            <w:tcBorders>
              <w:right w:val="single" w:sz="8" w:color="7F7F7F"/>
            </w:tcBorders>
            <w:shd w:val="clear" w:color="auto" w:fill="DAE9F7"/>
          </w:tcPr>
          <w:p>
            <w:pPr>
              <w:spacing w:after="0"/>
              <w:rPr>
                <w:sz w:val="13"/>
                <w:szCs w:val="13"/>
                <w:color w:val="auto"/>
              </w:rPr>
            </w:pPr>
          </w:p>
        </w:tc>
        <w:tc>
          <w:tcPr>
            <w:tcW w:w="760" w:type="dxa"/>
            <w:vAlign w:val="bottom"/>
            <w:tcBorders>
              <w:right w:val="single" w:sz="8" w:color="7F7F7F"/>
            </w:tcBorders>
            <w:shd w:val="clear" w:color="auto" w:fill="DAE9F7"/>
          </w:tcPr>
          <w:p>
            <w:pPr>
              <w:spacing w:after="0"/>
              <w:rPr>
                <w:sz w:val="13"/>
                <w:szCs w:val="13"/>
                <w:color w:val="auto"/>
              </w:rPr>
            </w:pPr>
          </w:p>
        </w:tc>
        <w:tc>
          <w:tcPr>
            <w:tcW w:w="920" w:type="dxa"/>
            <w:vAlign w:val="bottom"/>
            <w:tcBorders>
              <w:right w:val="single" w:sz="8" w:color="7F7F7F"/>
            </w:tcBorders>
            <w:shd w:val="clear" w:color="auto" w:fill="DAE9F7"/>
          </w:tcPr>
          <w:p>
            <w:pPr>
              <w:spacing w:after="0"/>
              <w:rPr>
                <w:sz w:val="13"/>
                <w:szCs w:val="13"/>
                <w:color w:val="auto"/>
              </w:rPr>
            </w:pPr>
          </w:p>
        </w:tc>
        <w:tc>
          <w:tcPr>
            <w:tcW w:w="720" w:type="dxa"/>
            <w:vAlign w:val="bottom"/>
            <w:tcBorders>
              <w:right w:val="single" w:sz="8" w:color="7F7F7F"/>
            </w:tcBorders>
            <w:shd w:val="clear" w:color="auto" w:fill="DAE9F7"/>
          </w:tcPr>
          <w:p>
            <w:pPr>
              <w:spacing w:after="0"/>
              <w:rPr>
                <w:sz w:val="13"/>
                <w:szCs w:val="13"/>
                <w:color w:val="auto"/>
              </w:rPr>
            </w:pPr>
          </w:p>
        </w:tc>
        <w:tc>
          <w:tcPr>
            <w:tcW w:w="760" w:type="dxa"/>
            <w:vAlign w:val="bottom"/>
            <w:tcBorders>
              <w:right w:val="single" w:sz="8" w:color="7F7F7F"/>
            </w:tcBorders>
            <w:shd w:val="clear" w:color="auto" w:fill="DAE9F7"/>
          </w:tcPr>
          <w:p>
            <w:pPr>
              <w:spacing w:after="0"/>
              <w:rPr>
                <w:sz w:val="13"/>
                <w:szCs w:val="13"/>
                <w:color w:val="auto"/>
              </w:rPr>
            </w:pPr>
          </w:p>
        </w:tc>
        <w:tc>
          <w:tcPr>
            <w:tcW w:w="760" w:type="dxa"/>
            <w:vAlign w:val="bottom"/>
            <w:tcBorders>
              <w:right w:val="single" w:sz="8" w:color="7F7F7F"/>
            </w:tcBorders>
            <w:shd w:val="clear" w:color="auto" w:fill="DAE9F7"/>
          </w:tcPr>
          <w:p>
            <w:pPr>
              <w:spacing w:after="0"/>
              <w:rPr>
                <w:sz w:val="13"/>
                <w:szCs w:val="13"/>
                <w:color w:val="auto"/>
              </w:rPr>
            </w:pPr>
          </w:p>
        </w:tc>
        <w:tc>
          <w:tcPr>
            <w:tcW w:w="920" w:type="dxa"/>
            <w:vAlign w:val="bottom"/>
            <w:tcBorders>
              <w:right w:val="single" w:sz="8" w:color="7F7F7F"/>
            </w:tcBorders>
            <w:shd w:val="clear" w:color="auto" w:fill="DAE9F7"/>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Filing Fee</w:t>
            </w:r>
          </w:p>
        </w:tc>
        <w:tc>
          <w:tcPr>
            <w:tcW w:w="0" w:type="dxa"/>
            <w:vAlign w:val="bottom"/>
          </w:tcPr>
          <w:p>
            <w:pPr>
              <w:spacing w:after="0"/>
              <w:rPr>
                <w:sz w:val="1"/>
                <w:szCs w:val="1"/>
                <w:color w:val="auto"/>
              </w:rPr>
            </w:pPr>
          </w:p>
        </w:tc>
      </w:tr>
      <w:tr>
        <w:trPr>
          <w:trHeight w:val="162"/>
        </w:trPr>
        <w:tc>
          <w:tcPr>
            <w:tcW w:w="92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shd w:val="clear" w:color="auto" w:fill="DAE9F7"/>
          </w:tcPr>
          <w:p>
            <w:pPr>
              <w:spacing w:after="0"/>
              <w:rPr>
                <w:sz w:val="14"/>
                <w:szCs w:val="14"/>
                <w:color w:val="auto"/>
              </w:rPr>
            </w:pPr>
          </w:p>
        </w:tc>
        <w:tc>
          <w:tcPr>
            <w:tcW w:w="640" w:type="dxa"/>
            <w:vAlign w:val="bottom"/>
            <w:tcBorders>
              <w:right w:val="single" w:sz="8" w:color="7F7F7F"/>
            </w:tcBorders>
            <w:shd w:val="clear" w:color="auto" w:fill="DAE9F7"/>
          </w:tcPr>
          <w:p>
            <w:pPr>
              <w:spacing w:after="0"/>
              <w:rPr>
                <w:sz w:val="14"/>
                <w:szCs w:val="14"/>
                <w:color w:val="auto"/>
              </w:rPr>
            </w:pPr>
          </w:p>
        </w:tc>
        <w:tc>
          <w:tcPr>
            <w:tcW w:w="1060" w:type="dxa"/>
            <w:vAlign w:val="bottom"/>
            <w:tcBorders>
              <w:right w:val="single" w:sz="8" w:color="7F7F7F"/>
            </w:tcBorders>
            <w:shd w:val="clear" w:color="auto" w:fill="DAE9F7"/>
          </w:tcPr>
          <w:p>
            <w:pPr>
              <w:spacing w:after="0"/>
              <w:rPr>
                <w:sz w:val="14"/>
                <w:szCs w:val="14"/>
                <w:color w:val="auto"/>
              </w:rPr>
            </w:pPr>
          </w:p>
        </w:tc>
        <w:tc>
          <w:tcPr>
            <w:tcW w:w="90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820" w:type="dxa"/>
            <w:vAlign w:val="bottom"/>
            <w:tcBorders>
              <w:right w:val="single" w:sz="8" w:color="7F7F7F"/>
            </w:tcBorders>
            <w:shd w:val="clear" w:color="auto" w:fill="DAE9F7"/>
          </w:tcPr>
          <w:p>
            <w:pPr>
              <w:spacing w:after="0"/>
              <w:rPr>
                <w:sz w:val="14"/>
                <w:szCs w:val="14"/>
                <w:color w:val="auto"/>
              </w:rPr>
            </w:pPr>
          </w:p>
        </w:tc>
        <w:tc>
          <w:tcPr>
            <w:tcW w:w="82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860" w:type="dxa"/>
            <w:vAlign w:val="bottom"/>
            <w:tcBorders>
              <w:right w:val="single" w:sz="8" w:color="7F7F7F"/>
            </w:tcBorders>
            <w:shd w:val="clear" w:color="auto" w:fill="DAE9F7"/>
          </w:tcPr>
          <w:p>
            <w:pPr>
              <w:spacing w:after="0"/>
              <w:rPr>
                <w:sz w:val="14"/>
                <w:szCs w:val="14"/>
                <w:color w:val="auto"/>
              </w:rPr>
            </w:pPr>
          </w:p>
        </w:tc>
        <w:tc>
          <w:tcPr>
            <w:tcW w:w="760" w:type="dxa"/>
            <w:vAlign w:val="bottom"/>
            <w:tcBorders>
              <w:right w:val="single" w:sz="8" w:color="7F7F7F"/>
            </w:tcBorders>
            <w:shd w:val="clear" w:color="auto" w:fill="DAE9F7"/>
          </w:tcPr>
          <w:p>
            <w:pPr>
              <w:spacing w:after="0"/>
              <w:rPr>
                <w:sz w:val="14"/>
                <w:szCs w:val="14"/>
                <w:color w:val="auto"/>
              </w:rPr>
            </w:pPr>
          </w:p>
        </w:tc>
        <w:tc>
          <w:tcPr>
            <w:tcW w:w="920" w:type="dxa"/>
            <w:vAlign w:val="bottom"/>
            <w:tcBorders>
              <w:right w:val="single" w:sz="8" w:color="7F7F7F"/>
            </w:tcBorders>
            <w:shd w:val="clear" w:color="auto" w:fill="DAE9F7"/>
          </w:tcPr>
          <w:p>
            <w:pPr>
              <w:spacing w:after="0"/>
              <w:rPr>
                <w:sz w:val="14"/>
                <w:szCs w:val="14"/>
                <w:color w:val="auto"/>
              </w:rPr>
            </w:pPr>
          </w:p>
        </w:tc>
        <w:tc>
          <w:tcPr>
            <w:tcW w:w="720" w:type="dxa"/>
            <w:vAlign w:val="bottom"/>
            <w:tcBorders>
              <w:right w:val="single" w:sz="8" w:color="7F7F7F"/>
            </w:tcBorders>
            <w:shd w:val="clear" w:color="auto" w:fill="DAE9F7"/>
          </w:tcPr>
          <w:p>
            <w:pPr>
              <w:spacing w:after="0"/>
              <w:rPr>
                <w:sz w:val="14"/>
                <w:szCs w:val="14"/>
                <w:color w:val="auto"/>
              </w:rPr>
            </w:pPr>
          </w:p>
        </w:tc>
        <w:tc>
          <w:tcPr>
            <w:tcW w:w="760" w:type="dxa"/>
            <w:vAlign w:val="bottom"/>
            <w:tcBorders>
              <w:right w:val="single" w:sz="8" w:color="7F7F7F"/>
            </w:tcBorders>
            <w:shd w:val="clear" w:color="auto" w:fill="DAE9F7"/>
          </w:tcPr>
          <w:p>
            <w:pPr>
              <w:spacing w:after="0"/>
              <w:rPr>
                <w:sz w:val="14"/>
                <w:szCs w:val="14"/>
                <w:color w:val="auto"/>
              </w:rPr>
            </w:pPr>
          </w:p>
        </w:tc>
        <w:tc>
          <w:tcPr>
            <w:tcW w:w="76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9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Previously</w:t>
            </w:r>
          </w:p>
        </w:tc>
        <w:tc>
          <w:tcPr>
            <w:tcW w:w="0" w:type="dxa"/>
            <w:vAlign w:val="bottom"/>
          </w:tcPr>
          <w:p>
            <w:pPr>
              <w:spacing w:after="0"/>
              <w:rPr>
                <w:sz w:val="1"/>
                <w:szCs w:val="1"/>
                <w:color w:val="auto"/>
              </w:rPr>
            </w:pPr>
          </w:p>
        </w:tc>
      </w:tr>
      <w:tr>
        <w:trPr>
          <w:trHeight w:val="81"/>
        </w:trPr>
        <w:tc>
          <w:tcPr>
            <w:tcW w:w="920" w:type="dxa"/>
            <w:vAlign w:val="bottom"/>
            <w:tcBorders>
              <w:left w:val="single" w:sz="8" w:color="7F7F7F"/>
              <w:right w:val="single" w:sz="8" w:color="7F7F7F"/>
            </w:tcBorders>
            <w:shd w:val="clear" w:color="auto" w:fill="DAE9F7"/>
          </w:tcPr>
          <w:p>
            <w:pPr>
              <w:spacing w:after="0"/>
              <w:rPr>
                <w:sz w:val="7"/>
                <w:szCs w:val="7"/>
                <w:color w:val="auto"/>
              </w:rPr>
            </w:pPr>
          </w:p>
        </w:tc>
        <w:tc>
          <w:tcPr>
            <w:tcW w:w="400" w:type="dxa"/>
            <w:vAlign w:val="bottom"/>
            <w:tcBorders>
              <w:right w:val="single" w:sz="8" w:color="7F7F7F"/>
            </w:tcBorders>
            <w:shd w:val="clear" w:color="auto" w:fill="DAE9F7"/>
          </w:tcPr>
          <w:p>
            <w:pPr>
              <w:spacing w:after="0"/>
              <w:rPr>
                <w:sz w:val="7"/>
                <w:szCs w:val="7"/>
                <w:color w:val="auto"/>
              </w:rPr>
            </w:pPr>
          </w:p>
        </w:tc>
        <w:tc>
          <w:tcPr>
            <w:tcW w:w="640" w:type="dxa"/>
            <w:vAlign w:val="bottom"/>
            <w:tcBorders>
              <w:right w:val="single" w:sz="8" w:color="7F7F7F"/>
            </w:tcBorders>
            <w:shd w:val="clear" w:color="auto" w:fill="DAE9F7"/>
          </w:tcPr>
          <w:p>
            <w:pPr>
              <w:spacing w:after="0"/>
              <w:rPr>
                <w:sz w:val="7"/>
                <w:szCs w:val="7"/>
                <w:color w:val="auto"/>
              </w:rPr>
            </w:pPr>
          </w:p>
        </w:tc>
        <w:tc>
          <w:tcPr>
            <w:tcW w:w="1060" w:type="dxa"/>
            <w:vAlign w:val="bottom"/>
            <w:tcBorders>
              <w:right w:val="single" w:sz="8" w:color="7F7F7F"/>
            </w:tcBorders>
            <w:shd w:val="clear" w:color="auto" w:fill="DAE9F7"/>
          </w:tcPr>
          <w:p>
            <w:pPr>
              <w:spacing w:after="0"/>
              <w:rPr>
                <w:sz w:val="7"/>
                <w:szCs w:val="7"/>
                <w:color w:val="auto"/>
              </w:rPr>
            </w:pPr>
          </w:p>
        </w:tc>
        <w:tc>
          <w:tcPr>
            <w:tcW w:w="900" w:type="dxa"/>
            <w:vAlign w:val="bottom"/>
            <w:tcBorders>
              <w:right w:val="single" w:sz="8" w:color="7F7F7F"/>
            </w:tcBorders>
            <w:vMerge w:val="continue"/>
            <w:shd w:val="clear" w:color="auto" w:fill="DAE9F7"/>
          </w:tcPr>
          <w:p>
            <w:pPr>
              <w:spacing w:after="0"/>
              <w:rPr>
                <w:sz w:val="7"/>
                <w:szCs w:val="7"/>
                <w:color w:val="auto"/>
              </w:rPr>
            </w:pPr>
          </w:p>
        </w:tc>
        <w:tc>
          <w:tcPr>
            <w:tcW w:w="820" w:type="dxa"/>
            <w:vAlign w:val="bottom"/>
            <w:tcBorders>
              <w:right w:val="single" w:sz="8" w:color="7F7F7F"/>
            </w:tcBorders>
            <w:shd w:val="clear" w:color="auto" w:fill="DAE9F7"/>
          </w:tcPr>
          <w:p>
            <w:pPr>
              <w:spacing w:after="0"/>
              <w:rPr>
                <w:sz w:val="7"/>
                <w:szCs w:val="7"/>
                <w:color w:val="auto"/>
              </w:rPr>
            </w:pPr>
          </w:p>
        </w:tc>
        <w:tc>
          <w:tcPr>
            <w:tcW w:w="820" w:type="dxa"/>
            <w:vAlign w:val="bottom"/>
            <w:tcBorders>
              <w:right w:val="single" w:sz="8" w:color="7F7F7F"/>
            </w:tcBorders>
            <w:vMerge w:val="continue"/>
            <w:shd w:val="clear" w:color="auto" w:fill="DAE9F7"/>
          </w:tcPr>
          <w:p>
            <w:pPr>
              <w:spacing w:after="0"/>
              <w:rPr>
                <w:sz w:val="7"/>
                <w:szCs w:val="7"/>
                <w:color w:val="auto"/>
              </w:rPr>
            </w:pPr>
          </w:p>
        </w:tc>
        <w:tc>
          <w:tcPr>
            <w:tcW w:w="86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760" w:type="dxa"/>
            <w:vAlign w:val="bottom"/>
            <w:tcBorders>
              <w:right w:val="single" w:sz="8" w:color="7F7F7F"/>
            </w:tcBorders>
            <w:shd w:val="clear" w:color="auto" w:fill="DAE9F7"/>
          </w:tcPr>
          <w:p>
            <w:pPr>
              <w:spacing w:after="0"/>
              <w:rPr>
                <w:sz w:val="7"/>
                <w:szCs w:val="7"/>
                <w:color w:val="auto"/>
              </w:rPr>
            </w:pPr>
          </w:p>
        </w:tc>
        <w:tc>
          <w:tcPr>
            <w:tcW w:w="92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72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76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760" w:type="dxa"/>
            <w:vAlign w:val="bottom"/>
            <w:tcBorders>
              <w:right w:val="single" w:sz="8" w:color="7F7F7F"/>
            </w:tcBorders>
            <w:vMerge w:val="continue"/>
            <w:shd w:val="clear" w:color="auto" w:fill="DAE9F7"/>
          </w:tcPr>
          <w:p>
            <w:pPr>
              <w:spacing w:after="0"/>
              <w:rPr>
                <w:sz w:val="7"/>
                <w:szCs w:val="7"/>
                <w:color w:val="auto"/>
              </w:rPr>
            </w:pPr>
          </w:p>
        </w:tc>
        <w:tc>
          <w:tcPr>
            <w:tcW w:w="92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0" w:type="dxa"/>
            <w:vAlign w:val="bottom"/>
          </w:tcPr>
          <w:p>
            <w:pPr>
              <w:spacing w:after="0"/>
              <w:rPr>
                <w:sz w:val="1"/>
                <w:szCs w:val="1"/>
                <w:color w:val="auto"/>
              </w:rPr>
            </w:pPr>
          </w:p>
        </w:tc>
      </w:tr>
      <w:tr>
        <w:trPr>
          <w:trHeight w:val="162"/>
        </w:trPr>
        <w:tc>
          <w:tcPr>
            <w:tcW w:w="92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64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106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 Class</w:t>
            </w:r>
          </w:p>
        </w:tc>
        <w:tc>
          <w:tcPr>
            <w:tcW w:w="90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Calculation</w:t>
            </w:r>
          </w:p>
        </w:tc>
        <w:tc>
          <w:tcPr>
            <w:tcW w:w="82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860" w:type="dxa"/>
            <w:vAlign w:val="bottom"/>
            <w:tcBorders>
              <w:right w:val="single" w:sz="8" w:color="7F7F7F"/>
            </w:tcBorders>
            <w:vMerge w:val="continue"/>
            <w:shd w:val="clear" w:color="auto" w:fill="DAE9F7"/>
          </w:tcPr>
          <w:p>
            <w:pPr>
              <w:spacing w:after="0"/>
              <w:rPr>
                <w:sz w:val="14"/>
                <w:szCs w:val="14"/>
                <w:color w:val="auto"/>
              </w:rPr>
            </w:pPr>
          </w:p>
        </w:tc>
        <w:tc>
          <w:tcPr>
            <w:tcW w:w="76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 Rate</w:t>
            </w:r>
          </w:p>
        </w:tc>
        <w:tc>
          <w:tcPr>
            <w:tcW w:w="920" w:type="dxa"/>
            <w:vAlign w:val="bottom"/>
            <w:tcBorders>
              <w:right w:val="single" w:sz="8" w:color="7F7F7F"/>
            </w:tcBorders>
            <w:vMerge w:val="continue"/>
            <w:shd w:val="clear" w:color="auto" w:fill="DAE9F7"/>
          </w:tcPr>
          <w:p>
            <w:pPr>
              <w:spacing w:after="0"/>
              <w:rPr>
                <w:sz w:val="14"/>
                <w:szCs w:val="14"/>
                <w:color w:val="auto"/>
              </w:rPr>
            </w:pPr>
          </w:p>
        </w:tc>
        <w:tc>
          <w:tcPr>
            <w:tcW w:w="720" w:type="dxa"/>
            <w:vAlign w:val="bottom"/>
            <w:tcBorders>
              <w:right w:val="single" w:sz="8" w:color="7F7F7F"/>
            </w:tcBorders>
            <w:vMerge w:val="continue"/>
            <w:shd w:val="clear" w:color="auto" w:fill="DAE9F7"/>
          </w:tcPr>
          <w:p>
            <w:pPr>
              <w:spacing w:after="0"/>
              <w:rPr>
                <w:sz w:val="14"/>
                <w:szCs w:val="14"/>
                <w:color w:val="auto"/>
              </w:rPr>
            </w:pPr>
          </w:p>
        </w:tc>
        <w:tc>
          <w:tcPr>
            <w:tcW w:w="760" w:type="dxa"/>
            <w:vAlign w:val="bottom"/>
            <w:tcBorders>
              <w:right w:val="single" w:sz="8" w:color="7F7F7F"/>
            </w:tcBorders>
            <w:vMerge w:val="continue"/>
            <w:shd w:val="clear" w:color="auto" w:fill="DAE9F7"/>
          </w:tcPr>
          <w:p>
            <w:pPr>
              <w:spacing w:after="0"/>
              <w:rPr>
                <w:sz w:val="14"/>
                <w:szCs w:val="14"/>
                <w:color w:val="auto"/>
              </w:rPr>
            </w:pPr>
          </w:p>
        </w:tc>
        <w:tc>
          <w:tcPr>
            <w:tcW w:w="76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Forward</w:t>
            </w:r>
          </w:p>
        </w:tc>
        <w:tc>
          <w:tcPr>
            <w:tcW w:w="920" w:type="dxa"/>
            <w:vAlign w:val="bottom"/>
            <w:tcBorders>
              <w:right w:val="single" w:sz="8" w:color="7F7F7F"/>
            </w:tcBorders>
            <w:vMerge w:val="continue"/>
            <w:shd w:val="clear" w:color="auto" w:fill="DAE9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vMerge w:val="continue"/>
            <w:shd w:val="clear" w:color="auto" w:fill="DAE9F7"/>
          </w:tcPr>
          <w:p>
            <w:pPr>
              <w:spacing w:after="0"/>
              <w:rPr>
                <w:sz w:val="14"/>
                <w:szCs w:val="14"/>
                <w:color w:val="auto"/>
              </w:rPr>
            </w:pPr>
          </w:p>
        </w:tc>
        <w:tc>
          <w:tcPr>
            <w:tcW w:w="640" w:type="dxa"/>
            <w:vAlign w:val="bottom"/>
            <w:tcBorders>
              <w:right w:val="single" w:sz="8" w:color="7F7F7F"/>
            </w:tcBorders>
            <w:vMerge w:val="continue"/>
            <w:shd w:val="clear" w:color="auto" w:fill="DAE9F7"/>
          </w:tcPr>
          <w:p>
            <w:pPr>
              <w:spacing w:after="0"/>
              <w:rPr>
                <w:sz w:val="14"/>
                <w:szCs w:val="14"/>
                <w:color w:val="auto"/>
              </w:rPr>
            </w:pPr>
          </w:p>
        </w:tc>
        <w:tc>
          <w:tcPr>
            <w:tcW w:w="1060" w:type="dxa"/>
            <w:vAlign w:val="bottom"/>
            <w:tcBorders>
              <w:right w:val="single" w:sz="8" w:color="7F7F7F"/>
            </w:tcBorders>
            <w:vMerge w:val="continue"/>
            <w:shd w:val="clear" w:color="auto" w:fill="DAE9F7"/>
          </w:tcPr>
          <w:p>
            <w:pPr>
              <w:spacing w:after="0"/>
              <w:rPr>
                <w:sz w:val="14"/>
                <w:szCs w:val="14"/>
                <w:color w:val="auto"/>
              </w:rPr>
            </w:pPr>
          </w:p>
        </w:tc>
        <w:tc>
          <w:tcPr>
            <w:tcW w:w="90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or Carry</w:t>
            </w:r>
          </w:p>
        </w:tc>
        <w:tc>
          <w:tcPr>
            <w:tcW w:w="820" w:type="dxa"/>
            <w:vAlign w:val="bottom"/>
            <w:tcBorders>
              <w:right w:val="single" w:sz="8" w:color="7F7F7F"/>
            </w:tcBorders>
            <w:vMerge w:val="continue"/>
            <w:shd w:val="clear" w:color="auto" w:fill="DAE9F7"/>
          </w:tcPr>
          <w:p>
            <w:pPr>
              <w:spacing w:after="0"/>
              <w:rPr>
                <w:sz w:val="14"/>
                <w:szCs w:val="14"/>
                <w:color w:val="auto"/>
              </w:rPr>
            </w:pPr>
          </w:p>
        </w:tc>
        <w:tc>
          <w:tcPr>
            <w:tcW w:w="8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Offering</w:t>
            </w:r>
          </w:p>
        </w:tc>
        <w:tc>
          <w:tcPr>
            <w:tcW w:w="86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760" w:type="dxa"/>
            <w:vAlign w:val="bottom"/>
            <w:tcBorders>
              <w:right w:val="single" w:sz="8" w:color="7F7F7F"/>
            </w:tcBorders>
            <w:vMerge w:val="continue"/>
            <w:shd w:val="clear" w:color="auto" w:fill="DAE9F7"/>
          </w:tcPr>
          <w:p>
            <w:pPr>
              <w:spacing w:after="0"/>
              <w:rPr>
                <w:sz w:val="14"/>
                <w:szCs w:val="14"/>
                <w:color w:val="auto"/>
              </w:rPr>
            </w:pPr>
          </w:p>
        </w:tc>
        <w:tc>
          <w:tcPr>
            <w:tcW w:w="9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Registration</w:t>
            </w:r>
          </w:p>
        </w:tc>
        <w:tc>
          <w:tcPr>
            <w:tcW w:w="7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Forward</w:t>
            </w:r>
          </w:p>
        </w:tc>
        <w:tc>
          <w:tcPr>
            <w:tcW w:w="76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Forward</w:t>
            </w:r>
          </w:p>
        </w:tc>
        <w:tc>
          <w:tcPr>
            <w:tcW w:w="76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Initial</w:t>
            </w:r>
          </w:p>
        </w:tc>
        <w:tc>
          <w:tcPr>
            <w:tcW w:w="9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Connection</w:t>
            </w:r>
          </w:p>
        </w:tc>
        <w:tc>
          <w:tcPr>
            <w:tcW w:w="0" w:type="dxa"/>
            <w:vAlign w:val="bottom"/>
          </w:tcPr>
          <w:p>
            <w:pPr>
              <w:spacing w:after="0"/>
              <w:rPr>
                <w:sz w:val="1"/>
                <w:szCs w:val="1"/>
                <w:color w:val="auto"/>
              </w:rPr>
            </w:pPr>
          </w:p>
        </w:tc>
      </w:tr>
      <w:tr>
        <w:trPr>
          <w:trHeight w:val="81"/>
        </w:trPr>
        <w:tc>
          <w:tcPr>
            <w:tcW w:w="920" w:type="dxa"/>
            <w:vAlign w:val="bottom"/>
            <w:tcBorders>
              <w:left w:val="single" w:sz="8" w:color="7F7F7F"/>
              <w:right w:val="single" w:sz="8" w:color="7F7F7F"/>
            </w:tcBorders>
            <w:shd w:val="clear" w:color="auto" w:fill="DAE9F7"/>
          </w:tcPr>
          <w:p>
            <w:pPr>
              <w:spacing w:after="0"/>
              <w:rPr>
                <w:sz w:val="7"/>
                <w:szCs w:val="7"/>
                <w:color w:val="auto"/>
              </w:rPr>
            </w:pPr>
          </w:p>
        </w:tc>
        <w:tc>
          <w:tcPr>
            <w:tcW w:w="40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Type</w:t>
            </w:r>
          </w:p>
        </w:tc>
        <w:tc>
          <w:tcPr>
            <w:tcW w:w="106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Title</w:t>
            </w:r>
          </w:p>
        </w:tc>
        <w:tc>
          <w:tcPr>
            <w:tcW w:w="90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82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Registered</w:t>
            </w:r>
          </w:p>
        </w:tc>
        <w:tc>
          <w:tcPr>
            <w:tcW w:w="82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6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Offering</w:t>
            </w:r>
          </w:p>
        </w:tc>
        <w:tc>
          <w:tcPr>
            <w:tcW w:w="760" w:type="dxa"/>
            <w:vAlign w:val="bottom"/>
            <w:tcBorders>
              <w:right w:val="single" w:sz="8" w:color="7F7F7F"/>
            </w:tcBorders>
            <w:shd w:val="clear" w:color="auto" w:fill="DAE9F7"/>
          </w:tcPr>
          <w:p>
            <w:pPr>
              <w:spacing w:after="0"/>
              <w:rPr>
                <w:sz w:val="7"/>
                <w:szCs w:val="7"/>
                <w:color w:val="auto"/>
              </w:rPr>
            </w:pPr>
          </w:p>
        </w:tc>
        <w:tc>
          <w:tcPr>
            <w:tcW w:w="92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72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Form</w:t>
            </w:r>
          </w:p>
        </w:tc>
        <w:tc>
          <w:tcPr>
            <w:tcW w:w="76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File</w:t>
            </w:r>
          </w:p>
        </w:tc>
        <w:tc>
          <w:tcPr>
            <w:tcW w:w="76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92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with Unsold</w:t>
            </w:r>
          </w:p>
        </w:tc>
        <w:tc>
          <w:tcPr>
            <w:tcW w:w="0" w:type="dxa"/>
            <w:vAlign w:val="bottom"/>
          </w:tcPr>
          <w:p>
            <w:pPr>
              <w:spacing w:after="0"/>
              <w:rPr>
                <w:sz w:val="1"/>
                <w:szCs w:val="1"/>
                <w:color w:val="auto"/>
              </w:rPr>
            </w:pPr>
          </w:p>
        </w:tc>
      </w:tr>
      <w:tr>
        <w:trPr>
          <w:trHeight w:val="162"/>
        </w:trPr>
        <w:tc>
          <w:tcPr>
            <w:tcW w:w="92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shd w:val="clear" w:color="auto" w:fill="DAE9F7"/>
          </w:tcPr>
          <w:p>
            <w:pPr>
              <w:spacing w:after="0"/>
              <w:rPr>
                <w:sz w:val="14"/>
                <w:szCs w:val="14"/>
                <w:color w:val="auto"/>
              </w:rPr>
            </w:pPr>
          </w:p>
        </w:tc>
        <w:tc>
          <w:tcPr>
            <w:tcW w:w="640" w:type="dxa"/>
            <w:vAlign w:val="bottom"/>
            <w:tcBorders>
              <w:right w:val="single" w:sz="8" w:color="7F7F7F"/>
            </w:tcBorders>
            <w:shd w:val="clear" w:color="auto" w:fill="DAE9F7"/>
          </w:tcPr>
          <w:p>
            <w:pPr>
              <w:spacing w:after="0"/>
              <w:rPr>
                <w:sz w:val="14"/>
                <w:szCs w:val="14"/>
                <w:color w:val="auto"/>
              </w:rPr>
            </w:pPr>
          </w:p>
        </w:tc>
        <w:tc>
          <w:tcPr>
            <w:tcW w:w="1060" w:type="dxa"/>
            <w:vAlign w:val="bottom"/>
            <w:tcBorders>
              <w:right w:val="single" w:sz="8" w:color="7F7F7F"/>
            </w:tcBorders>
            <w:shd w:val="clear" w:color="auto" w:fill="DAE9F7"/>
          </w:tcPr>
          <w:p>
            <w:pPr>
              <w:spacing w:after="0"/>
              <w:rPr>
                <w:sz w:val="14"/>
                <w:szCs w:val="14"/>
                <w:color w:val="auto"/>
              </w:rPr>
            </w:pPr>
          </w:p>
        </w:tc>
        <w:tc>
          <w:tcPr>
            <w:tcW w:w="900" w:type="dxa"/>
            <w:vAlign w:val="bottom"/>
            <w:tcBorders>
              <w:right w:val="single" w:sz="8" w:color="7F7F7F"/>
            </w:tcBorders>
            <w:vMerge w:val="continue"/>
            <w:shd w:val="clear" w:color="auto" w:fill="DAE9F7"/>
          </w:tcPr>
          <w:p>
            <w:pPr>
              <w:spacing w:after="0"/>
              <w:rPr>
                <w:sz w:val="14"/>
                <w:szCs w:val="14"/>
                <w:color w:val="auto"/>
              </w:rPr>
            </w:pPr>
          </w:p>
        </w:tc>
        <w:tc>
          <w:tcPr>
            <w:tcW w:w="820" w:type="dxa"/>
            <w:vAlign w:val="bottom"/>
            <w:tcBorders>
              <w:right w:val="single" w:sz="8" w:color="7F7F7F"/>
            </w:tcBorders>
            <w:shd w:val="clear" w:color="auto" w:fill="DAE9F7"/>
          </w:tcPr>
          <w:p>
            <w:pPr>
              <w:spacing w:after="0"/>
              <w:rPr>
                <w:sz w:val="14"/>
                <w:szCs w:val="14"/>
                <w:color w:val="auto"/>
              </w:rPr>
            </w:pPr>
          </w:p>
        </w:tc>
        <w:tc>
          <w:tcPr>
            <w:tcW w:w="820" w:type="dxa"/>
            <w:vAlign w:val="bottom"/>
            <w:tcBorders>
              <w:right w:val="single" w:sz="8" w:color="7F7F7F"/>
            </w:tcBorders>
            <w:vMerge w:val="continue"/>
            <w:shd w:val="clear" w:color="auto" w:fill="DAE9F7"/>
          </w:tcPr>
          <w:p>
            <w:pPr>
              <w:spacing w:after="0"/>
              <w:rPr>
                <w:sz w:val="14"/>
                <w:szCs w:val="14"/>
                <w:color w:val="auto"/>
              </w:rPr>
            </w:pPr>
          </w:p>
        </w:tc>
        <w:tc>
          <w:tcPr>
            <w:tcW w:w="86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Price</w:t>
            </w:r>
          </w:p>
        </w:tc>
        <w:tc>
          <w:tcPr>
            <w:tcW w:w="760" w:type="dxa"/>
            <w:vAlign w:val="bottom"/>
            <w:tcBorders>
              <w:right w:val="single" w:sz="8" w:color="7F7F7F"/>
            </w:tcBorders>
            <w:shd w:val="clear" w:color="auto" w:fill="DAE9F7"/>
          </w:tcPr>
          <w:p>
            <w:pPr>
              <w:spacing w:after="0"/>
              <w:rPr>
                <w:sz w:val="14"/>
                <w:szCs w:val="14"/>
                <w:color w:val="auto"/>
              </w:rPr>
            </w:pPr>
          </w:p>
        </w:tc>
        <w:tc>
          <w:tcPr>
            <w:tcW w:w="920" w:type="dxa"/>
            <w:vAlign w:val="bottom"/>
            <w:tcBorders>
              <w:right w:val="single" w:sz="8" w:color="7F7F7F"/>
            </w:tcBorders>
            <w:vMerge w:val="continue"/>
            <w:shd w:val="clear" w:color="auto" w:fill="DAE9F7"/>
          </w:tcPr>
          <w:p>
            <w:pPr>
              <w:spacing w:after="0"/>
              <w:rPr>
                <w:sz w:val="14"/>
                <w:szCs w:val="14"/>
                <w:color w:val="auto"/>
              </w:rPr>
            </w:pPr>
          </w:p>
        </w:tc>
        <w:tc>
          <w:tcPr>
            <w:tcW w:w="7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Type</w:t>
            </w:r>
          </w:p>
        </w:tc>
        <w:tc>
          <w:tcPr>
            <w:tcW w:w="76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w:t>
            </w:r>
          </w:p>
        </w:tc>
        <w:tc>
          <w:tcPr>
            <w:tcW w:w="760" w:type="dxa"/>
            <w:vAlign w:val="bottom"/>
            <w:tcBorders>
              <w:right w:val="single" w:sz="8" w:color="7F7F7F"/>
            </w:tcBorders>
            <w:vMerge w:val="continue"/>
            <w:shd w:val="clear" w:color="auto" w:fill="DAE9F7"/>
          </w:tcPr>
          <w:p>
            <w:pPr>
              <w:spacing w:after="0"/>
              <w:rPr>
                <w:sz w:val="14"/>
                <w:szCs w:val="14"/>
                <w:color w:val="auto"/>
              </w:rPr>
            </w:pPr>
          </w:p>
        </w:tc>
        <w:tc>
          <w:tcPr>
            <w:tcW w:w="9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w:t>
            </w:r>
          </w:p>
        </w:tc>
        <w:tc>
          <w:tcPr>
            <w:tcW w:w="0" w:type="dxa"/>
            <w:vAlign w:val="bottom"/>
          </w:tcPr>
          <w:p>
            <w:pPr>
              <w:spacing w:after="0"/>
              <w:rPr>
                <w:sz w:val="1"/>
                <w:szCs w:val="1"/>
                <w:color w:val="auto"/>
              </w:rPr>
            </w:pPr>
          </w:p>
        </w:tc>
      </w:tr>
      <w:tr>
        <w:trPr>
          <w:trHeight w:val="162"/>
        </w:trPr>
        <w:tc>
          <w:tcPr>
            <w:tcW w:w="92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shd w:val="clear" w:color="auto" w:fill="DAE9F7"/>
          </w:tcPr>
          <w:p>
            <w:pPr>
              <w:spacing w:after="0"/>
              <w:rPr>
                <w:sz w:val="14"/>
                <w:szCs w:val="14"/>
                <w:color w:val="auto"/>
              </w:rPr>
            </w:pPr>
          </w:p>
        </w:tc>
        <w:tc>
          <w:tcPr>
            <w:tcW w:w="640" w:type="dxa"/>
            <w:vAlign w:val="bottom"/>
            <w:tcBorders>
              <w:right w:val="single" w:sz="8" w:color="7F7F7F"/>
            </w:tcBorders>
            <w:shd w:val="clear" w:color="auto" w:fill="DAE9F7"/>
          </w:tcPr>
          <w:p>
            <w:pPr>
              <w:spacing w:after="0"/>
              <w:rPr>
                <w:sz w:val="14"/>
                <w:szCs w:val="14"/>
                <w:color w:val="auto"/>
              </w:rPr>
            </w:pPr>
          </w:p>
        </w:tc>
        <w:tc>
          <w:tcPr>
            <w:tcW w:w="1060" w:type="dxa"/>
            <w:vAlign w:val="bottom"/>
            <w:tcBorders>
              <w:right w:val="single" w:sz="8" w:color="7F7F7F"/>
            </w:tcBorders>
            <w:shd w:val="clear" w:color="auto" w:fill="DAE9F7"/>
          </w:tcPr>
          <w:p>
            <w:pPr>
              <w:spacing w:after="0"/>
              <w:rPr>
                <w:sz w:val="14"/>
                <w:szCs w:val="14"/>
                <w:color w:val="auto"/>
              </w:rPr>
            </w:pPr>
          </w:p>
        </w:tc>
        <w:tc>
          <w:tcPr>
            <w:tcW w:w="90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Rule</w:t>
            </w:r>
          </w:p>
        </w:tc>
        <w:tc>
          <w:tcPr>
            <w:tcW w:w="820" w:type="dxa"/>
            <w:vAlign w:val="bottom"/>
            <w:tcBorders>
              <w:right w:val="single" w:sz="8" w:color="7F7F7F"/>
            </w:tcBorders>
            <w:shd w:val="clear" w:color="auto" w:fill="DAE9F7"/>
          </w:tcPr>
          <w:p>
            <w:pPr>
              <w:spacing w:after="0"/>
              <w:rPr>
                <w:sz w:val="14"/>
                <w:szCs w:val="14"/>
                <w:color w:val="auto"/>
              </w:rPr>
            </w:pPr>
          </w:p>
        </w:tc>
        <w:tc>
          <w:tcPr>
            <w:tcW w:w="8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w:t>
            </w:r>
          </w:p>
        </w:tc>
        <w:tc>
          <w:tcPr>
            <w:tcW w:w="860" w:type="dxa"/>
            <w:vAlign w:val="bottom"/>
            <w:tcBorders>
              <w:right w:val="single" w:sz="8" w:color="7F7F7F"/>
            </w:tcBorders>
            <w:shd w:val="clear" w:color="auto" w:fill="DAE9F7"/>
          </w:tcPr>
          <w:p>
            <w:pPr>
              <w:spacing w:after="0"/>
              <w:rPr>
                <w:sz w:val="14"/>
                <w:szCs w:val="14"/>
                <w:color w:val="auto"/>
              </w:rPr>
            </w:pPr>
          </w:p>
        </w:tc>
        <w:tc>
          <w:tcPr>
            <w:tcW w:w="760" w:type="dxa"/>
            <w:vAlign w:val="bottom"/>
            <w:tcBorders>
              <w:right w:val="single" w:sz="8" w:color="7F7F7F"/>
            </w:tcBorders>
            <w:shd w:val="clear" w:color="auto" w:fill="DAE9F7"/>
          </w:tcPr>
          <w:p>
            <w:pPr>
              <w:spacing w:after="0"/>
              <w:rPr>
                <w:sz w:val="14"/>
                <w:szCs w:val="14"/>
                <w:color w:val="auto"/>
              </w:rPr>
            </w:pPr>
          </w:p>
        </w:tc>
        <w:tc>
          <w:tcPr>
            <w:tcW w:w="920" w:type="dxa"/>
            <w:vAlign w:val="bottom"/>
            <w:tcBorders>
              <w:right w:val="single" w:sz="8" w:color="7F7F7F"/>
            </w:tcBorders>
            <w:shd w:val="clear" w:color="auto" w:fill="DAE9F7"/>
          </w:tcPr>
          <w:p>
            <w:pPr>
              <w:spacing w:after="0"/>
              <w:rPr>
                <w:sz w:val="14"/>
                <w:szCs w:val="14"/>
                <w:color w:val="auto"/>
              </w:rPr>
            </w:pPr>
          </w:p>
        </w:tc>
        <w:tc>
          <w:tcPr>
            <w:tcW w:w="720" w:type="dxa"/>
            <w:vAlign w:val="bottom"/>
            <w:tcBorders>
              <w:right w:val="single" w:sz="8" w:color="7F7F7F"/>
            </w:tcBorders>
            <w:shd w:val="clear" w:color="auto" w:fill="DAE9F7"/>
          </w:tcPr>
          <w:p>
            <w:pPr>
              <w:spacing w:after="0"/>
              <w:rPr>
                <w:sz w:val="14"/>
                <w:szCs w:val="14"/>
                <w:color w:val="auto"/>
              </w:rPr>
            </w:pPr>
          </w:p>
        </w:tc>
        <w:tc>
          <w:tcPr>
            <w:tcW w:w="760" w:type="dxa"/>
            <w:vAlign w:val="bottom"/>
            <w:tcBorders>
              <w:right w:val="single" w:sz="8" w:color="7F7F7F"/>
            </w:tcBorders>
            <w:shd w:val="clear" w:color="auto" w:fill="DAE9F7"/>
          </w:tcPr>
          <w:p>
            <w:pPr>
              <w:spacing w:after="0"/>
              <w:rPr>
                <w:sz w:val="14"/>
                <w:szCs w:val="14"/>
                <w:color w:val="auto"/>
              </w:rPr>
            </w:pPr>
          </w:p>
        </w:tc>
        <w:tc>
          <w:tcPr>
            <w:tcW w:w="76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Date</w:t>
            </w:r>
          </w:p>
        </w:tc>
        <w:tc>
          <w:tcPr>
            <w:tcW w:w="92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 Carried</w:t>
            </w:r>
          </w:p>
        </w:tc>
        <w:tc>
          <w:tcPr>
            <w:tcW w:w="0" w:type="dxa"/>
            <w:vAlign w:val="bottom"/>
          </w:tcPr>
          <w:p>
            <w:pPr>
              <w:spacing w:after="0"/>
              <w:rPr>
                <w:sz w:val="1"/>
                <w:szCs w:val="1"/>
                <w:color w:val="auto"/>
              </w:rPr>
            </w:pPr>
          </w:p>
        </w:tc>
      </w:tr>
      <w:tr>
        <w:trPr>
          <w:trHeight w:val="214"/>
        </w:trPr>
        <w:tc>
          <w:tcPr>
            <w:tcW w:w="920" w:type="dxa"/>
            <w:vAlign w:val="bottom"/>
            <w:tcBorders>
              <w:left w:val="single" w:sz="8" w:color="7F7F7F"/>
              <w:bottom w:val="single" w:sz="8" w:color="7F7F7F"/>
              <w:right w:val="single" w:sz="8" w:color="7F7F7F"/>
            </w:tcBorders>
            <w:shd w:val="clear" w:color="auto" w:fill="DAE9F7"/>
          </w:tcPr>
          <w:p>
            <w:pPr>
              <w:spacing w:after="0"/>
              <w:rPr>
                <w:sz w:val="18"/>
                <w:szCs w:val="18"/>
                <w:color w:val="auto"/>
              </w:rPr>
            </w:pPr>
          </w:p>
        </w:tc>
        <w:tc>
          <w:tcPr>
            <w:tcW w:w="400" w:type="dxa"/>
            <w:vAlign w:val="bottom"/>
            <w:tcBorders>
              <w:bottom w:val="single" w:sz="8" w:color="7F7F7F"/>
              <w:right w:val="single" w:sz="8" w:color="7F7F7F"/>
            </w:tcBorders>
            <w:shd w:val="clear" w:color="auto" w:fill="DAE9F7"/>
          </w:tcPr>
          <w:p>
            <w:pPr>
              <w:spacing w:after="0"/>
              <w:rPr>
                <w:sz w:val="18"/>
                <w:szCs w:val="18"/>
                <w:color w:val="auto"/>
              </w:rPr>
            </w:pPr>
          </w:p>
        </w:tc>
        <w:tc>
          <w:tcPr>
            <w:tcW w:w="640" w:type="dxa"/>
            <w:vAlign w:val="bottom"/>
            <w:tcBorders>
              <w:bottom w:val="single" w:sz="8" w:color="7F7F7F"/>
              <w:right w:val="single" w:sz="8" w:color="7F7F7F"/>
            </w:tcBorders>
            <w:shd w:val="clear" w:color="auto" w:fill="DAE9F7"/>
          </w:tcPr>
          <w:p>
            <w:pPr>
              <w:spacing w:after="0"/>
              <w:rPr>
                <w:sz w:val="18"/>
                <w:szCs w:val="18"/>
                <w:color w:val="auto"/>
              </w:rPr>
            </w:pPr>
          </w:p>
        </w:tc>
        <w:tc>
          <w:tcPr>
            <w:tcW w:w="1060" w:type="dxa"/>
            <w:vAlign w:val="bottom"/>
            <w:tcBorders>
              <w:bottom w:val="single" w:sz="8" w:color="7F7F7F"/>
              <w:right w:val="single" w:sz="8" w:color="7F7F7F"/>
            </w:tcBorders>
            <w:shd w:val="clear" w:color="auto" w:fill="DAE9F7"/>
          </w:tcPr>
          <w:p>
            <w:pPr>
              <w:spacing w:after="0"/>
              <w:rPr>
                <w:sz w:val="18"/>
                <w:szCs w:val="18"/>
                <w:color w:val="auto"/>
              </w:rPr>
            </w:pPr>
          </w:p>
        </w:tc>
        <w:tc>
          <w:tcPr>
            <w:tcW w:w="900" w:type="dxa"/>
            <w:vAlign w:val="bottom"/>
            <w:tcBorders>
              <w:bottom w:val="single" w:sz="8" w:color="7F7F7F"/>
              <w:right w:val="single" w:sz="8" w:color="7F7F7F"/>
            </w:tcBorders>
            <w:shd w:val="clear" w:color="auto" w:fill="DAE9F7"/>
          </w:tcPr>
          <w:p>
            <w:pPr>
              <w:spacing w:after="0"/>
              <w:rPr>
                <w:sz w:val="18"/>
                <w:szCs w:val="18"/>
                <w:color w:val="auto"/>
              </w:rPr>
            </w:pPr>
          </w:p>
        </w:tc>
        <w:tc>
          <w:tcPr>
            <w:tcW w:w="820" w:type="dxa"/>
            <w:vAlign w:val="bottom"/>
            <w:tcBorders>
              <w:bottom w:val="single" w:sz="8" w:color="7F7F7F"/>
              <w:right w:val="single" w:sz="8" w:color="7F7F7F"/>
            </w:tcBorders>
            <w:shd w:val="clear" w:color="auto" w:fill="DAE9F7"/>
          </w:tcPr>
          <w:p>
            <w:pPr>
              <w:spacing w:after="0"/>
              <w:rPr>
                <w:sz w:val="18"/>
                <w:szCs w:val="18"/>
                <w:color w:val="auto"/>
              </w:rPr>
            </w:pPr>
          </w:p>
        </w:tc>
        <w:tc>
          <w:tcPr>
            <w:tcW w:w="820" w:type="dxa"/>
            <w:vAlign w:val="bottom"/>
            <w:tcBorders>
              <w:bottom w:val="single" w:sz="8" w:color="7F7F7F"/>
              <w:right w:val="single" w:sz="8" w:color="7F7F7F"/>
            </w:tcBorders>
            <w:shd w:val="clear" w:color="auto" w:fill="DAE9F7"/>
          </w:tcPr>
          <w:p>
            <w:pPr>
              <w:spacing w:after="0"/>
              <w:rPr>
                <w:sz w:val="18"/>
                <w:szCs w:val="18"/>
                <w:color w:val="auto"/>
              </w:rPr>
            </w:pPr>
          </w:p>
        </w:tc>
        <w:tc>
          <w:tcPr>
            <w:tcW w:w="860" w:type="dxa"/>
            <w:vAlign w:val="bottom"/>
            <w:tcBorders>
              <w:bottom w:val="single" w:sz="8" w:color="7F7F7F"/>
              <w:right w:val="single" w:sz="8" w:color="7F7F7F"/>
            </w:tcBorders>
            <w:shd w:val="clear" w:color="auto" w:fill="DAE9F7"/>
          </w:tcPr>
          <w:p>
            <w:pPr>
              <w:spacing w:after="0"/>
              <w:rPr>
                <w:sz w:val="18"/>
                <w:szCs w:val="18"/>
                <w:color w:val="auto"/>
              </w:rPr>
            </w:pPr>
          </w:p>
        </w:tc>
        <w:tc>
          <w:tcPr>
            <w:tcW w:w="760" w:type="dxa"/>
            <w:vAlign w:val="bottom"/>
            <w:tcBorders>
              <w:bottom w:val="single" w:sz="8" w:color="7F7F7F"/>
              <w:right w:val="single" w:sz="8" w:color="7F7F7F"/>
            </w:tcBorders>
            <w:shd w:val="clear" w:color="auto" w:fill="DAE9F7"/>
          </w:tcPr>
          <w:p>
            <w:pPr>
              <w:spacing w:after="0"/>
              <w:rPr>
                <w:sz w:val="18"/>
                <w:szCs w:val="18"/>
                <w:color w:val="auto"/>
              </w:rPr>
            </w:pPr>
          </w:p>
        </w:tc>
        <w:tc>
          <w:tcPr>
            <w:tcW w:w="920" w:type="dxa"/>
            <w:vAlign w:val="bottom"/>
            <w:tcBorders>
              <w:bottom w:val="single" w:sz="8" w:color="7F7F7F"/>
              <w:right w:val="single" w:sz="8" w:color="7F7F7F"/>
            </w:tcBorders>
            <w:shd w:val="clear" w:color="auto" w:fill="DAE9F7"/>
          </w:tcPr>
          <w:p>
            <w:pPr>
              <w:spacing w:after="0"/>
              <w:rPr>
                <w:sz w:val="18"/>
                <w:szCs w:val="18"/>
                <w:color w:val="auto"/>
              </w:rPr>
            </w:pPr>
          </w:p>
        </w:tc>
        <w:tc>
          <w:tcPr>
            <w:tcW w:w="720" w:type="dxa"/>
            <w:vAlign w:val="bottom"/>
            <w:tcBorders>
              <w:bottom w:val="single" w:sz="8" w:color="7F7F7F"/>
              <w:right w:val="single" w:sz="8" w:color="7F7F7F"/>
            </w:tcBorders>
            <w:shd w:val="clear" w:color="auto" w:fill="DAE9F7"/>
          </w:tcPr>
          <w:p>
            <w:pPr>
              <w:spacing w:after="0"/>
              <w:rPr>
                <w:sz w:val="18"/>
                <w:szCs w:val="18"/>
                <w:color w:val="auto"/>
              </w:rPr>
            </w:pPr>
          </w:p>
        </w:tc>
        <w:tc>
          <w:tcPr>
            <w:tcW w:w="760" w:type="dxa"/>
            <w:vAlign w:val="bottom"/>
            <w:tcBorders>
              <w:bottom w:val="single" w:sz="8" w:color="7F7F7F"/>
              <w:right w:val="single" w:sz="8" w:color="7F7F7F"/>
            </w:tcBorders>
            <w:shd w:val="clear" w:color="auto" w:fill="DAE9F7"/>
          </w:tcPr>
          <w:p>
            <w:pPr>
              <w:spacing w:after="0"/>
              <w:rPr>
                <w:sz w:val="18"/>
                <w:szCs w:val="18"/>
                <w:color w:val="auto"/>
              </w:rPr>
            </w:pPr>
          </w:p>
        </w:tc>
        <w:tc>
          <w:tcPr>
            <w:tcW w:w="760" w:type="dxa"/>
            <w:vAlign w:val="bottom"/>
            <w:tcBorders>
              <w:bottom w:val="single" w:sz="8" w:color="7F7F7F"/>
              <w:right w:val="single" w:sz="8" w:color="7F7F7F"/>
            </w:tcBorders>
            <w:shd w:val="clear" w:color="auto" w:fill="DAE9F7"/>
          </w:tcPr>
          <w:p>
            <w:pPr>
              <w:spacing w:after="0"/>
              <w:rPr>
                <w:sz w:val="18"/>
                <w:szCs w:val="18"/>
                <w:color w:val="auto"/>
              </w:rPr>
            </w:pPr>
          </w:p>
        </w:tc>
        <w:tc>
          <w:tcPr>
            <w:tcW w:w="920" w:type="dxa"/>
            <w:vAlign w:val="bottom"/>
            <w:tcBorders>
              <w:bottom w:val="single" w:sz="8" w:color="7F7F7F"/>
              <w:right w:val="single" w:sz="8" w:color="7F7F7F"/>
            </w:tcBorders>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0" w:type="dxa"/>
            <w:vAlign w:val="bottom"/>
          </w:tcPr>
          <w:p>
            <w:pPr>
              <w:spacing w:after="0"/>
              <w:rPr>
                <w:sz w:val="1"/>
                <w:szCs w:val="1"/>
                <w:color w:val="auto"/>
              </w:rPr>
            </w:pPr>
          </w:p>
        </w:tc>
      </w:tr>
      <w:tr>
        <w:trPr>
          <w:trHeight w:val="210"/>
        </w:trPr>
        <w:tc>
          <w:tcPr>
            <w:tcW w:w="920" w:type="dxa"/>
            <w:vAlign w:val="bottom"/>
            <w:tcBorders>
              <w:left w:val="single" w:sz="8" w:color="7F7F7F"/>
              <w:bottom w:val="single" w:sz="8" w:color="7F7F7F"/>
              <w:right w:val="single" w:sz="8" w:color="F2F2F2"/>
            </w:tcBorders>
            <w:shd w:val="clear" w:color="auto" w:fill="F2F2F2"/>
          </w:tcPr>
          <w:p>
            <w:pPr>
              <w:spacing w:after="0"/>
              <w:rPr>
                <w:sz w:val="18"/>
                <w:szCs w:val="18"/>
                <w:color w:val="auto"/>
              </w:rPr>
            </w:pPr>
          </w:p>
        </w:tc>
        <w:tc>
          <w:tcPr>
            <w:tcW w:w="400" w:type="dxa"/>
            <w:vAlign w:val="bottom"/>
            <w:tcBorders>
              <w:bottom w:val="single" w:sz="8" w:color="7F7F7F"/>
              <w:right w:val="single" w:sz="8" w:color="F2F2F2"/>
            </w:tcBorders>
            <w:shd w:val="clear" w:color="auto" w:fill="F2F2F2"/>
          </w:tcPr>
          <w:p>
            <w:pPr>
              <w:spacing w:after="0"/>
              <w:rPr>
                <w:sz w:val="18"/>
                <w:szCs w:val="18"/>
                <w:color w:val="auto"/>
              </w:rPr>
            </w:pPr>
          </w:p>
        </w:tc>
        <w:tc>
          <w:tcPr>
            <w:tcW w:w="640" w:type="dxa"/>
            <w:vAlign w:val="bottom"/>
            <w:tcBorders>
              <w:bottom w:val="single" w:sz="8" w:color="7F7F7F"/>
              <w:right w:val="single" w:sz="8" w:color="F2F2F2"/>
            </w:tcBorders>
            <w:shd w:val="clear" w:color="auto" w:fill="F2F2F2"/>
          </w:tcPr>
          <w:p>
            <w:pPr>
              <w:spacing w:after="0"/>
              <w:rPr>
                <w:sz w:val="18"/>
                <w:szCs w:val="18"/>
                <w:color w:val="auto"/>
              </w:rPr>
            </w:pPr>
          </w:p>
        </w:tc>
        <w:tc>
          <w:tcPr>
            <w:tcW w:w="1060" w:type="dxa"/>
            <w:vAlign w:val="bottom"/>
            <w:tcBorders>
              <w:bottom w:val="single" w:sz="8" w:color="7F7F7F"/>
              <w:right w:val="single" w:sz="8" w:color="F2F2F2"/>
            </w:tcBorders>
            <w:shd w:val="clear" w:color="auto" w:fill="F2F2F2"/>
          </w:tcPr>
          <w:p>
            <w:pPr>
              <w:spacing w:after="0"/>
              <w:rPr>
                <w:sz w:val="18"/>
                <w:szCs w:val="18"/>
                <w:color w:val="auto"/>
              </w:rPr>
            </w:pPr>
          </w:p>
        </w:tc>
        <w:tc>
          <w:tcPr>
            <w:tcW w:w="900" w:type="dxa"/>
            <w:vAlign w:val="bottom"/>
            <w:tcBorders>
              <w:bottom w:val="single" w:sz="8" w:color="7F7F7F"/>
              <w:right w:val="single" w:sz="8" w:color="F2F2F2"/>
            </w:tcBorders>
            <w:shd w:val="clear" w:color="auto" w:fill="F2F2F2"/>
          </w:tcPr>
          <w:p>
            <w:pPr>
              <w:spacing w:after="0"/>
              <w:rPr>
                <w:sz w:val="18"/>
                <w:szCs w:val="18"/>
                <w:color w:val="auto"/>
              </w:rPr>
            </w:pPr>
          </w:p>
        </w:tc>
        <w:tc>
          <w:tcPr>
            <w:tcW w:w="4180" w:type="dxa"/>
            <w:vAlign w:val="bottom"/>
            <w:tcBorders>
              <w:bottom w:val="single" w:sz="8" w:color="7F7F7F"/>
              <w:right w:val="single" w:sz="8" w:color="F2F2F2"/>
            </w:tcBorders>
            <w:gridSpan w:val="5"/>
            <w:shd w:val="clear" w:color="auto" w:fill="F2F2F2"/>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Newly Registered Securities</w:t>
            </w:r>
          </w:p>
        </w:tc>
        <w:tc>
          <w:tcPr>
            <w:tcW w:w="720" w:type="dxa"/>
            <w:vAlign w:val="bottom"/>
            <w:tcBorders>
              <w:bottom w:val="single" w:sz="8" w:color="7F7F7F"/>
              <w:right w:val="single" w:sz="8" w:color="F2F2F2"/>
            </w:tcBorders>
            <w:shd w:val="clear" w:color="auto" w:fill="F2F2F2"/>
          </w:tcPr>
          <w:p>
            <w:pPr>
              <w:spacing w:after="0"/>
              <w:rPr>
                <w:sz w:val="18"/>
                <w:szCs w:val="18"/>
                <w:color w:val="auto"/>
              </w:rPr>
            </w:pPr>
          </w:p>
        </w:tc>
        <w:tc>
          <w:tcPr>
            <w:tcW w:w="760" w:type="dxa"/>
            <w:vAlign w:val="bottom"/>
            <w:tcBorders>
              <w:bottom w:val="single" w:sz="8" w:color="7F7F7F"/>
              <w:right w:val="single" w:sz="8" w:color="F2F2F2"/>
            </w:tcBorders>
            <w:shd w:val="clear" w:color="auto" w:fill="F2F2F2"/>
          </w:tcPr>
          <w:p>
            <w:pPr>
              <w:spacing w:after="0"/>
              <w:rPr>
                <w:sz w:val="18"/>
                <w:szCs w:val="18"/>
                <w:color w:val="auto"/>
              </w:rPr>
            </w:pPr>
          </w:p>
        </w:tc>
        <w:tc>
          <w:tcPr>
            <w:tcW w:w="760" w:type="dxa"/>
            <w:vAlign w:val="bottom"/>
            <w:tcBorders>
              <w:bottom w:val="single" w:sz="8" w:color="7F7F7F"/>
              <w:right w:val="single" w:sz="8" w:color="F2F2F2"/>
            </w:tcBorders>
            <w:shd w:val="clear" w:color="auto" w:fill="F2F2F2"/>
          </w:tcPr>
          <w:p>
            <w:pPr>
              <w:spacing w:after="0"/>
              <w:rPr>
                <w:sz w:val="18"/>
                <w:szCs w:val="18"/>
                <w:color w:val="auto"/>
              </w:rPr>
            </w:pPr>
          </w:p>
        </w:tc>
        <w:tc>
          <w:tcPr>
            <w:tcW w:w="920" w:type="dxa"/>
            <w:vAlign w:val="bottom"/>
            <w:tcBorders>
              <w:bottom w:val="single" w:sz="8" w:color="7F7F7F"/>
              <w:right w:val="single" w:sz="8" w:color="7F7F7F"/>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Borders>
              <w:left w:val="single" w:sz="8" w:color="7F7F7F"/>
              <w:bottom w:val="single" w:sz="8" w:color="7F7F7F"/>
              <w:right w:val="single" w:sz="8" w:color="F2F2F2"/>
            </w:tcBorders>
            <w:shd w:val="clear" w:color="auto" w:fill="F2F2F2"/>
          </w:tcPr>
          <w:p>
            <w:pPr>
              <w:spacing w:after="0"/>
              <w:rPr>
                <w:sz w:val="18"/>
                <w:szCs w:val="18"/>
                <w:color w:val="auto"/>
              </w:rPr>
            </w:pPr>
          </w:p>
        </w:tc>
        <w:tc>
          <w:tcPr>
            <w:tcW w:w="400" w:type="dxa"/>
            <w:vAlign w:val="bottom"/>
            <w:tcBorders>
              <w:bottom w:val="single" w:sz="8" w:color="7F7F7F"/>
              <w:right w:val="single" w:sz="8" w:color="F2F2F2"/>
            </w:tcBorders>
            <w:shd w:val="clear" w:color="auto" w:fill="F2F2F2"/>
          </w:tcPr>
          <w:p>
            <w:pPr>
              <w:spacing w:after="0"/>
              <w:rPr>
                <w:sz w:val="18"/>
                <w:szCs w:val="18"/>
                <w:color w:val="auto"/>
              </w:rPr>
            </w:pPr>
          </w:p>
        </w:tc>
        <w:tc>
          <w:tcPr>
            <w:tcW w:w="640" w:type="dxa"/>
            <w:vAlign w:val="bottom"/>
            <w:tcBorders>
              <w:bottom w:val="single" w:sz="8" w:color="7F7F7F"/>
              <w:right w:val="single" w:sz="8" w:color="F2F2F2"/>
            </w:tcBorders>
            <w:shd w:val="clear" w:color="auto" w:fill="F2F2F2"/>
          </w:tcPr>
          <w:p>
            <w:pPr>
              <w:spacing w:after="0"/>
              <w:rPr>
                <w:sz w:val="18"/>
                <w:szCs w:val="18"/>
                <w:color w:val="auto"/>
              </w:rPr>
            </w:pPr>
          </w:p>
        </w:tc>
        <w:tc>
          <w:tcPr>
            <w:tcW w:w="1060" w:type="dxa"/>
            <w:vAlign w:val="bottom"/>
            <w:tcBorders>
              <w:bottom w:val="single" w:sz="8" w:color="7F7F7F"/>
              <w:right w:val="single" w:sz="8" w:color="F2F2F2"/>
            </w:tcBorders>
            <w:shd w:val="clear" w:color="auto" w:fill="F2F2F2"/>
          </w:tcPr>
          <w:p>
            <w:pPr>
              <w:spacing w:after="0"/>
              <w:rPr>
                <w:sz w:val="18"/>
                <w:szCs w:val="18"/>
                <w:color w:val="auto"/>
              </w:rPr>
            </w:pPr>
          </w:p>
        </w:tc>
        <w:tc>
          <w:tcPr>
            <w:tcW w:w="900" w:type="dxa"/>
            <w:vAlign w:val="bottom"/>
            <w:tcBorders>
              <w:bottom w:val="single" w:sz="8" w:color="7F7F7F"/>
              <w:right w:val="single" w:sz="8" w:color="F2F2F2"/>
            </w:tcBorders>
            <w:shd w:val="clear" w:color="auto" w:fill="F2F2F2"/>
          </w:tcPr>
          <w:p>
            <w:pPr>
              <w:spacing w:after="0"/>
              <w:rPr>
                <w:sz w:val="18"/>
                <w:szCs w:val="18"/>
                <w:color w:val="auto"/>
              </w:rPr>
            </w:pPr>
          </w:p>
        </w:tc>
        <w:tc>
          <w:tcPr>
            <w:tcW w:w="820" w:type="dxa"/>
            <w:vAlign w:val="bottom"/>
            <w:tcBorders>
              <w:bottom w:val="single" w:sz="8" w:color="7F7F7F"/>
              <w:right w:val="single" w:sz="8" w:color="F2F2F2"/>
            </w:tcBorders>
            <w:shd w:val="clear" w:color="auto" w:fill="F2F2F2"/>
          </w:tcPr>
          <w:p>
            <w:pPr>
              <w:spacing w:after="0"/>
              <w:rPr>
                <w:sz w:val="18"/>
                <w:szCs w:val="18"/>
                <w:color w:val="auto"/>
              </w:rPr>
            </w:pPr>
          </w:p>
        </w:tc>
        <w:tc>
          <w:tcPr>
            <w:tcW w:w="3360" w:type="dxa"/>
            <w:vAlign w:val="bottom"/>
            <w:tcBorders>
              <w:bottom w:val="single" w:sz="8" w:color="7F7F7F"/>
              <w:right w:val="single" w:sz="8" w:color="F2F2F2"/>
            </w:tcBorders>
            <w:gridSpan w:val="4"/>
            <w:shd w:val="clear" w:color="auto" w:fill="F2F2F2"/>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Commvault Systems, Inc.</w:t>
            </w:r>
          </w:p>
        </w:tc>
        <w:tc>
          <w:tcPr>
            <w:tcW w:w="720" w:type="dxa"/>
            <w:vAlign w:val="bottom"/>
            <w:tcBorders>
              <w:bottom w:val="single" w:sz="8" w:color="7F7F7F"/>
              <w:right w:val="single" w:sz="8" w:color="F2F2F2"/>
            </w:tcBorders>
            <w:shd w:val="clear" w:color="auto" w:fill="F2F2F2"/>
          </w:tcPr>
          <w:p>
            <w:pPr>
              <w:spacing w:after="0"/>
              <w:rPr>
                <w:sz w:val="18"/>
                <w:szCs w:val="18"/>
                <w:color w:val="auto"/>
              </w:rPr>
            </w:pPr>
          </w:p>
        </w:tc>
        <w:tc>
          <w:tcPr>
            <w:tcW w:w="760" w:type="dxa"/>
            <w:vAlign w:val="bottom"/>
            <w:tcBorders>
              <w:bottom w:val="single" w:sz="8" w:color="7F7F7F"/>
              <w:right w:val="single" w:sz="8" w:color="F2F2F2"/>
            </w:tcBorders>
            <w:shd w:val="clear" w:color="auto" w:fill="F2F2F2"/>
          </w:tcPr>
          <w:p>
            <w:pPr>
              <w:spacing w:after="0"/>
              <w:rPr>
                <w:sz w:val="18"/>
                <w:szCs w:val="18"/>
                <w:color w:val="auto"/>
              </w:rPr>
            </w:pPr>
          </w:p>
        </w:tc>
        <w:tc>
          <w:tcPr>
            <w:tcW w:w="760" w:type="dxa"/>
            <w:vAlign w:val="bottom"/>
            <w:tcBorders>
              <w:bottom w:val="single" w:sz="8" w:color="7F7F7F"/>
              <w:right w:val="single" w:sz="8" w:color="F2F2F2"/>
            </w:tcBorders>
            <w:shd w:val="clear" w:color="auto" w:fill="F2F2F2"/>
          </w:tcPr>
          <w:p>
            <w:pPr>
              <w:spacing w:after="0"/>
              <w:rPr>
                <w:sz w:val="18"/>
                <w:szCs w:val="18"/>
                <w:color w:val="auto"/>
              </w:rPr>
            </w:pPr>
          </w:p>
        </w:tc>
        <w:tc>
          <w:tcPr>
            <w:tcW w:w="920" w:type="dxa"/>
            <w:vAlign w:val="bottom"/>
            <w:tcBorders>
              <w:bottom w:val="single" w:sz="8" w:color="7F7F7F"/>
              <w:right w:val="single" w:sz="8" w:color="7F7F7F"/>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92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Fees to Be</w:t>
            </w:r>
          </w:p>
        </w:tc>
        <w:tc>
          <w:tcPr>
            <w:tcW w:w="400" w:type="dxa"/>
            <w:vAlign w:val="bottom"/>
            <w:tcBorders>
              <w:right w:val="single" w:sz="8" w:color="7F7F7F"/>
            </w:tcBorders>
          </w:tcPr>
          <w:p>
            <w:pPr>
              <w:spacing w:after="0"/>
              <w:rPr>
                <w:sz w:val="13"/>
                <w:szCs w:val="13"/>
                <w:color w:val="auto"/>
              </w:rPr>
            </w:pPr>
          </w:p>
        </w:tc>
        <w:tc>
          <w:tcPr>
            <w:tcW w:w="640" w:type="dxa"/>
            <w:vAlign w:val="bottom"/>
            <w:tcBorders>
              <w:right w:val="single" w:sz="8" w:color="7F7F7F"/>
            </w:tcBorders>
          </w:tcPr>
          <w:p>
            <w:pPr>
              <w:spacing w:after="0"/>
              <w:rPr>
                <w:sz w:val="13"/>
                <w:szCs w:val="13"/>
                <w:color w:val="auto"/>
              </w:rPr>
            </w:pPr>
          </w:p>
        </w:tc>
        <w:tc>
          <w:tcPr>
            <w:tcW w:w="1060" w:type="dxa"/>
            <w:vAlign w:val="bottom"/>
            <w:tcBorders>
              <w:right w:val="single" w:sz="8" w:color="7F7F7F"/>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Common</w:t>
            </w:r>
          </w:p>
        </w:tc>
        <w:tc>
          <w:tcPr>
            <w:tcW w:w="90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tcPr>
          <w:p>
            <w:pPr>
              <w:spacing w:after="0"/>
              <w:rPr>
                <w:sz w:val="13"/>
                <w:szCs w:val="13"/>
                <w:color w:val="auto"/>
              </w:rPr>
            </w:pPr>
          </w:p>
        </w:tc>
        <w:tc>
          <w:tcPr>
            <w:tcW w:w="8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72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7F7F7F"/>
              <w:right w:val="single" w:sz="8" w:color="7F7F7F"/>
            </w:tcBorders>
            <w:vMerge w:val="continue"/>
          </w:tcPr>
          <w:p>
            <w:pPr>
              <w:spacing w:after="0"/>
              <w:rPr>
                <w:sz w:val="7"/>
                <w:szCs w:val="7"/>
                <w:color w:val="auto"/>
              </w:rPr>
            </w:pPr>
          </w:p>
        </w:tc>
        <w:tc>
          <w:tcPr>
            <w:tcW w:w="40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w:t>
            </w:r>
          </w:p>
        </w:tc>
        <w:tc>
          <w:tcPr>
            <w:tcW w:w="64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Equity</w:t>
            </w:r>
          </w:p>
        </w:tc>
        <w:tc>
          <w:tcPr>
            <w:tcW w:w="106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Stock, $0.01</w:t>
            </w:r>
          </w:p>
        </w:tc>
        <w:tc>
          <w:tcPr>
            <w:tcW w:w="90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Rule 457(r)</w:t>
            </w:r>
          </w:p>
        </w:tc>
        <w:tc>
          <w:tcPr>
            <w:tcW w:w="820" w:type="dxa"/>
            <w:vAlign w:val="bottom"/>
            <w:tcBorders>
              <w:right w:val="single" w:sz="8" w:color="7F7F7F"/>
            </w:tcBorders>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0.0000870</w:t>
            </w:r>
          </w:p>
        </w:tc>
        <w:tc>
          <w:tcPr>
            <w:tcW w:w="920" w:type="dxa"/>
            <w:vAlign w:val="bottom"/>
            <w:tcBorders>
              <w:right w:val="single" w:sz="8" w:color="7F7F7F"/>
            </w:tcBorders>
          </w:tcPr>
          <w:p>
            <w:pPr>
              <w:spacing w:after="0"/>
              <w:rPr>
                <w:sz w:val="7"/>
                <w:szCs w:val="7"/>
                <w:color w:val="auto"/>
              </w:rPr>
            </w:pPr>
          </w:p>
        </w:tc>
        <w:tc>
          <w:tcPr>
            <w:tcW w:w="72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Paid</w:t>
            </w:r>
          </w:p>
        </w:tc>
        <w:tc>
          <w:tcPr>
            <w:tcW w:w="400" w:type="dxa"/>
            <w:vAlign w:val="bottom"/>
            <w:tcBorders>
              <w:right w:val="single" w:sz="8" w:color="7F7F7F"/>
            </w:tcBorders>
            <w:vMerge w:val="continue"/>
          </w:tcPr>
          <w:p>
            <w:pPr>
              <w:spacing w:after="0"/>
              <w:rPr>
                <w:sz w:val="7"/>
                <w:szCs w:val="7"/>
                <w:color w:val="auto"/>
              </w:rPr>
            </w:pPr>
          </w:p>
        </w:tc>
        <w:tc>
          <w:tcPr>
            <w:tcW w:w="640" w:type="dxa"/>
            <w:vAlign w:val="bottom"/>
            <w:tcBorders>
              <w:right w:val="single" w:sz="8" w:color="7F7F7F"/>
            </w:tcBorders>
            <w:vMerge w:val="continue"/>
          </w:tcPr>
          <w:p>
            <w:pPr>
              <w:spacing w:after="0"/>
              <w:rPr>
                <w:sz w:val="7"/>
                <w:szCs w:val="7"/>
                <w:color w:val="auto"/>
              </w:rPr>
            </w:pPr>
          </w:p>
        </w:tc>
        <w:tc>
          <w:tcPr>
            <w:tcW w:w="1060" w:type="dxa"/>
            <w:vAlign w:val="bottom"/>
            <w:tcBorders>
              <w:right w:val="single" w:sz="8" w:color="7F7F7F"/>
            </w:tcBorders>
            <w:vMerge w:val="continue"/>
          </w:tcPr>
          <w:p>
            <w:pPr>
              <w:spacing w:after="0"/>
              <w:rPr>
                <w:sz w:val="7"/>
                <w:szCs w:val="7"/>
                <w:color w:val="auto"/>
              </w:rPr>
            </w:pPr>
          </w:p>
        </w:tc>
        <w:tc>
          <w:tcPr>
            <w:tcW w:w="900" w:type="dxa"/>
            <w:vAlign w:val="bottom"/>
            <w:tcBorders>
              <w:right w:val="single" w:sz="8" w:color="7F7F7F"/>
            </w:tcBorders>
            <w:vMerge w:val="continue"/>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vMerge w:val="continue"/>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72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920" w:type="dxa"/>
            <w:vAlign w:val="bottom"/>
            <w:tcBorders>
              <w:left w:val="single" w:sz="8" w:color="7F7F7F"/>
              <w:right w:val="single" w:sz="8" w:color="7F7F7F"/>
            </w:tcBorders>
            <w:vMerge w:val="continue"/>
          </w:tcPr>
          <w:p>
            <w:pPr>
              <w:spacing w:after="0"/>
              <w:rPr>
                <w:sz w:val="11"/>
                <w:szCs w:val="11"/>
                <w:color w:val="auto"/>
              </w:rPr>
            </w:pPr>
          </w:p>
        </w:tc>
        <w:tc>
          <w:tcPr>
            <w:tcW w:w="400" w:type="dxa"/>
            <w:vAlign w:val="bottom"/>
            <w:tcBorders>
              <w:right w:val="single" w:sz="8" w:color="7F7F7F"/>
            </w:tcBorders>
          </w:tcPr>
          <w:p>
            <w:pPr>
              <w:spacing w:after="0"/>
              <w:rPr>
                <w:sz w:val="11"/>
                <w:szCs w:val="11"/>
                <w:color w:val="auto"/>
              </w:rPr>
            </w:pPr>
          </w:p>
        </w:tc>
        <w:tc>
          <w:tcPr>
            <w:tcW w:w="640" w:type="dxa"/>
            <w:vAlign w:val="bottom"/>
            <w:tcBorders>
              <w:right w:val="single" w:sz="8" w:color="7F7F7F"/>
            </w:tcBorders>
          </w:tcPr>
          <w:p>
            <w:pPr>
              <w:spacing w:after="0"/>
              <w:rPr>
                <w:sz w:val="11"/>
                <w:szCs w:val="11"/>
                <w:color w:val="auto"/>
              </w:rPr>
            </w:pPr>
          </w:p>
        </w:tc>
        <w:tc>
          <w:tcPr>
            <w:tcW w:w="10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par value</w:t>
            </w:r>
          </w:p>
        </w:tc>
        <w:tc>
          <w:tcPr>
            <w:tcW w:w="90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72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7F7F7F"/>
              <w:bottom w:val="single" w:sz="8" w:color="7F7F7F"/>
              <w:right w:val="single" w:sz="8" w:color="7F7F7F"/>
            </w:tcBorders>
          </w:tcPr>
          <w:p>
            <w:pPr>
              <w:spacing w:after="0"/>
              <w:rPr>
                <w:sz w:val="7"/>
                <w:szCs w:val="7"/>
                <w:color w:val="auto"/>
              </w:rPr>
            </w:pPr>
          </w:p>
        </w:tc>
        <w:tc>
          <w:tcPr>
            <w:tcW w:w="400" w:type="dxa"/>
            <w:vAlign w:val="bottom"/>
            <w:tcBorders>
              <w:bottom w:val="single" w:sz="8" w:color="7F7F7F"/>
              <w:right w:val="single" w:sz="8" w:color="7F7F7F"/>
            </w:tcBorders>
          </w:tcPr>
          <w:p>
            <w:pPr>
              <w:spacing w:after="0"/>
              <w:rPr>
                <w:sz w:val="7"/>
                <w:szCs w:val="7"/>
                <w:color w:val="auto"/>
              </w:rPr>
            </w:pPr>
          </w:p>
        </w:tc>
        <w:tc>
          <w:tcPr>
            <w:tcW w:w="640" w:type="dxa"/>
            <w:vAlign w:val="bottom"/>
            <w:tcBorders>
              <w:bottom w:val="single" w:sz="8" w:color="7F7F7F"/>
              <w:right w:val="single" w:sz="8" w:color="7F7F7F"/>
            </w:tcBorders>
          </w:tcPr>
          <w:p>
            <w:pPr>
              <w:spacing w:after="0"/>
              <w:rPr>
                <w:sz w:val="7"/>
                <w:szCs w:val="7"/>
                <w:color w:val="auto"/>
              </w:rPr>
            </w:pPr>
          </w:p>
        </w:tc>
        <w:tc>
          <w:tcPr>
            <w:tcW w:w="1060" w:type="dxa"/>
            <w:vAlign w:val="bottom"/>
            <w:tcBorders>
              <w:bottom w:val="single" w:sz="8" w:color="7F7F7F"/>
              <w:right w:val="single" w:sz="8" w:color="7F7F7F"/>
            </w:tcBorders>
            <w:vMerge w:val="continue"/>
          </w:tcPr>
          <w:p>
            <w:pPr>
              <w:spacing w:after="0"/>
              <w:rPr>
                <w:sz w:val="7"/>
                <w:szCs w:val="7"/>
                <w:color w:val="auto"/>
              </w:rPr>
            </w:pPr>
          </w:p>
        </w:tc>
        <w:tc>
          <w:tcPr>
            <w:tcW w:w="90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86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920" w:type="dxa"/>
            <w:vAlign w:val="bottom"/>
            <w:tcBorders>
              <w:bottom w:val="single" w:sz="8" w:color="7F7F7F"/>
              <w:right w:val="single" w:sz="8" w:color="7F7F7F"/>
            </w:tcBorders>
          </w:tcPr>
          <w:p>
            <w:pPr>
              <w:spacing w:after="0"/>
              <w:rPr>
                <w:sz w:val="7"/>
                <w:szCs w:val="7"/>
                <w:color w:val="auto"/>
              </w:rPr>
            </w:pPr>
          </w:p>
        </w:tc>
        <w:tc>
          <w:tcPr>
            <w:tcW w:w="72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92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92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Fees to Be</w:t>
            </w:r>
          </w:p>
        </w:tc>
        <w:tc>
          <w:tcPr>
            <w:tcW w:w="400" w:type="dxa"/>
            <w:vAlign w:val="bottom"/>
            <w:tcBorders>
              <w:right w:val="single" w:sz="8" w:color="7F7F7F"/>
            </w:tcBorders>
          </w:tcPr>
          <w:p>
            <w:pPr>
              <w:spacing w:after="0"/>
              <w:rPr>
                <w:sz w:val="13"/>
                <w:szCs w:val="13"/>
                <w:color w:val="auto"/>
              </w:rPr>
            </w:pPr>
          </w:p>
        </w:tc>
        <w:tc>
          <w:tcPr>
            <w:tcW w:w="640" w:type="dxa"/>
            <w:vAlign w:val="bottom"/>
            <w:tcBorders>
              <w:right w:val="single" w:sz="8" w:color="7F7F7F"/>
            </w:tcBorders>
          </w:tcPr>
          <w:p>
            <w:pPr>
              <w:spacing w:after="0"/>
              <w:rPr>
                <w:sz w:val="13"/>
                <w:szCs w:val="13"/>
                <w:color w:val="auto"/>
              </w:rPr>
            </w:pPr>
          </w:p>
        </w:tc>
        <w:tc>
          <w:tcPr>
            <w:tcW w:w="1060" w:type="dxa"/>
            <w:vAlign w:val="bottom"/>
            <w:tcBorders>
              <w:right w:val="single" w:sz="8" w:color="7F7F7F"/>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Preferred</w:t>
            </w:r>
          </w:p>
        </w:tc>
        <w:tc>
          <w:tcPr>
            <w:tcW w:w="90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tcPr>
          <w:p>
            <w:pPr>
              <w:spacing w:after="0"/>
              <w:rPr>
                <w:sz w:val="13"/>
                <w:szCs w:val="13"/>
                <w:color w:val="auto"/>
              </w:rPr>
            </w:pPr>
          </w:p>
        </w:tc>
        <w:tc>
          <w:tcPr>
            <w:tcW w:w="8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72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7F7F7F"/>
              <w:right w:val="single" w:sz="8" w:color="7F7F7F"/>
            </w:tcBorders>
            <w:vMerge w:val="continue"/>
          </w:tcPr>
          <w:p>
            <w:pPr>
              <w:spacing w:after="0"/>
              <w:rPr>
                <w:sz w:val="7"/>
                <w:szCs w:val="7"/>
                <w:color w:val="auto"/>
              </w:rPr>
            </w:pPr>
          </w:p>
        </w:tc>
        <w:tc>
          <w:tcPr>
            <w:tcW w:w="40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w:t>
            </w:r>
          </w:p>
        </w:tc>
        <w:tc>
          <w:tcPr>
            <w:tcW w:w="64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Equity</w:t>
            </w:r>
          </w:p>
        </w:tc>
        <w:tc>
          <w:tcPr>
            <w:tcW w:w="106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Stock, $0.01</w:t>
            </w:r>
          </w:p>
        </w:tc>
        <w:tc>
          <w:tcPr>
            <w:tcW w:w="90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Rule 457(r)</w:t>
            </w:r>
          </w:p>
        </w:tc>
        <w:tc>
          <w:tcPr>
            <w:tcW w:w="820" w:type="dxa"/>
            <w:vAlign w:val="bottom"/>
            <w:tcBorders>
              <w:right w:val="single" w:sz="8" w:color="7F7F7F"/>
            </w:tcBorders>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0.0000870</w:t>
            </w:r>
          </w:p>
        </w:tc>
        <w:tc>
          <w:tcPr>
            <w:tcW w:w="920" w:type="dxa"/>
            <w:vAlign w:val="bottom"/>
            <w:tcBorders>
              <w:right w:val="single" w:sz="8" w:color="7F7F7F"/>
            </w:tcBorders>
          </w:tcPr>
          <w:p>
            <w:pPr>
              <w:spacing w:after="0"/>
              <w:rPr>
                <w:sz w:val="7"/>
                <w:szCs w:val="7"/>
                <w:color w:val="auto"/>
              </w:rPr>
            </w:pPr>
          </w:p>
        </w:tc>
        <w:tc>
          <w:tcPr>
            <w:tcW w:w="72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Paid</w:t>
            </w:r>
          </w:p>
        </w:tc>
        <w:tc>
          <w:tcPr>
            <w:tcW w:w="400" w:type="dxa"/>
            <w:vAlign w:val="bottom"/>
            <w:tcBorders>
              <w:right w:val="single" w:sz="8" w:color="7F7F7F"/>
            </w:tcBorders>
            <w:vMerge w:val="continue"/>
          </w:tcPr>
          <w:p>
            <w:pPr>
              <w:spacing w:after="0"/>
              <w:rPr>
                <w:sz w:val="7"/>
                <w:szCs w:val="7"/>
                <w:color w:val="auto"/>
              </w:rPr>
            </w:pPr>
          </w:p>
        </w:tc>
        <w:tc>
          <w:tcPr>
            <w:tcW w:w="640" w:type="dxa"/>
            <w:vAlign w:val="bottom"/>
            <w:tcBorders>
              <w:right w:val="single" w:sz="8" w:color="7F7F7F"/>
            </w:tcBorders>
            <w:vMerge w:val="continue"/>
          </w:tcPr>
          <w:p>
            <w:pPr>
              <w:spacing w:after="0"/>
              <w:rPr>
                <w:sz w:val="7"/>
                <w:szCs w:val="7"/>
                <w:color w:val="auto"/>
              </w:rPr>
            </w:pPr>
          </w:p>
        </w:tc>
        <w:tc>
          <w:tcPr>
            <w:tcW w:w="1060" w:type="dxa"/>
            <w:vAlign w:val="bottom"/>
            <w:tcBorders>
              <w:right w:val="single" w:sz="8" w:color="7F7F7F"/>
            </w:tcBorders>
            <w:vMerge w:val="continue"/>
          </w:tcPr>
          <w:p>
            <w:pPr>
              <w:spacing w:after="0"/>
              <w:rPr>
                <w:sz w:val="7"/>
                <w:szCs w:val="7"/>
                <w:color w:val="auto"/>
              </w:rPr>
            </w:pPr>
          </w:p>
        </w:tc>
        <w:tc>
          <w:tcPr>
            <w:tcW w:w="900" w:type="dxa"/>
            <w:vAlign w:val="bottom"/>
            <w:tcBorders>
              <w:right w:val="single" w:sz="8" w:color="7F7F7F"/>
            </w:tcBorders>
            <w:vMerge w:val="continue"/>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vMerge w:val="continue"/>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72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920" w:type="dxa"/>
            <w:vAlign w:val="bottom"/>
            <w:tcBorders>
              <w:left w:val="single" w:sz="8" w:color="7F7F7F"/>
              <w:right w:val="single" w:sz="8" w:color="7F7F7F"/>
            </w:tcBorders>
            <w:vMerge w:val="continue"/>
          </w:tcPr>
          <w:p>
            <w:pPr>
              <w:spacing w:after="0"/>
              <w:rPr>
                <w:sz w:val="11"/>
                <w:szCs w:val="11"/>
                <w:color w:val="auto"/>
              </w:rPr>
            </w:pPr>
          </w:p>
        </w:tc>
        <w:tc>
          <w:tcPr>
            <w:tcW w:w="400" w:type="dxa"/>
            <w:vAlign w:val="bottom"/>
            <w:tcBorders>
              <w:right w:val="single" w:sz="8" w:color="7F7F7F"/>
            </w:tcBorders>
          </w:tcPr>
          <w:p>
            <w:pPr>
              <w:spacing w:after="0"/>
              <w:rPr>
                <w:sz w:val="11"/>
                <w:szCs w:val="11"/>
                <w:color w:val="auto"/>
              </w:rPr>
            </w:pPr>
          </w:p>
        </w:tc>
        <w:tc>
          <w:tcPr>
            <w:tcW w:w="640" w:type="dxa"/>
            <w:vAlign w:val="bottom"/>
            <w:tcBorders>
              <w:right w:val="single" w:sz="8" w:color="7F7F7F"/>
            </w:tcBorders>
          </w:tcPr>
          <w:p>
            <w:pPr>
              <w:spacing w:after="0"/>
              <w:rPr>
                <w:sz w:val="11"/>
                <w:szCs w:val="11"/>
                <w:color w:val="auto"/>
              </w:rPr>
            </w:pPr>
          </w:p>
        </w:tc>
        <w:tc>
          <w:tcPr>
            <w:tcW w:w="10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par value</w:t>
            </w:r>
          </w:p>
        </w:tc>
        <w:tc>
          <w:tcPr>
            <w:tcW w:w="90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72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7F7F7F"/>
              <w:bottom w:val="single" w:sz="8" w:color="7F7F7F"/>
              <w:right w:val="single" w:sz="8" w:color="7F7F7F"/>
            </w:tcBorders>
          </w:tcPr>
          <w:p>
            <w:pPr>
              <w:spacing w:after="0"/>
              <w:rPr>
                <w:sz w:val="7"/>
                <w:szCs w:val="7"/>
                <w:color w:val="auto"/>
              </w:rPr>
            </w:pPr>
          </w:p>
        </w:tc>
        <w:tc>
          <w:tcPr>
            <w:tcW w:w="400" w:type="dxa"/>
            <w:vAlign w:val="bottom"/>
            <w:tcBorders>
              <w:bottom w:val="single" w:sz="8" w:color="7F7F7F"/>
              <w:right w:val="single" w:sz="8" w:color="7F7F7F"/>
            </w:tcBorders>
          </w:tcPr>
          <w:p>
            <w:pPr>
              <w:spacing w:after="0"/>
              <w:rPr>
                <w:sz w:val="7"/>
                <w:szCs w:val="7"/>
                <w:color w:val="auto"/>
              </w:rPr>
            </w:pPr>
          </w:p>
        </w:tc>
        <w:tc>
          <w:tcPr>
            <w:tcW w:w="640" w:type="dxa"/>
            <w:vAlign w:val="bottom"/>
            <w:tcBorders>
              <w:bottom w:val="single" w:sz="8" w:color="7F7F7F"/>
              <w:right w:val="single" w:sz="8" w:color="7F7F7F"/>
            </w:tcBorders>
          </w:tcPr>
          <w:p>
            <w:pPr>
              <w:spacing w:after="0"/>
              <w:rPr>
                <w:sz w:val="7"/>
                <w:szCs w:val="7"/>
                <w:color w:val="auto"/>
              </w:rPr>
            </w:pPr>
          </w:p>
        </w:tc>
        <w:tc>
          <w:tcPr>
            <w:tcW w:w="1060" w:type="dxa"/>
            <w:vAlign w:val="bottom"/>
            <w:tcBorders>
              <w:bottom w:val="single" w:sz="8" w:color="7F7F7F"/>
              <w:right w:val="single" w:sz="8" w:color="7F7F7F"/>
            </w:tcBorders>
            <w:vMerge w:val="continue"/>
          </w:tcPr>
          <w:p>
            <w:pPr>
              <w:spacing w:after="0"/>
              <w:rPr>
                <w:sz w:val="7"/>
                <w:szCs w:val="7"/>
                <w:color w:val="auto"/>
              </w:rPr>
            </w:pPr>
          </w:p>
        </w:tc>
        <w:tc>
          <w:tcPr>
            <w:tcW w:w="90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86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920" w:type="dxa"/>
            <w:vAlign w:val="bottom"/>
            <w:tcBorders>
              <w:bottom w:val="single" w:sz="8" w:color="7F7F7F"/>
              <w:right w:val="single" w:sz="8" w:color="7F7F7F"/>
            </w:tcBorders>
          </w:tcPr>
          <w:p>
            <w:pPr>
              <w:spacing w:after="0"/>
              <w:rPr>
                <w:sz w:val="7"/>
                <w:szCs w:val="7"/>
                <w:color w:val="auto"/>
              </w:rPr>
            </w:pPr>
          </w:p>
        </w:tc>
        <w:tc>
          <w:tcPr>
            <w:tcW w:w="72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92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920" w:type="dxa"/>
            <w:vAlign w:val="bottom"/>
            <w:tcBorders>
              <w:left w:val="single" w:sz="8" w:color="7F7F7F"/>
              <w:right w:val="single" w:sz="8" w:color="7F7F7F"/>
            </w:tcBorders>
          </w:tcPr>
          <w:p>
            <w:pPr>
              <w:spacing w:after="0"/>
              <w:rPr>
                <w:sz w:val="13"/>
                <w:szCs w:val="13"/>
                <w:color w:val="auto"/>
              </w:rPr>
            </w:pPr>
          </w:p>
        </w:tc>
        <w:tc>
          <w:tcPr>
            <w:tcW w:w="400" w:type="dxa"/>
            <w:vAlign w:val="bottom"/>
            <w:tcBorders>
              <w:right w:val="single" w:sz="8" w:color="7F7F7F"/>
            </w:tcBorders>
          </w:tcPr>
          <w:p>
            <w:pPr>
              <w:spacing w:after="0"/>
              <w:rPr>
                <w:sz w:val="13"/>
                <w:szCs w:val="13"/>
                <w:color w:val="auto"/>
              </w:rPr>
            </w:pPr>
          </w:p>
        </w:tc>
        <w:tc>
          <w:tcPr>
            <w:tcW w:w="640" w:type="dxa"/>
            <w:vAlign w:val="bottom"/>
            <w:tcBorders>
              <w:right w:val="single" w:sz="8" w:color="7F7F7F"/>
            </w:tcBorders>
          </w:tcPr>
          <w:p>
            <w:pPr>
              <w:spacing w:after="0"/>
              <w:rPr>
                <w:sz w:val="13"/>
                <w:szCs w:val="13"/>
                <w:color w:val="auto"/>
              </w:rPr>
            </w:pPr>
          </w:p>
        </w:tc>
        <w:tc>
          <w:tcPr>
            <w:tcW w:w="1060" w:type="dxa"/>
            <w:vAlign w:val="bottom"/>
            <w:tcBorders>
              <w:right w:val="single" w:sz="8" w:color="7F7F7F"/>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Depositary</w:t>
            </w:r>
          </w:p>
        </w:tc>
        <w:tc>
          <w:tcPr>
            <w:tcW w:w="90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tcPr>
          <w:p>
            <w:pPr>
              <w:spacing w:after="0"/>
              <w:rPr>
                <w:sz w:val="13"/>
                <w:szCs w:val="13"/>
                <w:color w:val="auto"/>
              </w:rPr>
            </w:pPr>
          </w:p>
        </w:tc>
        <w:tc>
          <w:tcPr>
            <w:tcW w:w="8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72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Fees to Be</w:t>
            </w:r>
          </w:p>
        </w:tc>
        <w:tc>
          <w:tcPr>
            <w:tcW w:w="400" w:type="dxa"/>
            <w:vAlign w:val="bottom"/>
            <w:tcBorders>
              <w:right w:val="single" w:sz="8" w:color="7F7F7F"/>
            </w:tcBorders>
          </w:tcPr>
          <w:p>
            <w:pPr>
              <w:spacing w:after="0"/>
              <w:rPr>
                <w:sz w:val="14"/>
                <w:szCs w:val="14"/>
                <w:color w:val="auto"/>
              </w:rPr>
            </w:pPr>
          </w:p>
        </w:tc>
        <w:tc>
          <w:tcPr>
            <w:tcW w:w="640" w:type="dxa"/>
            <w:vAlign w:val="bottom"/>
            <w:tcBorders>
              <w:right w:val="single" w:sz="8" w:color="7F7F7F"/>
            </w:tcBorders>
          </w:tcPr>
          <w:p>
            <w:pPr>
              <w:spacing w:after="0"/>
              <w:rPr>
                <w:sz w:val="14"/>
                <w:szCs w:val="14"/>
                <w:color w:val="auto"/>
              </w:rPr>
            </w:pPr>
          </w:p>
        </w:tc>
        <w:tc>
          <w:tcPr>
            <w:tcW w:w="1060" w:type="dxa"/>
            <w:vAlign w:val="bottom"/>
            <w:tcBorders>
              <w:right w:val="single" w:sz="8" w:color="7F7F7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w:t>
            </w:r>
          </w:p>
        </w:tc>
        <w:tc>
          <w:tcPr>
            <w:tcW w:w="900" w:type="dxa"/>
            <w:vAlign w:val="bottom"/>
            <w:tcBorders>
              <w:right w:val="single" w:sz="8" w:color="7F7F7F"/>
            </w:tcBorders>
          </w:tcPr>
          <w:p>
            <w:pPr>
              <w:spacing w:after="0"/>
              <w:rPr>
                <w:sz w:val="14"/>
                <w:szCs w:val="14"/>
                <w:color w:val="auto"/>
              </w:rPr>
            </w:pPr>
          </w:p>
        </w:tc>
        <w:tc>
          <w:tcPr>
            <w:tcW w:w="820" w:type="dxa"/>
            <w:vAlign w:val="bottom"/>
            <w:tcBorders>
              <w:right w:val="single" w:sz="8" w:color="7F7F7F"/>
            </w:tcBorders>
          </w:tcPr>
          <w:p>
            <w:pPr>
              <w:spacing w:after="0"/>
              <w:rPr>
                <w:sz w:val="14"/>
                <w:szCs w:val="14"/>
                <w:color w:val="auto"/>
              </w:rPr>
            </w:pPr>
          </w:p>
        </w:tc>
        <w:tc>
          <w:tcPr>
            <w:tcW w:w="820" w:type="dxa"/>
            <w:vAlign w:val="bottom"/>
            <w:tcBorders>
              <w:right w:val="single" w:sz="8" w:color="7F7F7F"/>
            </w:tcBorders>
          </w:tcPr>
          <w:p>
            <w:pPr>
              <w:spacing w:after="0"/>
              <w:rPr>
                <w:sz w:val="14"/>
                <w:szCs w:val="14"/>
                <w:color w:val="auto"/>
              </w:rPr>
            </w:pPr>
          </w:p>
        </w:tc>
        <w:tc>
          <w:tcPr>
            <w:tcW w:w="860" w:type="dxa"/>
            <w:vAlign w:val="bottom"/>
            <w:tcBorders>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920" w:type="dxa"/>
            <w:vAlign w:val="bottom"/>
            <w:tcBorders>
              <w:right w:val="single" w:sz="8" w:color="7F7F7F"/>
            </w:tcBorders>
          </w:tcPr>
          <w:p>
            <w:pPr>
              <w:spacing w:after="0"/>
              <w:rPr>
                <w:sz w:val="14"/>
                <w:szCs w:val="14"/>
                <w:color w:val="auto"/>
              </w:rPr>
            </w:pPr>
          </w:p>
        </w:tc>
        <w:tc>
          <w:tcPr>
            <w:tcW w:w="720" w:type="dxa"/>
            <w:vAlign w:val="bottom"/>
            <w:tcBorders>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92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7F7F7F"/>
              <w:right w:val="single" w:sz="8" w:color="7F7F7F"/>
            </w:tcBorders>
            <w:vMerge w:val="continue"/>
          </w:tcPr>
          <w:p>
            <w:pPr>
              <w:spacing w:after="0"/>
              <w:rPr>
                <w:sz w:val="7"/>
                <w:szCs w:val="7"/>
                <w:color w:val="auto"/>
              </w:rPr>
            </w:pPr>
          </w:p>
        </w:tc>
        <w:tc>
          <w:tcPr>
            <w:tcW w:w="40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3</w:t>
            </w:r>
          </w:p>
        </w:tc>
        <w:tc>
          <w:tcPr>
            <w:tcW w:w="64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Equity</w:t>
            </w:r>
          </w:p>
        </w:tc>
        <w:tc>
          <w:tcPr>
            <w:tcW w:w="106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representing</w:t>
            </w:r>
          </w:p>
        </w:tc>
        <w:tc>
          <w:tcPr>
            <w:tcW w:w="90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Rule 457(r)</w:t>
            </w:r>
          </w:p>
        </w:tc>
        <w:tc>
          <w:tcPr>
            <w:tcW w:w="820" w:type="dxa"/>
            <w:vAlign w:val="bottom"/>
            <w:tcBorders>
              <w:right w:val="single" w:sz="8" w:color="7F7F7F"/>
            </w:tcBorders>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0.0000870</w:t>
            </w:r>
          </w:p>
        </w:tc>
        <w:tc>
          <w:tcPr>
            <w:tcW w:w="920" w:type="dxa"/>
            <w:vAlign w:val="bottom"/>
            <w:tcBorders>
              <w:right w:val="single" w:sz="8" w:color="7F7F7F"/>
            </w:tcBorders>
          </w:tcPr>
          <w:p>
            <w:pPr>
              <w:spacing w:after="0"/>
              <w:rPr>
                <w:sz w:val="7"/>
                <w:szCs w:val="7"/>
                <w:color w:val="auto"/>
              </w:rPr>
            </w:pPr>
          </w:p>
        </w:tc>
        <w:tc>
          <w:tcPr>
            <w:tcW w:w="72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Paid</w:t>
            </w:r>
          </w:p>
        </w:tc>
        <w:tc>
          <w:tcPr>
            <w:tcW w:w="400" w:type="dxa"/>
            <w:vAlign w:val="bottom"/>
            <w:tcBorders>
              <w:right w:val="single" w:sz="8" w:color="7F7F7F"/>
            </w:tcBorders>
            <w:vMerge w:val="continue"/>
          </w:tcPr>
          <w:p>
            <w:pPr>
              <w:spacing w:after="0"/>
              <w:rPr>
                <w:sz w:val="7"/>
                <w:szCs w:val="7"/>
                <w:color w:val="auto"/>
              </w:rPr>
            </w:pPr>
          </w:p>
        </w:tc>
        <w:tc>
          <w:tcPr>
            <w:tcW w:w="640" w:type="dxa"/>
            <w:vAlign w:val="bottom"/>
            <w:tcBorders>
              <w:right w:val="single" w:sz="8" w:color="7F7F7F"/>
            </w:tcBorders>
            <w:vMerge w:val="continue"/>
          </w:tcPr>
          <w:p>
            <w:pPr>
              <w:spacing w:after="0"/>
              <w:rPr>
                <w:sz w:val="7"/>
                <w:szCs w:val="7"/>
                <w:color w:val="auto"/>
              </w:rPr>
            </w:pPr>
          </w:p>
        </w:tc>
        <w:tc>
          <w:tcPr>
            <w:tcW w:w="1060" w:type="dxa"/>
            <w:vAlign w:val="bottom"/>
            <w:tcBorders>
              <w:right w:val="single" w:sz="8" w:color="7F7F7F"/>
            </w:tcBorders>
            <w:vMerge w:val="continue"/>
          </w:tcPr>
          <w:p>
            <w:pPr>
              <w:spacing w:after="0"/>
              <w:rPr>
                <w:sz w:val="7"/>
                <w:szCs w:val="7"/>
                <w:color w:val="auto"/>
              </w:rPr>
            </w:pPr>
          </w:p>
        </w:tc>
        <w:tc>
          <w:tcPr>
            <w:tcW w:w="900" w:type="dxa"/>
            <w:vAlign w:val="bottom"/>
            <w:tcBorders>
              <w:right w:val="single" w:sz="8" w:color="7F7F7F"/>
            </w:tcBorders>
            <w:vMerge w:val="continue"/>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8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vMerge w:val="continue"/>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72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760" w:type="dxa"/>
            <w:vAlign w:val="bottom"/>
            <w:tcBorders>
              <w:right w:val="single" w:sz="8" w:color="7F7F7F"/>
            </w:tcBorders>
          </w:tcPr>
          <w:p>
            <w:pPr>
              <w:spacing w:after="0"/>
              <w:rPr>
                <w:sz w:val="7"/>
                <w:szCs w:val="7"/>
                <w:color w:val="auto"/>
              </w:rPr>
            </w:pPr>
          </w:p>
        </w:tc>
        <w:tc>
          <w:tcPr>
            <w:tcW w:w="92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920" w:type="dxa"/>
            <w:vAlign w:val="bottom"/>
            <w:tcBorders>
              <w:left w:val="single" w:sz="8" w:color="7F7F7F"/>
              <w:right w:val="single" w:sz="8" w:color="7F7F7F"/>
            </w:tcBorders>
            <w:vMerge w:val="continue"/>
          </w:tcPr>
          <w:p>
            <w:pPr>
              <w:spacing w:after="0"/>
              <w:rPr>
                <w:sz w:val="11"/>
                <w:szCs w:val="11"/>
                <w:color w:val="auto"/>
              </w:rPr>
            </w:pPr>
          </w:p>
        </w:tc>
        <w:tc>
          <w:tcPr>
            <w:tcW w:w="400" w:type="dxa"/>
            <w:vAlign w:val="bottom"/>
            <w:tcBorders>
              <w:right w:val="single" w:sz="8" w:color="7F7F7F"/>
            </w:tcBorders>
          </w:tcPr>
          <w:p>
            <w:pPr>
              <w:spacing w:after="0"/>
              <w:rPr>
                <w:sz w:val="11"/>
                <w:szCs w:val="11"/>
                <w:color w:val="auto"/>
              </w:rPr>
            </w:pPr>
          </w:p>
        </w:tc>
        <w:tc>
          <w:tcPr>
            <w:tcW w:w="640" w:type="dxa"/>
            <w:vAlign w:val="bottom"/>
            <w:tcBorders>
              <w:right w:val="single" w:sz="8" w:color="7F7F7F"/>
            </w:tcBorders>
          </w:tcPr>
          <w:p>
            <w:pPr>
              <w:spacing w:after="0"/>
              <w:rPr>
                <w:sz w:val="11"/>
                <w:szCs w:val="11"/>
                <w:color w:val="auto"/>
              </w:rPr>
            </w:pPr>
          </w:p>
        </w:tc>
        <w:tc>
          <w:tcPr>
            <w:tcW w:w="1060" w:type="dxa"/>
            <w:vAlign w:val="bottom"/>
            <w:tcBorders>
              <w:right w:val="single" w:sz="8" w:color="7F7F7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Preferred</w:t>
            </w:r>
          </w:p>
        </w:tc>
        <w:tc>
          <w:tcPr>
            <w:tcW w:w="90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72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920" w:type="dxa"/>
            <w:vAlign w:val="bottom"/>
            <w:tcBorders>
              <w:left w:val="single" w:sz="8" w:color="7F7F7F"/>
              <w:right w:val="single" w:sz="8" w:color="7F7F7F"/>
            </w:tcBorders>
          </w:tcPr>
          <w:p>
            <w:pPr>
              <w:spacing w:after="0"/>
              <w:rPr>
                <w:sz w:val="2"/>
                <w:szCs w:val="2"/>
                <w:color w:val="auto"/>
              </w:rPr>
            </w:pPr>
          </w:p>
        </w:tc>
        <w:tc>
          <w:tcPr>
            <w:tcW w:w="400" w:type="dxa"/>
            <w:vAlign w:val="bottom"/>
            <w:tcBorders>
              <w:right w:val="single" w:sz="8" w:color="7F7F7F"/>
            </w:tcBorders>
          </w:tcPr>
          <w:p>
            <w:pPr>
              <w:spacing w:after="0"/>
              <w:rPr>
                <w:sz w:val="2"/>
                <w:szCs w:val="2"/>
                <w:color w:val="auto"/>
              </w:rPr>
            </w:pPr>
          </w:p>
        </w:tc>
        <w:tc>
          <w:tcPr>
            <w:tcW w:w="640" w:type="dxa"/>
            <w:vAlign w:val="bottom"/>
            <w:tcBorders>
              <w:right w:val="single" w:sz="8" w:color="7F7F7F"/>
            </w:tcBorders>
          </w:tcPr>
          <w:p>
            <w:pPr>
              <w:spacing w:after="0"/>
              <w:rPr>
                <w:sz w:val="2"/>
                <w:szCs w:val="2"/>
                <w:color w:val="auto"/>
              </w:rPr>
            </w:pPr>
          </w:p>
        </w:tc>
        <w:tc>
          <w:tcPr>
            <w:tcW w:w="1060" w:type="dxa"/>
            <w:vAlign w:val="bottom"/>
            <w:tcBorders>
              <w:right w:val="single" w:sz="8" w:color="7F7F7F"/>
            </w:tcBorders>
            <w:vMerge w:val="continue"/>
          </w:tcPr>
          <w:p>
            <w:pPr>
              <w:spacing w:after="0"/>
              <w:rPr>
                <w:sz w:val="2"/>
                <w:szCs w:val="2"/>
                <w:color w:val="auto"/>
              </w:rPr>
            </w:pPr>
          </w:p>
        </w:tc>
        <w:tc>
          <w:tcPr>
            <w:tcW w:w="900" w:type="dxa"/>
            <w:vAlign w:val="bottom"/>
            <w:tcBorders>
              <w:right w:val="single" w:sz="8" w:color="7F7F7F"/>
            </w:tcBorders>
          </w:tcPr>
          <w:p>
            <w:pPr>
              <w:spacing w:after="0"/>
              <w:rPr>
                <w:sz w:val="2"/>
                <w:szCs w:val="2"/>
                <w:color w:val="auto"/>
              </w:rPr>
            </w:pPr>
          </w:p>
        </w:tc>
        <w:tc>
          <w:tcPr>
            <w:tcW w:w="820" w:type="dxa"/>
            <w:vAlign w:val="bottom"/>
            <w:tcBorders>
              <w:right w:val="single" w:sz="8" w:color="7F7F7F"/>
            </w:tcBorders>
          </w:tcPr>
          <w:p>
            <w:pPr>
              <w:spacing w:after="0"/>
              <w:rPr>
                <w:sz w:val="2"/>
                <w:szCs w:val="2"/>
                <w:color w:val="auto"/>
              </w:rPr>
            </w:pPr>
          </w:p>
        </w:tc>
        <w:tc>
          <w:tcPr>
            <w:tcW w:w="820" w:type="dxa"/>
            <w:vAlign w:val="bottom"/>
            <w:tcBorders>
              <w:right w:val="single" w:sz="8" w:color="7F7F7F"/>
            </w:tcBorders>
          </w:tcPr>
          <w:p>
            <w:pPr>
              <w:spacing w:after="0"/>
              <w:rPr>
                <w:sz w:val="2"/>
                <w:szCs w:val="2"/>
                <w:color w:val="auto"/>
              </w:rPr>
            </w:pPr>
          </w:p>
        </w:tc>
        <w:tc>
          <w:tcPr>
            <w:tcW w:w="860" w:type="dxa"/>
            <w:vAlign w:val="bottom"/>
            <w:tcBorders>
              <w:right w:val="single" w:sz="8" w:color="7F7F7F"/>
            </w:tcBorders>
          </w:tcPr>
          <w:p>
            <w:pPr>
              <w:spacing w:after="0"/>
              <w:rPr>
                <w:sz w:val="2"/>
                <w:szCs w:val="2"/>
                <w:color w:val="auto"/>
              </w:rPr>
            </w:pPr>
          </w:p>
        </w:tc>
        <w:tc>
          <w:tcPr>
            <w:tcW w:w="760" w:type="dxa"/>
            <w:vAlign w:val="bottom"/>
            <w:tcBorders>
              <w:right w:val="single" w:sz="8" w:color="7F7F7F"/>
            </w:tcBorders>
          </w:tcPr>
          <w:p>
            <w:pPr>
              <w:spacing w:after="0"/>
              <w:rPr>
                <w:sz w:val="2"/>
                <w:szCs w:val="2"/>
                <w:color w:val="auto"/>
              </w:rPr>
            </w:pPr>
          </w:p>
        </w:tc>
        <w:tc>
          <w:tcPr>
            <w:tcW w:w="920" w:type="dxa"/>
            <w:vAlign w:val="bottom"/>
            <w:tcBorders>
              <w:right w:val="single" w:sz="8" w:color="7F7F7F"/>
            </w:tcBorders>
          </w:tcPr>
          <w:p>
            <w:pPr>
              <w:spacing w:after="0"/>
              <w:rPr>
                <w:sz w:val="2"/>
                <w:szCs w:val="2"/>
                <w:color w:val="auto"/>
              </w:rPr>
            </w:pPr>
          </w:p>
        </w:tc>
        <w:tc>
          <w:tcPr>
            <w:tcW w:w="720" w:type="dxa"/>
            <w:vAlign w:val="bottom"/>
            <w:tcBorders>
              <w:right w:val="single" w:sz="8" w:color="7F7F7F"/>
            </w:tcBorders>
          </w:tcPr>
          <w:p>
            <w:pPr>
              <w:spacing w:after="0"/>
              <w:rPr>
                <w:sz w:val="2"/>
                <w:szCs w:val="2"/>
                <w:color w:val="auto"/>
              </w:rPr>
            </w:pPr>
          </w:p>
        </w:tc>
        <w:tc>
          <w:tcPr>
            <w:tcW w:w="760" w:type="dxa"/>
            <w:vAlign w:val="bottom"/>
            <w:tcBorders>
              <w:right w:val="single" w:sz="8" w:color="7F7F7F"/>
            </w:tcBorders>
          </w:tcPr>
          <w:p>
            <w:pPr>
              <w:spacing w:after="0"/>
              <w:rPr>
                <w:sz w:val="2"/>
                <w:szCs w:val="2"/>
                <w:color w:val="auto"/>
              </w:rPr>
            </w:pPr>
          </w:p>
        </w:tc>
        <w:tc>
          <w:tcPr>
            <w:tcW w:w="760" w:type="dxa"/>
            <w:vAlign w:val="bottom"/>
            <w:tcBorders>
              <w:right w:val="single" w:sz="8" w:color="7F7F7F"/>
            </w:tcBorders>
          </w:tcPr>
          <w:p>
            <w:pPr>
              <w:spacing w:after="0"/>
              <w:rPr>
                <w:sz w:val="2"/>
                <w:szCs w:val="2"/>
                <w:color w:val="auto"/>
              </w:rPr>
            </w:pPr>
          </w:p>
        </w:tc>
        <w:tc>
          <w:tcPr>
            <w:tcW w:w="920" w:type="dxa"/>
            <w:vAlign w:val="bottom"/>
            <w:tcBorders>
              <w:right w:val="single" w:sz="8" w:color="7F7F7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20" w:type="dxa"/>
            <w:vAlign w:val="bottom"/>
            <w:tcBorders>
              <w:left w:val="single" w:sz="8" w:color="7F7F7F"/>
              <w:bottom w:val="single" w:sz="8" w:color="7F7F7F"/>
              <w:right w:val="single" w:sz="8" w:color="7F7F7F"/>
            </w:tcBorders>
          </w:tcPr>
          <w:p>
            <w:pPr>
              <w:spacing w:after="0"/>
              <w:rPr>
                <w:sz w:val="18"/>
                <w:szCs w:val="18"/>
                <w:color w:val="auto"/>
              </w:rPr>
            </w:pPr>
          </w:p>
        </w:tc>
        <w:tc>
          <w:tcPr>
            <w:tcW w:w="400" w:type="dxa"/>
            <w:vAlign w:val="bottom"/>
            <w:tcBorders>
              <w:bottom w:val="single" w:sz="8" w:color="7F7F7F"/>
              <w:right w:val="single" w:sz="8" w:color="7F7F7F"/>
            </w:tcBorders>
          </w:tcPr>
          <w:p>
            <w:pPr>
              <w:spacing w:after="0"/>
              <w:rPr>
                <w:sz w:val="18"/>
                <w:szCs w:val="18"/>
                <w:color w:val="auto"/>
              </w:rPr>
            </w:pPr>
          </w:p>
        </w:tc>
        <w:tc>
          <w:tcPr>
            <w:tcW w:w="640" w:type="dxa"/>
            <w:vAlign w:val="bottom"/>
            <w:tcBorders>
              <w:bottom w:val="single" w:sz="8" w:color="7F7F7F"/>
              <w:right w:val="single" w:sz="8" w:color="7F7F7F"/>
            </w:tcBorders>
          </w:tcPr>
          <w:p>
            <w:pPr>
              <w:spacing w:after="0"/>
              <w:rPr>
                <w:sz w:val="18"/>
                <w:szCs w:val="18"/>
                <w:color w:val="auto"/>
              </w:rPr>
            </w:pPr>
          </w:p>
        </w:tc>
        <w:tc>
          <w:tcPr>
            <w:tcW w:w="1060" w:type="dxa"/>
            <w:vAlign w:val="bottom"/>
            <w:tcBorders>
              <w:bottom w:val="single" w:sz="8" w:color="7F7F7F"/>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w w:val="98"/>
              </w:rPr>
              <w:t>Stock</w:t>
            </w:r>
          </w:p>
        </w:tc>
        <w:tc>
          <w:tcPr>
            <w:tcW w:w="900" w:type="dxa"/>
            <w:vAlign w:val="bottom"/>
            <w:tcBorders>
              <w:bottom w:val="single" w:sz="8" w:color="7F7F7F"/>
              <w:right w:val="single" w:sz="8" w:color="7F7F7F"/>
            </w:tcBorders>
          </w:tcPr>
          <w:p>
            <w:pPr>
              <w:spacing w:after="0"/>
              <w:rPr>
                <w:sz w:val="18"/>
                <w:szCs w:val="18"/>
                <w:color w:val="auto"/>
              </w:rPr>
            </w:pPr>
          </w:p>
        </w:tc>
        <w:tc>
          <w:tcPr>
            <w:tcW w:w="820" w:type="dxa"/>
            <w:vAlign w:val="bottom"/>
            <w:tcBorders>
              <w:bottom w:val="single" w:sz="8" w:color="7F7F7F"/>
              <w:right w:val="single" w:sz="8" w:color="7F7F7F"/>
            </w:tcBorders>
          </w:tcPr>
          <w:p>
            <w:pPr>
              <w:spacing w:after="0"/>
              <w:rPr>
                <w:sz w:val="18"/>
                <w:szCs w:val="18"/>
                <w:color w:val="auto"/>
              </w:rPr>
            </w:pPr>
          </w:p>
        </w:tc>
        <w:tc>
          <w:tcPr>
            <w:tcW w:w="820" w:type="dxa"/>
            <w:vAlign w:val="bottom"/>
            <w:tcBorders>
              <w:bottom w:val="single" w:sz="8" w:color="7F7F7F"/>
              <w:right w:val="single" w:sz="8" w:color="7F7F7F"/>
            </w:tcBorders>
          </w:tcPr>
          <w:p>
            <w:pPr>
              <w:spacing w:after="0"/>
              <w:rPr>
                <w:sz w:val="18"/>
                <w:szCs w:val="18"/>
                <w:color w:val="auto"/>
              </w:rPr>
            </w:pPr>
          </w:p>
        </w:tc>
        <w:tc>
          <w:tcPr>
            <w:tcW w:w="860" w:type="dxa"/>
            <w:vAlign w:val="bottom"/>
            <w:tcBorders>
              <w:bottom w:val="single" w:sz="8" w:color="7F7F7F"/>
              <w:right w:val="single" w:sz="8" w:color="7F7F7F"/>
            </w:tcBorders>
          </w:tcPr>
          <w:p>
            <w:pPr>
              <w:spacing w:after="0"/>
              <w:rPr>
                <w:sz w:val="18"/>
                <w:szCs w:val="18"/>
                <w:color w:val="auto"/>
              </w:rPr>
            </w:pPr>
          </w:p>
        </w:tc>
        <w:tc>
          <w:tcPr>
            <w:tcW w:w="760" w:type="dxa"/>
            <w:vAlign w:val="bottom"/>
            <w:tcBorders>
              <w:bottom w:val="single" w:sz="8" w:color="7F7F7F"/>
              <w:right w:val="single" w:sz="8" w:color="7F7F7F"/>
            </w:tcBorders>
          </w:tcPr>
          <w:p>
            <w:pPr>
              <w:spacing w:after="0"/>
              <w:rPr>
                <w:sz w:val="18"/>
                <w:szCs w:val="18"/>
                <w:color w:val="auto"/>
              </w:rPr>
            </w:pPr>
          </w:p>
        </w:tc>
        <w:tc>
          <w:tcPr>
            <w:tcW w:w="920" w:type="dxa"/>
            <w:vAlign w:val="bottom"/>
            <w:tcBorders>
              <w:bottom w:val="single" w:sz="8" w:color="7F7F7F"/>
              <w:right w:val="single" w:sz="8" w:color="7F7F7F"/>
            </w:tcBorders>
          </w:tcPr>
          <w:p>
            <w:pPr>
              <w:spacing w:after="0"/>
              <w:rPr>
                <w:sz w:val="18"/>
                <w:szCs w:val="18"/>
                <w:color w:val="auto"/>
              </w:rPr>
            </w:pPr>
          </w:p>
        </w:tc>
        <w:tc>
          <w:tcPr>
            <w:tcW w:w="720" w:type="dxa"/>
            <w:vAlign w:val="bottom"/>
            <w:tcBorders>
              <w:bottom w:val="single" w:sz="8" w:color="7F7F7F"/>
              <w:right w:val="single" w:sz="8" w:color="7F7F7F"/>
            </w:tcBorders>
          </w:tcPr>
          <w:p>
            <w:pPr>
              <w:spacing w:after="0"/>
              <w:rPr>
                <w:sz w:val="18"/>
                <w:szCs w:val="18"/>
                <w:color w:val="auto"/>
              </w:rPr>
            </w:pPr>
          </w:p>
        </w:tc>
        <w:tc>
          <w:tcPr>
            <w:tcW w:w="760" w:type="dxa"/>
            <w:vAlign w:val="bottom"/>
            <w:tcBorders>
              <w:bottom w:val="single" w:sz="8" w:color="7F7F7F"/>
              <w:right w:val="single" w:sz="8" w:color="7F7F7F"/>
            </w:tcBorders>
          </w:tcPr>
          <w:p>
            <w:pPr>
              <w:spacing w:after="0"/>
              <w:rPr>
                <w:sz w:val="18"/>
                <w:szCs w:val="18"/>
                <w:color w:val="auto"/>
              </w:rPr>
            </w:pPr>
          </w:p>
        </w:tc>
        <w:tc>
          <w:tcPr>
            <w:tcW w:w="760" w:type="dxa"/>
            <w:vAlign w:val="bottom"/>
            <w:tcBorders>
              <w:bottom w:val="single" w:sz="8" w:color="7F7F7F"/>
              <w:right w:val="single" w:sz="8" w:color="7F7F7F"/>
            </w:tcBorders>
          </w:tcPr>
          <w:p>
            <w:pPr>
              <w:spacing w:after="0"/>
              <w:rPr>
                <w:sz w:val="18"/>
                <w:szCs w:val="18"/>
                <w:color w:val="auto"/>
              </w:rPr>
            </w:pPr>
          </w:p>
        </w:tc>
        <w:tc>
          <w:tcPr>
            <w:tcW w:w="920" w:type="dxa"/>
            <w:vAlign w:val="bottom"/>
            <w:tcBorders>
              <w:bottom w:val="single" w:sz="8" w:color="7F7F7F"/>
              <w:right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920" w:type="dxa"/>
            <w:vAlign w:val="bottom"/>
            <w:tcBorders>
              <w:left w:val="single" w:sz="8" w:color="7F7F7F"/>
              <w:right w:val="single" w:sz="8" w:color="7F7F7F"/>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rPr>
              <w:t>Fees to Be</w:t>
            </w:r>
          </w:p>
        </w:tc>
        <w:tc>
          <w:tcPr>
            <w:tcW w:w="4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64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10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Debt Securities</w:t>
            </w:r>
          </w:p>
        </w:tc>
        <w:tc>
          <w:tcPr>
            <w:tcW w:w="9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Rule 457(r)</w:t>
            </w:r>
          </w:p>
        </w:tc>
        <w:tc>
          <w:tcPr>
            <w:tcW w:w="82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tcPr>
          <w:p>
            <w:pPr>
              <w:spacing w:after="0"/>
              <w:rPr>
                <w:sz w:val="13"/>
                <w:szCs w:val="13"/>
                <w:color w:val="auto"/>
              </w:rPr>
            </w:pPr>
          </w:p>
        </w:tc>
        <w:tc>
          <w:tcPr>
            <w:tcW w:w="8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0.0000870</w:t>
            </w:r>
          </w:p>
        </w:tc>
        <w:tc>
          <w:tcPr>
            <w:tcW w:w="920" w:type="dxa"/>
            <w:vAlign w:val="bottom"/>
            <w:tcBorders>
              <w:right w:val="single" w:sz="8" w:color="7F7F7F"/>
            </w:tcBorders>
          </w:tcPr>
          <w:p>
            <w:pPr>
              <w:spacing w:after="0"/>
              <w:rPr>
                <w:sz w:val="13"/>
                <w:szCs w:val="13"/>
                <w:color w:val="auto"/>
              </w:rPr>
            </w:pPr>
          </w:p>
        </w:tc>
        <w:tc>
          <w:tcPr>
            <w:tcW w:w="72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2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Paid</w:t>
            </w:r>
          </w:p>
        </w:tc>
        <w:tc>
          <w:tcPr>
            <w:tcW w:w="400" w:type="dxa"/>
            <w:vAlign w:val="bottom"/>
            <w:tcBorders>
              <w:right w:val="single" w:sz="8" w:color="7F7F7F"/>
            </w:tcBorders>
            <w:vMerge w:val="continue"/>
          </w:tcPr>
          <w:p>
            <w:pPr>
              <w:spacing w:after="0"/>
              <w:rPr>
                <w:sz w:val="11"/>
                <w:szCs w:val="11"/>
                <w:color w:val="auto"/>
              </w:rPr>
            </w:pPr>
          </w:p>
        </w:tc>
        <w:tc>
          <w:tcPr>
            <w:tcW w:w="640" w:type="dxa"/>
            <w:vAlign w:val="bottom"/>
            <w:tcBorders>
              <w:right w:val="single" w:sz="8" w:color="7F7F7F"/>
            </w:tcBorders>
            <w:vMerge w:val="continue"/>
          </w:tcPr>
          <w:p>
            <w:pPr>
              <w:spacing w:after="0"/>
              <w:rPr>
                <w:sz w:val="11"/>
                <w:szCs w:val="11"/>
                <w:color w:val="auto"/>
              </w:rPr>
            </w:pPr>
          </w:p>
        </w:tc>
        <w:tc>
          <w:tcPr>
            <w:tcW w:w="1060" w:type="dxa"/>
            <w:vAlign w:val="bottom"/>
            <w:tcBorders>
              <w:right w:val="single" w:sz="8" w:color="7F7F7F"/>
            </w:tcBorders>
            <w:vMerge w:val="continue"/>
          </w:tcPr>
          <w:p>
            <w:pPr>
              <w:spacing w:after="0"/>
              <w:rPr>
                <w:sz w:val="11"/>
                <w:szCs w:val="11"/>
                <w:color w:val="auto"/>
              </w:rPr>
            </w:pPr>
          </w:p>
        </w:tc>
        <w:tc>
          <w:tcPr>
            <w:tcW w:w="900" w:type="dxa"/>
            <w:vAlign w:val="bottom"/>
            <w:tcBorders>
              <w:right w:val="single" w:sz="8" w:color="7F7F7F"/>
            </w:tcBorders>
            <w:vMerge w:val="continue"/>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vMerge w:val="continue"/>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72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7F7F7F"/>
              <w:bottom w:val="single" w:sz="8" w:color="7F7F7F"/>
              <w:right w:val="single" w:sz="8" w:color="7F7F7F"/>
            </w:tcBorders>
            <w:vMerge w:val="continue"/>
          </w:tcPr>
          <w:p>
            <w:pPr>
              <w:spacing w:after="0"/>
              <w:rPr>
                <w:sz w:val="7"/>
                <w:szCs w:val="7"/>
                <w:color w:val="auto"/>
              </w:rPr>
            </w:pPr>
          </w:p>
        </w:tc>
        <w:tc>
          <w:tcPr>
            <w:tcW w:w="400" w:type="dxa"/>
            <w:vAlign w:val="bottom"/>
            <w:tcBorders>
              <w:bottom w:val="single" w:sz="8" w:color="7F7F7F"/>
              <w:right w:val="single" w:sz="8" w:color="7F7F7F"/>
            </w:tcBorders>
          </w:tcPr>
          <w:p>
            <w:pPr>
              <w:spacing w:after="0"/>
              <w:rPr>
                <w:sz w:val="7"/>
                <w:szCs w:val="7"/>
                <w:color w:val="auto"/>
              </w:rPr>
            </w:pPr>
          </w:p>
        </w:tc>
        <w:tc>
          <w:tcPr>
            <w:tcW w:w="640" w:type="dxa"/>
            <w:vAlign w:val="bottom"/>
            <w:tcBorders>
              <w:bottom w:val="single" w:sz="8" w:color="7F7F7F"/>
              <w:right w:val="single" w:sz="8" w:color="7F7F7F"/>
            </w:tcBorders>
          </w:tcPr>
          <w:p>
            <w:pPr>
              <w:spacing w:after="0"/>
              <w:rPr>
                <w:sz w:val="7"/>
                <w:szCs w:val="7"/>
                <w:color w:val="auto"/>
              </w:rPr>
            </w:pPr>
          </w:p>
        </w:tc>
        <w:tc>
          <w:tcPr>
            <w:tcW w:w="1060" w:type="dxa"/>
            <w:vAlign w:val="bottom"/>
            <w:tcBorders>
              <w:bottom w:val="single" w:sz="8" w:color="7F7F7F"/>
              <w:right w:val="single" w:sz="8" w:color="7F7F7F"/>
            </w:tcBorders>
          </w:tcPr>
          <w:p>
            <w:pPr>
              <w:spacing w:after="0"/>
              <w:rPr>
                <w:sz w:val="7"/>
                <w:szCs w:val="7"/>
                <w:color w:val="auto"/>
              </w:rPr>
            </w:pPr>
          </w:p>
        </w:tc>
        <w:tc>
          <w:tcPr>
            <w:tcW w:w="90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86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920" w:type="dxa"/>
            <w:vAlign w:val="bottom"/>
            <w:tcBorders>
              <w:bottom w:val="single" w:sz="8" w:color="7F7F7F"/>
              <w:right w:val="single" w:sz="8" w:color="7F7F7F"/>
            </w:tcBorders>
          </w:tcPr>
          <w:p>
            <w:pPr>
              <w:spacing w:after="0"/>
              <w:rPr>
                <w:sz w:val="7"/>
                <w:szCs w:val="7"/>
                <w:color w:val="auto"/>
              </w:rPr>
            </w:pPr>
          </w:p>
        </w:tc>
        <w:tc>
          <w:tcPr>
            <w:tcW w:w="72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92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920" w:type="dxa"/>
            <w:vAlign w:val="bottom"/>
            <w:tcBorders>
              <w:left w:val="single" w:sz="8" w:color="7F7F7F"/>
              <w:right w:val="single" w:sz="8" w:color="7F7F7F"/>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rPr>
              <w:t>Fees to Be</w:t>
            </w:r>
          </w:p>
        </w:tc>
        <w:tc>
          <w:tcPr>
            <w:tcW w:w="4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64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0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Warrants</w:t>
            </w:r>
          </w:p>
        </w:tc>
        <w:tc>
          <w:tcPr>
            <w:tcW w:w="9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Rule 457(r)</w:t>
            </w:r>
          </w:p>
        </w:tc>
        <w:tc>
          <w:tcPr>
            <w:tcW w:w="82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tcPr>
          <w:p>
            <w:pPr>
              <w:spacing w:after="0"/>
              <w:rPr>
                <w:sz w:val="13"/>
                <w:szCs w:val="13"/>
                <w:color w:val="auto"/>
              </w:rPr>
            </w:pPr>
          </w:p>
        </w:tc>
        <w:tc>
          <w:tcPr>
            <w:tcW w:w="8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0.0000870</w:t>
            </w:r>
          </w:p>
        </w:tc>
        <w:tc>
          <w:tcPr>
            <w:tcW w:w="920" w:type="dxa"/>
            <w:vAlign w:val="bottom"/>
            <w:tcBorders>
              <w:right w:val="single" w:sz="8" w:color="7F7F7F"/>
            </w:tcBorders>
          </w:tcPr>
          <w:p>
            <w:pPr>
              <w:spacing w:after="0"/>
              <w:rPr>
                <w:sz w:val="13"/>
                <w:szCs w:val="13"/>
                <w:color w:val="auto"/>
              </w:rPr>
            </w:pPr>
          </w:p>
        </w:tc>
        <w:tc>
          <w:tcPr>
            <w:tcW w:w="72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2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Paid</w:t>
            </w:r>
          </w:p>
        </w:tc>
        <w:tc>
          <w:tcPr>
            <w:tcW w:w="400" w:type="dxa"/>
            <w:vAlign w:val="bottom"/>
            <w:tcBorders>
              <w:right w:val="single" w:sz="8" w:color="7F7F7F"/>
            </w:tcBorders>
            <w:vMerge w:val="continue"/>
          </w:tcPr>
          <w:p>
            <w:pPr>
              <w:spacing w:after="0"/>
              <w:rPr>
                <w:sz w:val="11"/>
                <w:szCs w:val="11"/>
                <w:color w:val="auto"/>
              </w:rPr>
            </w:pPr>
          </w:p>
        </w:tc>
        <w:tc>
          <w:tcPr>
            <w:tcW w:w="640" w:type="dxa"/>
            <w:vAlign w:val="bottom"/>
            <w:tcBorders>
              <w:right w:val="single" w:sz="8" w:color="7F7F7F"/>
            </w:tcBorders>
            <w:vMerge w:val="continue"/>
          </w:tcPr>
          <w:p>
            <w:pPr>
              <w:spacing w:after="0"/>
              <w:rPr>
                <w:sz w:val="11"/>
                <w:szCs w:val="11"/>
                <w:color w:val="auto"/>
              </w:rPr>
            </w:pPr>
          </w:p>
        </w:tc>
        <w:tc>
          <w:tcPr>
            <w:tcW w:w="1060" w:type="dxa"/>
            <w:vAlign w:val="bottom"/>
            <w:tcBorders>
              <w:right w:val="single" w:sz="8" w:color="7F7F7F"/>
            </w:tcBorders>
            <w:vMerge w:val="continue"/>
          </w:tcPr>
          <w:p>
            <w:pPr>
              <w:spacing w:after="0"/>
              <w:rPr>
                <w:sz w:val="11"/>
                <w:szCs w:val="11"/>
                <w:color w:val="auto"/>
              </w:rPr>
            </w:pPr>
          </w:p>
        </w:tc>
        <w:tc>
          <w:tcPr>
            <w:tcW w:w="900" w:type="dxa"/>
            <w:vAlign w:val="bottom"/>
            <w:tcBorders>
              <w:right w:val="single" w:sz="8" w:color="7F7F7F"/>
            </w:tcBorders>
            <w:vMerge w:val="continue"/>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tcPr>
          <w:p>
            <w:pPr>
              <w:spacing w:after="0"/>
              <w:rPr>
                <w:sz w:val="11"/>
                <w:szCs w:val="11"/>
                <w:color w:val="auto"/>
              </w:rPr>
            </w:pPr>
          </w:p>
        </w:tc>
        <w:tc>
          <w:tcPr>
            <w:tcW w:w="8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vMerge w:val="continue"/>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72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92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7F7F7F"/>
              <w:bottom w:val="single" w:sz="8" w:color="7F7F7F"/>
              <w:right w:val="single" w:sz="8" w:color="7F7F7F"/>
            </w:tcBorders>
            <w:vMerge w:val="continue"/>
          </w:tcPr>
          <w:p>
            <w:pPr>
              <w:spacing w:after="0"/>
              <w:rPr>
                <w:sz w:val="7"/>
                <w:szCs w:val="7"/>
                <w:color w:val="auto"/>
              </w:rPr>
            </w:pPr>
          </w:p>
        </w:tc>
        <w:tc>
          <w:tcPr>
            <w:tcW w:w="400" w:type="dxa"/>
            <w:vAlign w:val="bottom"/>
            <w:tcBorders>
              <w:bottom w:val="single" w:sz="8" w:color="7F7F7F"/>
              <w:right w:val="single" w:sz="8" w:color="7F7F7F"/>
            </w:tcBorders>
          </w:tcPr>
          <w:p>
            <w:pPr>
              <w:spacing w:after="0"/>
              <w:rPr>
                <w:sz w:val="7"/>
                <w:szCs w:val="7"/>
                <w:color w:val="auto"/>
              </w:rPr>
            </w:pPr>
          </w:p>
        </w:tc>
        <w:tc>
          <w:tcPr>
            <w:tcW w:w="640" w:type="dxa"/>
            <w:vAlign w:val="bottom"/>
            <w:tcBorders>
              <w:bottom w:val="single" w:sz="8" w:color="7F7F7F"/>
              <w:right w:val="single" w:sz="8" w:color="7F7F7F"/>
            </w:tcBorders>
          </w:tcPr>
          <w:p>
            <w:pPr>
              <w:spacing w:after="0"/>
              <w:rPr>
                <w:sz w:val="7"/>
                <w:szCs w:val="7"/>
                <w:color w:val="auto"/>
              </w:rPr>
            </w:pPr>
          </w:p>
        </w:tc>
        <w:tc>
          <w:tcPr>
            <w:tcW w:w="1060" w:type="dxa"/>
            <w:vAlign w:val="bottom"/>
            <w:tcBorders>
              <w:bottom w:val="single" w:sz="8" w:color="7F7F7F"/>
              <w:right w:val="single" w:sz="8" w:color="7F7F7F"/>
            </w:tcBorders>
          </w:tcPr>
          <w:p>
            <w:pPr>
              <w:spacing w:after="0"/>
              <w:rPr>
                <w:sz w:val="7"/>
                <w:szCs w:val="7"/>
                <w:color w:val="auto"/>
              </w:rPr>
            </w:pPr>
          </w:p>
        </w:tc>
        <w:tc>
          <w:tcPr>
            <w:tcW w:w="90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86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920" w:type="dxa"/>
            <w:vAlign w:val="bottom"/>
            <w:tcBorders>
              <w:bottom w:val="single" w:sz="8" w:color="7F7F7F"/>
              <w:right w:val="single" w:sz="8" w:color="7F7F7F"/>
            </w:tcBorders>
          </w:tcPr>
          <w:p>
            <w:pPr>
              <w:spacing w:after="0"/>
              <w:rPr>
                <w:sz w:val="7"/>
                <w:szCs w:val="7"/>
                <w:color w:val="auto"/>
              </w:rPr>
            </w:pPr>
          </w:p>
        </w:tc>
        <w:tc>
          <w:tcPr>
            <w:tcW w:w="72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760" w:type="dxa"/>
            <w:vAlign w:val="bottom"/>
            <w:tcBorders>
              <w:bottom w:val="single" w:sz="8" w:color="7F7F7F"/>
              <w:right w:val="single" w:sz="8" w:color="7F7F7F"/>
            </w:tcBorders>
          </w:tcPr>
          <w:p>
            <w:pPr>
              <w:spacing w:after="0"/>
              <w:rPr>
                <w:sz w:val="7"/>
                <w:szCs w:val="7"/>
                <w:color w:val="auto"/>
              </w:rPr>
            </w:pPr>
          </w:p>
        </w:tc>
        <w:tc>
          <w:tcPr>
            <w:tcW w:w="92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920" w:type="dxa"/>
            <w:vAlign w:val="bottom"/>
            <w:tcBorders>
              <w:left w:val="single" w:sz="8" w:color="7F7F7F"/>
              <w:right w:val="single" w:sz="8" w:color="7F7F7F"/>
            </w:tcBorders>
          </w:tcPr>
          <w:p>
            <w:pPr>
              <w:ind w:left="60"/>
              <w:spacing w:after="0"/>
              <w:rPr>
                <w:sz w:val="20"/>
                <w:szCs w:val="20"/>
                <w:color w:val="auto"/>
              </w:rPr>
            </w:pPr>
            <w:r>
              <w:rPr>
                <w:rFonts w:ascii="Times New Roman" w:cs="Times New Roman" w:eastAsia="Times New Roman" w:hAnsi="Times New Roman"/>
                <w:sz w:val="16"/>
                <w:szCs w:val="16"/>
                <w:color w:val="auto"/>
              </w:rPr>
              <w:t>Fees to Be</w:t>
            </w:r>
          </w:p>
        </w:tc>
        <w:tc>
          <w:tcPr>
            <w:tcW w:w="40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64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06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rPr>
              <w:t>Stock Purchase</w:t>
            </w:r>
          </w:p>
        </w:tc>
        <w:tc>
          <w:tcPr>
            <w:tcW w:w="90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rPr>
              <w:t>Rule 457(r)</w:t>
            </w:r>
          </w:p>
        </w:tc>
        <w:tc>
          <w:tcPr>
            <w:tcW w:w="820" w:type="dxa"/>
            <w:vAlign w:val="bottom"/>
            <w:tcBorders>
              <w:right w:val="single" w:sz="8" w:color="7F7F7F"/>
            </w:tcBorders>
          </w:tcPr>
          <w:p>
            <w:pPr>
              <w:spacing w:after="0"/>
              <w:rPr>
                <w:sz w:val="20"/>
                <w:szCs w:val="20"/>
                <w:color w:val="auto"/>
              </w:rPr>
            </w:pPr>
          </w:p>
        </w:tc>
        <w:tc>
          <w:tcPr>
            <w:tcW w:w="820" w:type="dxa"/>
            <w:vAlign w:val="bottom"/>
            <w:tcBorders>
              <w:right w:val="single" w:sz="8" w:color="7F7F7F"/>
            </w:tcBorders>
          </w:tcPr>
          <w:p>
            <w:pPr>
              <w:spacing w:after="0"/>
              <w:rPr>
                <w:sz w:val="20"/>
                <w:szCs w:val="20"/>
                <w:color w:val="auto"/>
              </w:rPr>
            </w:pPr>
          </w:p>
        </w:tc>
        <w:tc>
          <w:tcPr>
            <w:tcW w:w="860" w:type="dxa"/>
            <w:vAlign w:val="bottom"/>
            <w:tcBorders>
              <w:right w:val="single" w:sz="8" w:color="7F7F7F"/>
            </w:tcBorders>
          </w:tcPr>
          <w:p>
            <w:pPr>
              <w:spacing w:after="0"/>
              <w:rPr>
                <w:sz w:val="20"/>
                <w:szCs w:val="20"/>
                <w:color w:val="auto"/>
              </w:rPr>
            </w:pPr>
          </w:p>
        </w:tc>
        <w:tc>
          <w:tcPr>
            <w:tcW w:w="76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w w:val="99"/>
              </w:rPr>
              <w:t>0.0000870</w:t>
            </w:r>
          </w:p>
        </w:tc>
        <w:tc>
          <w:tcPr>
            <w:tcW w:w="920" w:type="dxa"/>
            <w:vAlign w:val="bottom"/>
            <w:tcBorders>
              <w:right w:val="single" w:sz="8" w:color="7F7F7F"/>
            </w:tcBorders>
          </w:tcPr>
          <w:p>
            <w:pPr>
              <w:spacing w:after="0"/>
              <w:rPr>
                <w:sz w:val="20"/>
                <w:szCs w:val="20"/>
                <w:color w:val="auto"/>
              </w:rPr>
            </w:pPr>
          </w:p>
        </w:tc>
        <w:tc>
          <w:tcPr>
            <w:tcW w:w="720" w:type="dxa"/>
            <w:vAlign w:val="bottom"/>
            <w:tcBorders>
              <w:right w:val="single" w:sz="8" w:color="7F7F7F"/>
            </w:tcBorders>
          </w:tcPr>
          <w:p>
            <w:pPr>
              <w:spacing w:after="0"/>
              <w:rPr>
                <w:sz w:val="20"/>
                <w:szCs w:val="20"/>
                <w:color w:val="auto"/>
              </w:rPr>
            </w:pPr>
          </w:p>
        </w:tc>
        <w:tc>
          <w:tcPr>
            <w:tcW w:w="760" w:type="dxa"/>
            <w:vAlign w:val="bottom"/>
            <w:tcBorders>
              <w:right w:val="single" w:sz="8" w:color="7F7F7F"/>
            </w:tcBorders>
          </w:tcPr>
          <w:p>
            <w:pPr>
              <w:spacing w:after="0"/>
              <w:rPr>
                <w:sz w:val="20"/>
                <w:szCs w:val="20"/>
                <w:color w:val="auto"/>
              </w:rPr>
            </w:pPr>
          </w:p>
        </w:tc>
        <w:tc>
          <w:tcPr>
            <w:tcW w:w="760" w:type="dxa"/>
            <w:vAlign w:val="bottom"/>
            <w:tcBorders>
              <w:right w:val="single" w:sz="8" w:color="7F7F7F"/>
            </w:tcBorders>
          </w:tcPr>
          <w:p>
            <w:pPr>
              <w:spacing w:after="0"/>
              <w:rPr>
                <w:sz w:val="20"/>
                <w:szCs w:val="20"/>
                <w:color w:val="auto"/>
              </w:rPr>
            </w:pPr>
          </w:p>
        </w:tc>
        <w:tc>
          <w:tcPr>
            <w:tcW w:w="920" w:type="dxa"/>
            <w:vAlign w:val="bottom"/>
            <w:tcBorders>
              <w:right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7F7F7F"/>
              <w:bottom w:val="single" w:sz="8" w:color="7F7F7F"/>
              <w:right w:val="single" w:sz="8" w:color="7F7F7F"/>
            </w:tcBorders>
          </w:tcPr>
          <w:p>
            <w:pPr>
              <w:ind w:left="60"/>
              <w:spacing w:after="0" w:line="135" w:lineRule="exact"/>
              <w:rPr>
                <w:sz w:val="20"/>
                <w:szCs w:val="20"/>
                <w:color w:val="auto"/>
              </w:rPr>
            </w:pPr>
            <w:r>
              <w:rPr>
                <w:rFonts w:ascii="Times New Roman" w:cs="Times New Roman" w:eastAsia="Times New Roman" w:hAnsi="Times New Roman"/>
                <w:sz w:val="15"/>
                <w:szCs w:val="15"/>
                <w:color w:val="auto"/>
              </w:rPr>
              <w:t>Paid</w:t>
            </w:r>
          </w:p>
        </w:tc>
        <w:tc>
          <w:tcPr>
            <w:tcW w:w="400" w:type="dxa"/>
            <w:vAlign w:val="bottom"/>
            <w:tcBorders>
              <w:bottom w:val="single" w:sz="8" w:color="7F7F7F"/>
              <w:right w:val="single" w:sz="8" w:color="7F7F7F"/>
            </w:tcBorders>
          </w:tcPr>
          <w:p>
            <w:pPr>
              <w:spacing w:after="0"/>
              <w:rPr>
                <w:sz w:val="11"/>
                <w:szCs w:val="11"/>
                <w:color w:val="auto"/>
              </w:rPr>
            </w:pPr>
          </w:p>
        </w:tc>
        <w:tc>
          <w:tcPr>
            <w:tcW w:w="640" w:type="dxa"/>
            <w:vAlign w:val="bottom"/>
            <w:tcBorders>
              <w:bottom w:val="single" w:sz="8" w:color="7F7F7F"/>
              <w:right w:val="single" w:sz="8" w:color="7F7F7F"/>
            </w:tcBorders>
          </w:tcPr>
          <w:p>
            <w:pPr>
              <w:spacing w:after="0"/>
              <w:rPr>
                <w:sz w:val="11"/>
                <w:szCs w:val="11"/>
                <w:color w:val="auto"/>
              </w:rPr>
            </w:pPr>
          </w:p>
        </w:tc>
        <w:tc>
          <w:tcPr>
            <w:tcW w:w="1060" w:type="dxa"/>
            <w:vAlign w:val="bottom"/>
            <w:tcBorders>
              <w:bottom w:val="single" w:sz="8" w:color="7F7F7F"/>
              <w:right w:val="single" w:sz="8" w:color="7F7F7F"/>
            </w:tcBorders>
          </w:tcPr>
          <w:p>
            <w:pPr>
              <w:jc w:val="center"/>
              <w:spacing w:after="0" w:line="135" w:lineRule="exact"/>
              <w:rPr>
                <w:sz w:val="20"/>
                <w:szCs w:val="20"/>
                <w:color w:val="auto"/>
              </w:rPr>
            </w:pPr>
            <w:r>
              <w:rPr>
                <w:rFonts w:ascii="Times New Roman" w:cs="Times New Roman" w:eastAsia="Times New Roman" w:hAnsi="Times New Roman"/>
                <w:sz w:val="15"/>
                <w:szCs w:val="15"/>
                <w:color w:val="auto"/>
              </w:rPr>
              <w:t>Contracts</w:t>
            </w:r>
          </w:p>
        </w:tc>
        <w:tc>
          <w:tcPr>
            <w:tcW w:w="900" w:type="dxa"/>
            <w:vAlign w:val="bottom"/>
            <w:tcBorders>
              <w:bottom w:val="single" w:sz="8" w:color="7F7F7F"/>
              <w:right w:val="single" w:sz="8" w:color="7F7F7F"/>
            </w:tcBorders>
          </w:tcPr>
          <w:p>
            <w:pPr>
              <w:spacing w:after="0"/>
              <w:rPr>
                <w:sz w:val="11"/>
                <w:szCs w:val="11"/>
                <w:color w:val="auto"/>
              </w:rPr>
            </w:pPr>
          </w:p>
        </w:tc>
        <w:tc>
          <w:tcPr>
            <w:tcW w:w="820" w:type="dxa"/>
            <w:vAlign w:val="bottom"/>
            <w:tcBorders>
              <w:bottom w:val="single" w:sz="8" w:color="7F7F7F"/>
              <w:right w:val="single" w:sz="8" w:color="7F7F7F"/>
            </w:tcBorders>
          </w:tcPr>
          <w:p>
            <w:pPr>
              <w:spacing w:after="0"/>
              <w:rPr>
                <w:sz w:val="11"/>
                <w:szCs w:val="11"/>
                <w:color w:val="auto"/>
              </w:rPr>
            </w:pPr>
          </w:p>
        </w:tc>
        <w:tc>
          <w:tcPr>
            <w:tcW w:w="820" w:type="dxa"/>
            <w:vAlign w:val="bottom"/>
            <w:tcBorders>
              <w:bottom w:val="single" w:sz="8" w:color="7F7F7F"/>
              <w:right w:val="single" w:sz="8" w:color="7F7F7F"/>
            </w:tcBorders>
          </w:tcPr>
          <w:p>
            <w:pPr>
              <w:spacing w:after="0"/>
              <w:rPr>
                <w:sz w:val="11"/>
                <w:szCs w:val="11"/>
                <w:color w:val="auto"/>
              </w:rPr>
            </w:pPr>
          </w:p>
        </w:tc>
        <w:tc>
          <w:tcPr>
            <w:tcW w:w="860" w:type="dxa"/>
            <w:vAlign w:val="bottom"/>
            <w:tcBorders>
              <w:bottom w:val="single" w:sz="8" w:color="7F7F7F"/>
              <w:right w:val="single" w:sz="8" w:color="7F7F7F"/>
            </w:tcBorders>
          </w:tcPr>
          <w:p>
            <w:pPr>
              <w:spacing w:after="0"/>
              <w:rPr>
                <w:sz w:val="11"/>
                <w:szCs w:val="11"/>
                <w:color w:val="auto"/>
              </w:rPr>
            </w:pPr>
          </w:p>
        </w:tc>
        <w:tc>
          <w:tcPr>
            <w:tcW w:w="760" w:type="dxa"/>
            <w:vAlign w:val="bottom"/>
            <w:tcBorders>
              <w:bottom w:val="single" w:sz="8" w:color="7F7F7F"/>
              <w:right w:val="single" w:sz="8" w:color="7F7F7F"/>
            </w:tcBorders>
          </w:tcPr>
          <w:p>
            <w:pPr>
              <w:spacing w:after="0"/>
              <w:rPr>
                <w:sz w:val="11"/>
                <w:szCs w:val="11"/>
                <w:color w:val="auto"/>
              </w:rPr>
            </w:pPr>
          </w:p>
        </w:tc>
        <w:tc>
          <w:tcPr>
            <w:tcW w:w="920" w:type="dxa"/>
            <w:vAlign w:val="bottom"/>
            <w:tcBorders>
              <w:bottom w:val="single" w:sz="8" w:color="7F7F7F"/>
              <w:right w:val="single" w:sz="8" w:color="7F7F7F"/>
            </w:tcBorders>
          </w:tcPr>
          <w:p>
            <w:pPr>
              <w:spacing w:after="0"/>
              <w:rPr>
                <w:sz w:val="11"/>
                <w:szCs w:val="11"/>
                <w:color w:val="auto"/>
              </w:rPr>
            </w:pPr>
          </w:p>
        </w:tc>
        <w:tc>
          <w:tcPr>
            <w:tcW w:w="720" w:type="dxa"/>
            <w:vAlign w:val="bottom"/>
            <w:tcBorders>
              <w:bottom w:val="single" w:sz="8" w:color="7F7F7F"/>
              <w:right w:val="single" w:sz="8" w:color="7F7F7F"/>
            </w:tcBorders>
          </w:tcPr>
          <w:p>
            <w:pPr>
              <w:spacing w:after="0"/>
              <w:rPr>
                <w:sz w:val="11"/>
                <w:szCs w:val="11"/>
                <w:color w:val="auto"/>
              </w:rPr>
            </w:pPr>
          </w:p>
        </w:tc>
        <w:tc>
          <w:tcPr>
            <w:tcW w:w="760" w:type="dxa"/>
            <w:vAlign w:val="bottom"/>
            <w:tcBorders>
              <w:bottom w:val="single" w:sz="8" w:color="7F7F7F"/>
              <w:right w:val="single" w:sz="8" w:color="7F7F7F"/>
            </w:tcBorders>
          </w:tcPr>
          <w:p>
            <w:pPr>
              <w:spacing w:after="0"/>
              <w:rPr>
                <w:sz w:val="11"/>
                <w:szCs w:val="11"/>
                <w:color w:val="auto"/>
              </w:rPr>
            </w:pPr>
          </w:p>
        </w:tc>
        <w:tc>
          <w:tcPr>
            <w:tcW w:w="760" w:type="dxa"/>
            <w:vAlign w:val="bottom"/>
            <w:tcBorders>
              <w:bottom w:val="single" w:sz="8" w:color="7F7F7F"/>
              <w:right w:val="single" w:sz="8" w:color="7F7F7F"/>
            </w:tcBorders>
          </w:tcPr>
          <w:p>
            <w:pPr>
              <w:spacing w:after="0"/>
              <w:rPr>
                <w:sz w:val="11"/>
                <w:szCs w:val="11"/>
                <w:color w:val="auto"/>
              </w:rPr>
            </w:pPr>
          </w:p>
        </w:tc>
        <w:tc>
          <w:tcPr>
            <w:tcW w:w="920" w:type="dxa"/>
            <w:vAlign w:val="bottom"/>
            <w:tcBorders>
              <w:bottom w:val="single" w:sz="8" w:color="7F7F7F"/>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7F7F7F"/>
              <w:right w:val="single" w:sz="8" w:color="7F7F7F"/>
            </w:tcBorders>
          </w:tcPr>
          <w:p>
            <w:pPr>
              <w:ind w:left="60"/>
              <w:spacing w:after="0"/>
              <w:rPr>
                <w:sz w:val="20"/>
                <w:szCs w:val="20"/>
                <w:color w:val="auto"/>
              </w:rPr>
            </w:pPr>
            <w:r>
              <w:rPr>
                <w:rFonts w:ascii="Times New Roman" w:cs="Times New Roman" w:eastAsia="Times New Roman" w:hAnsi="Times New Roman"/>
                <w:sz w:val="16"/>
                <w:szCs w:val="16"/>
                <w:color w:val="auto"/>
              </w:rPr>
              <w:t>Fees to Be</w:t>
            </w:r>
          </w:p>
        </w:tc>
        <w:tc>
          <w:tcPr>
            <w:tcW w:w="40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64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06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rPr>
              <w:t>Stock Purchase</w:t>
            </w:r>
          </w:p>
        </w:tc>
        <w:tc>
          <w:tcPr>
            <w:tcW w:w="90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rPr>
              <w:t>Rule 457(r)</w:t>
            </w:r>
          </w:p>
        </w:tc>
        <w:tc>
          <w:tcPr>
            <w:tcW w:w="820" w:type="dxa"/>
            <w:vAlign w:val="bottom"/>
            <w:tcBorders>
              <w:right w:val="single" w:sz="8" w:color="7F7F7F"/>
            </w:tcBorders>
          </w:tcPr>
          <w:p>
            <w:pPr>
              <w:spacing w:after="0"/>
              <w:rPr>
                <w:sz w:val="20"/>
                <w:szCs w:val="20"/>
                <w:color w:val="auto"/>
              </w:rPr>
            </w:pPr>
          </w:p>
        </w:tc>
        <w:tc>
          <w:tcPr>
            <w:tcW w:w="820" w:type="dxa"/>
            <w:vAlign w:val="bottom"/>
            <w:tcBorders>
              <w:right w:val="single" w:sz="8" w:color="7F7F7F"/>
            </w:tcBorders>
          </w:tcPr>
          <w:p>
            <w:pPr>
              <w:spacing w:after="0"/>
              <w:rPr>
                <w:sz w:val="20"/>
                <w:szCs w:val="20"/>
                <w:color w:val="auto"/>
              </w:rPr>
            </w:pPr>
          </w:p>
        </w:tc>
        <w:tc>
          <w:tcPr>
            <w:tcW w:w="860" w:type="dxa"/>
            <w:vAlign w:val="bottom"/>
            <w:tcBorders>
              <w:right w:val="single" w:sz="8" w:color="7F7F7F"/>
            </w:tcBorders>
          </w:tcPr>
          <w:p>
            <w:pPr>
              <w:spacing w:after="0"/>
              <w:rPr>
                <w:sz w:val="20"/>
                <w:szCs w:val="20"/>
                <w:color w:val="auto"/>
              </w:rPr>
            </w:pPr>
          </w:p>
        </w:tc>
        <w:tc>
          <w:tcPr>
            <w:tcW w:w="76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w w:val="99"/>
              </w:rPr>
              <w:t>0.0000870</w:t>
            </w:r>
          </w:p>
        </w:tc>
        <w:tc>
          <w:tcPr>
            <w:tcW w:w="920" w:type="dxa"/>
            <w:vAlign w:val="bottom"/>
            <w:tcBorders>
              <w:right w:val="single" w:sz="8" w:color="7F7F7F"/>
            </w:tcBorders>
          </w:tcPr>
          <w:p>
            <w:pPr>
              <w:spacing w:after="0"/>
              <w:rPr>
                <w:sz w:val="20"/>
                <w:szCs w:val="20"/>
                <w:color w:val="auto"/>
              </w:rPr>
            </w:pPr>
          </w:p>
        </w:tc>
        <w:tc>
          <w:tcPr>
            <w:tcW w:w="720" w:type="dxa"/>
            <w:vAlign w:val="bottom"/>
            <w:tcBorders>
              <w:right w:val="single" w:sz="8" w:color="7F7F7F"/>
            </w:tcBorders>
          </w:tcPr>
          <w:p>
            <w:pPr>
              <w:spacing w:after="0"/>
              <w:rPr>
                <w:sz w:val="20"/>
                <w:szCs w:val="20"/>
                <w:color w:val="auto"/>
              </w:rPr>
            </w:pPr>
          </w:p>
        </w:tc>
        <w:tc>
          <w:tcPr>
            <w:tcW w:w="760" w:type="dxa"/>
            <w:vAlign w:val="bottom"/>
            <w:tcBorders>
              <w:right w:val="single" w:sz="8" w:color="7F7F7F"/>
            </w:tcBorders>
          </w:tcPr>
          <w:p>
            <w:pPr>
              <w:spacing w:after="0"/>
              <w:rPr>
                <w:sz w:val="20"/>
                <w:szCs w:val="20"/>
                <w:color w:val="auto"/>
              </w:rPr>
            </w:pPr>
          </w:p>
        </w:tc>
        <w:tc>
          <w:tcPr>
            <w:tcW w:w="760" w:type="dxa"/>
            <w:vAlign w:val="bottom"/>
            <w:tcBorders>
              <w:right w:val="single" w:sz="8" w:color="7F7F7F"/>
            </w:tcBorders>
          </w:tcPr>
          <w:p>
            <w:pPr>
              <w:spacing w:after="0"/>
              <w:rPr>
                <w:sz w:val="20"/>
                <w:szCs w:val="20"/>
                <w:color w:val="auto"/>
              </w:rPr>
            </w:pPr>
          </w:p>
        </w:tc>
        <w:tc>
          <w:tcPr>
            <w:tcW w:w="920" w:type="dxa"/>
            <w:vAlign w:val="bottom"/>
            <w:tcBorders>
              <w:right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7F7F7F"/>
              <w:bottom w:val="single" w:sz="8" w:color="7F7F7F"/>
              <w:right w:val="single" w:sz="8" w:color="7F7F7F"/>
            </w:tcBorders>
          </w:tcPr>
          <w:p>
            <w:pPr>
              <w:ind w:left="60"/>
              <w:spacing w:after="0" w:line="135" w:lineRule="exact"/>
              <w:rPr>
                <w:sz w:val="20"/>
                <w:szCs w:val="20"/>
                <w:color w:val="auto"/>
              </w:rPr>
            </w:pPr>
            <w:r>
              <w:rPr>
                <w:rFonts w:ascii="Times New Roman" w:cs="Times New Roman" w:eastAsia="Times New Roman" w:hAnsi="Times New Roman"/>
                <w:sz w:val="15"/>
                <w:szCs w:val="15"/>
                <w:color w:val="auto"/>
              </w:rPr>
              <w:t>Paid</w:t>
            </w:r>
          </w:p>
        </w:tc>
        <w:tc>
          <w:tcPr>
            <w:tcW w:w="400" w:type="dxa"/>
            <w:vAlign w:val="bottom"/>
            <w:tcBorders>
              <w:bottom w:val="single" w:sz="8" w:color="7F7F7F"/>
              <w:right w:val="single" w:sz="8" w:color="7F7F7F"/>
            </w:tcBorders>
          </w:tcPr>
          <w:p>
            <w:pPr>
              <w:spacing w:after="0"/>
              <w:rPr>
                <w:sz w:val="11"/>
                <w:szCs w:val="11"/>
                <w:color w:val="auto"/>
              </w:rPr>
            </w:pPr>
          </w:p>
        </w:tc>
        <w:tc>
          <w:tcPr>
            <w:tcW w:w="640" w:type="dxa"/>
            <w:vAlign w:val="bottom"/>
            <w:tcBorders>
              <w:bottom w:val="single" w:sz="8" w:color="7F7F7F"/>
              <w:right w:val="single" w:sz="8" w:color="7F7F7F"/>
            </w:tcBorders>
          </w:tcPr>
          <w:p>
            <w:pPr>
              <w:spacing w:after="0"/>
              <w:rPr>
                <w:sz w:val="11"/>
                <w:szCs w:val="11"/>
                <w:color w:val="auto"/>
              </w:rPr>
            </w:pPr>
          </w:p>
        </w:tc>
        <w:tc>
          <w:tcPr>
            <w:tcW w:w="1060" w:type="dxa"/>
            <w:vAlign w:val="bottom"/>
            <w:tcBorders>
              <w:bottom w:val="single" w:sz="8" w:color="7F7F7F"/>
              <w:right w:val="single" w:sz="8" w:color="7F7F7F"/>
            </w:tcBorders>
          </w:tcPr>
          <w:p>
            <w:pPr>
              <w:jc w:val="center"/>
              <w:spacing w:after="0" w:line="135" w:lineRule="exact"/>
              <w:rPr>
                <w:sz w:val="20"/>
                <w:szCs w:val="20"/>
                <w:color w:val="auto"/>
              </w:rPr>
            </w:pPr>
            <w:r>
              <w:rPr>
                <w:rFonts w:ascii="Times New Roman" w:cs="Times New Roman" w:eastAsia="Times New Roman" w:hAnsi="Times New Roman"/>
                <w:sz w:val="15"/>
                <w:szCs w:val="15"/>
                <w:color w:val="auto"/>
              </w:rPr>
              <w:t>Units</w:t>
            </w:r>
          </w:p>
        </w:tc>
        <w:tc>
          <w:tcPr>
            <w:tcW w:w="900" w:type="dxa"/>
            <w:vAlign w:val="bottom"/>
            <w:tcBorders>
              <w:bottom w:val="single" w:sz="8" w:color="7F7F7F"/>
              <w:right w:val="single" w:sz="8" w:color="7F7F7F"/>
            </w:tcBorders>
          </w:tcPr>
          <w:p>
            <w:pPr>
              <w:spacing w:after="0"/>
              <w:rPr>
                <w:sz w:val="11"/>
                <w:szCs w:val="11"/>
                <w:color w:val="auto"/>
              </w:rPr>
            </w:pPr>
          </w:p>
        </w:tc>
        <w:tc>
          <w:tcPr>
            <w:tcW w:w="820" w:type="dxa"/>
            <w:vAlign w:val="bottom"/>
            <w:tcBorders>
              <w:bottom w:val="single" w:sz="8" w:color="7F7F7F"/>
              <w:right w:val="single" w:sz="8" w:color="7F7F7F"/>
            </w:tcBorders>
          </w:tcPr>
          <w:p>
            <w:pPr>
              <w:spacing w:after="0"/>
              <w:rPr>
                <w:sz w:val="11"/>
                <w:szCs w:val="11"/>
                <w:color w:val="auto"/>
              </w:rPr>
            </w:pPr>
          </w:p>
        </w:tc>
        <w:tc>
          <w:tcPr>
            <w:tcW w:w="820" w:type="dxa"/>
            <w:vAlign w:val="bottom"/>
            <w:tcBorders>
              <w:bottom w:val="single" w:sz="8" w:color="7F7F7F"/>
              <w:right w:val="single" w:sz="8" w:color="7F7F7F"/>
            </w:tcBorders>
          </w:tcPr>
          <w:p>
            <w:pPr>
              <w:spacing w:after="0"/>
              <w:rPr>
                <w:sz w:val="11"/>
                <w:szCs w:val="11"/>
                <w:color w:val="auto"/>
              </w:rPr>
            </w:pPr>
          </w:p>
        </w:tc>
        <w:tc>
          <w:tcPr>
            <w:tcW w:w="860" w:type="dxa"/>
            <w:vAlign w:val="bottom"/>
            <w:tcBorders>
              <w:bottom w:val="single" w:sz="8" w:color="7F7F7F"/>
              <w:right w:val="single" w:sz="8" w:color="7F7F7F"/>
            </w:tcBorders>
          </w:tcPr>
          <w:p>
            <w:pPr>
              <w:spacing w:after="0"/>
              <w:rPr>
                <w:sz w:val="11"/>
                <w:szCs w:val="11"/>
                <w:color w:val="auto"/>
              </w:rPr>
            </w:pPr>
          </w:p>
        </w:tc>
        <w:tc>
          <w:tcPr>
            <w:tcW w:w="760" w:type="dxa"/>
            <w:vAlign w:val="bottom"/>
            <w:tcBorders>
              <w:bottom w:val="single" w:sz="8" w:color="7F7F7F"/>
              <w:right w:val="single" w:sz="8" w:color="7F7F7F"/>
            </w:tcBorders>
          </w:tcPr>
          <w:p>
            <w:pPr>
              <w:spacing w:after="0"/>
              <w:rPr>
                <w:sz w:val="11"/>
                <w:szCs w:val="11"/>
                <w:color w:val="auto"/>
              </w:rPr>
            </w:pPr>
          </w:p>
        </w:tc>
        <w:tc>
          <w:tcPr>
            <w:tcW w:w="920" w:type="dxa"/>
            <w:vAlign w:val="bottom"/>
            <w:tcBorders>
              <w:bottom w:val="single" w:sz="8" w:color="7F7F7F"/>
              <w:right w:val="single" w:sz="8" w:color="7F7F7F"/>
            </w:tcBorders>
          </w:tcPr>
          <w:p>
            <w:pPr>
              <w:spacing w:after="0"/>
              <w:rPr>
                <w:sz w:val="11"/>
                <w:szCs w:val="11"/>
                <w:color w:val="auto"/>
              </w:rPr>
            </w:pPr>
          </w:p>
        </w:tc>
        <w:tc>
          <w:tcPr>
            <w:tcW w:w="720" w:type="dxa"/>
            <w:vAlign w:val="bottom"/>
            <w:tcBorders>
              <w:bottom w:val="single" w:sz="8" w:color="7F7F7F"/>
              <w:right w:val="single" w:sz="8" w:color="7F7F7F"/>
            </w:tcBorders>
          </w:tcPr>
          <w:p>
            <w:pPr>
              <w:spacing w:after="0"/>
              <w:rPr>
                <w:sz w:val="11"/>
                <w:szCs w:val="11"/>
                <w:color w:val="auto"/>
              </w:rPr>
            </w:pPr>
          </w:p>
        </w:tc>
        <w:tc>
          <w:tcPr>
            <w:tcW w:w="760" w:type="dxa"/>
            <w:vAlign w:val="bottom"/>
            <w:tcBorders>
              <w:bottom w:val="single" w:sz="8" w:color="7F7F7F"/>
              <w:right w:val="single" w:sz="8" w:color="7F7F7F"/>
            </w:tcBorders>
          </w:tcPr>
          <w:p>
            <w:pPr>
              <w:spacing w:after="0"/>
              <w:rPr>
                <w:sz w:val="11"/>
                <w:szCs w:val="11"/>
                <w:color w:val="auto"/>
              </w:rPr>
            </w:pPr>
          </w:p>
        </w:tc>
        <w:tc>
          <w:tcPr>
            <w:tcW w:w="760" w:type="dxa"/>
            <w:vAlign w:val="bottom"/>
            <w:tcBorders>
              <w:bottom w:val="single" w:sz="8" w:color="7F7F7F"/>
              <w:right w:val="single" w:sz="8" w:color="7F7F7F"/>
            </w:tcBorders>
          </w:tcPr>
          <w:p>
            <w:pPr>
              <w:spacing w:after="0"/>
              <w:rPr>
                <w:sz w:val="11"/>
                <w:szCs w:val="11"/>
                <w:color w:val="auto"/>
              </w:rPr>
            </w:pPr>
          </w:p>
        </w:tc>
        <w:tc>
          <w:tcPr>
            <w:tcW w:w="920" w:type="dxa"/>
            <w:vAlign w:val="bottom"/>
            <w:tcBorders>
              <w:bottom w:val="single" w:sz="8" w:color="7F7F7F"/>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920" w:type="dxa"/>
            <w:vAlign w:val="bottom"/>
            <w:tcBorders>
              <w:left w:val="single" w:sz="8" w:color="7F7F7F"/>
              <w:bottom w:val="single" w:sz="8" w:color="7F7F7F"/>
              <w:right w:val="single" w:sz="8" w:color="F2F2F2"/>
            </w:tcBorders>
            <w:shd w:val="clear" w:color="auto" w:fill="F2F2F2"/>
          </w:tcPr>
          <w:p>
            <w:pPr>
              <w:spacing w:after="0"/>
              <w:rPr>
                <w:sz w:val="18"/>
                <w:szCs w:val="18"/>
                <w:color w:val="auto"/>
              </w:rPr>
            </w:pPr>
          </w:p>
        </w:tc>
        <w:tc>
          <w:tcPr>
            <w:tcW w:w="400" w:type="dxa"/>
            <w:vAlign w:val="bottom"/>
            <w:tcBorders>
              <w:bottom w:val="single" w:sz="8" w:color="7F7F7F"/>
              <w:right w:val="single" w:sz="8" w:color="F2F2F2"/>
            </w:tcBorders>
            <w:shd w:val="clear" w:color="auto" w:fill="F2F2F2"/>
          </w:tcPr>
          <w:p>
            <w:pPr>
              <w:spacing w:after="0"/>
              <w:rPr>
                <w:sz w:val="18"/>
                <w:szCs w:val="18"/>
                <w:color w:val="auto"/>
              </w:rPr>
            </w:pPr>
          </w:p>
        </w:tc>
        <w:tc>
          <w:tcPr>
            <w:tcW w:w="640" w:type="dxa"/>
            <w:vAlign w:val="bottom"/>
            <w:tcBorders>
              <w:bottom w:val="single" w:sz="8" w:color="7F7F7F"/>
              <w:right w:val="single" w:sz="8" w:color="F2F2F2"/>
            </w:tcBorders>
            <w:shd w:val="clear" w:color="auto" w:fill="F2F2F2"/>
          </w:tcPr>
          <w:p>
            <w:pPr>
              <w:spacing w:after="0"/>
              <w:rPr>
                <w:sz w:val="18"/>
                <w:szCs w:val="18"/>
                <w:color w:val="auto"/>
              </w:rPr>
            </w:pPr>
          </w:p>
        </w:tc>
        <w:tc>
          <w:tcPr>
            <w:tcW w:w="1060" w:type="dxa"/>
            <w:vAlign w:val="bottom"/>
            <w:tcBorders>
              <w:bottom w:val="single" w:sz="8" w:color="7F7F7F"/>
              <w:right w:val="single" w:sz="8" w:color="F2F2F2"/>
            </w:tcBorders>
            <w:shd w:val="clear" w:color="auto" w:fill="F2F2F2"/>
          </w:tcPr>
          <w:p>
            <w:pPr>
              <w:spacing w:after="0"/>
              <w:rPr>
                <w:sz w:val="18"/>
                <w:szCs w:val="18"/>
                <w:color w:val="auto"/>
              </w:rPr>
            </w:pPr>
          </w:p>
        </w:tc>
        <w:tc>
          <w:tcPr>
            <w:tcW w:w="900" w:type="dxa"/>
            <w:vAlign w:val="bottom"/>
            <w:tcBorders>
              <w:bottom w:val="single" w:sz="8" w:color="7F7F7F"/>
              <w:right w:val="single" w:sz="8" w:color="F2F2F2"/>
            </w:tcBorders>
            <w:shd w:val="clear" w:color="auto" w:fill="F2F2F2"/>
          </w:tcPr>
          <w:p>
            <w:pPr>
              <w:spacing w:after="0"/>
              <w:rPr>
                <w:sz w:val="18"/>
                <w:szCs w:val="18"/>
                <w:color w:val="auto"/>
              </w:rPr>
            </w:pPr>
          </w:p>
        </w:tc>
        <w:tc>
          <w:tcPr>
            <w:tcW w:w="820" w:type="dxa"/>
            <w:vAlign w:val="bottom"/>
            <w:tcBorders>
              <w:bottom w:val="single" w:sz="8" w:color="7F7F7F"/>
              <w:right w:val="single" w:sz="8" w:color="F2F2F2"/>
            </w:tcBorders>
            <w:shd w:val="clear" w:color="auto" w:fill="F2F2F2"/>
          </w:tcPr>
          <w:p>
            <w:pPr>
              <w:spacing w:after="0"/>
              <w:rPr>
                <w:sz w:val="18"/>
                <w:szCs w:val="18"/>
                <w:color w:val="auto"/>
              </w:rPr>
            </w:pPr>
          </w:p>
        </w:tc>
        <w:tc>
          <w:tcPr>
            <w:tcW w:w="3360" w:type="dxa"/>
            <w:vAlign w:val="bottom"/>
            <w:tcBorders>
              <w:bottom w:val="single" w:sz="8" w:color="7F7F7F"/>
              <w:right w:val="single" w:sz="8" w:color="F2F2F2"/>
            </w:tcBorders>
            <w:gridSpan w:val="4"/>
            <w:shd w:val="clear" w:color="auto" w:fill="F2F2F2"/>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Carry Forward Securities</w:t>
            </w:r>
          </w:p>
        </w:tc>
        <w:tc>
          <w:tcPr>
            <w:tcW w:w="720" w:type="dxa"/>
            <w:vAlign w:val="bottom"/>
            <w:tcBorders>
              <w:bottom w:val="single" w:sz="8" w:color="7F7F7F"/>
              <w:right w:val="single" w:sz="8" w:color="F2F2F2"/>
            </w:tcBorders>
            <w:shd w:val="clear" w:color="auto" w:fill="F2F2F2"/>
          </w:tcPr>
          <w:p>
            <w:pPr>
              <w:spacing w:after="0"/>
              <w:rPr>
                <w:sz w:val="18"/>
                <w:szCs w:val="18"/>
                <w:color w:val="auto"/>
              </w:rPr>
            </w:pPr>
          </w:p>
        </w:tc>
        <w:tc>
          <w:tcPr>
            <w:tcW w:w="760" w:type="dxa"/>
            <w:vAlign w:val="bottom"/>
            <w:tcBorders>
              <w:bottom w:val="single" w:sz="8" w:color="7F7F7F"/>
              <w:right w:val="single" w:sz="8" w:color="F2F2F2"/>
            </w:tcBorders>
            <w:shd w:val="clear" w:color="auto" w:fill="F2F2F2"/>
          </w:tcPr>
          <w:p>
            <w:pPr>
              <w:spacing w:after="0"/>
              <w:rPr>
                <w:sz w:val="18"/>
                <w:szCs w:val="18"/>
                <w:color w:val="auto"/>
              </w:rPr>
            </w:pPr>
          </w:p>
        </w:tc>
        <w:tc>
          <w:tcPr>
            <w:tcW w:w="760" w:type="dxa"/>
            <w:vAlign w:val="bottom"/>
            <w:tcBorders>
              <w:bottom w:val="single" w:sz="8" w:color="7F7F7F"/>
              <w:right w:val="single" w:sz="8" w:color="F2F2F2"/>
            </w:tcBorders>
            <w:shd w:val="clear" w:color="auto" w:fill="F2F2F2"/>
          </w:tcPr>
          <w:p>
            <w:pPr>
              <w:spacing w:after="0"/>
              <w:rPr>
                <w:sz w:val="18"/>
                <w:szCs w:val="18"/>
                <w:color w:val="auto"/>
              </w:rPr>
            </w:pPr>
          </w:p>
        </w:tc>
        <w:tc>
          <w:tcPr>
            <w:tcW w:w="920" w:type="dxa"/>
            <w:vAlign w:val="bottom"/>
            <w:tcBorders>
              <w:bottom w:val="single" w:sz="8" w:color="7F7F7F"/>
              <w:right w:val="single" w:sz="8" w:color="7F7F7F"/>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920" w:type="dxa"/>
            <w:vAlign w:val="bottom"/>
            <w:tcBorders>
              <w:left w:val="single" w:sz="8" w:color="7F7F7F"/>
              <w:right w:val="single" w:sz="8" w:color="7F7F7F"/>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rPr>
              <w:t>Carry</w:t>
            </w:r>
          </w:p>
        </w:tc>
        <w:tc>
          <w:tcPr>
            <w:tcW w:w="400" w:type="dxa"/>
            <w:vAlign w:val="bottom"/>
            <w:tcBorders>
              <w:right w:val="single" w:sz="8" w:color="7F7F7F"/>
            </w:tcBorders>
          </w:tcPr>
          <w:p>
            <w:pPr>
              <w:spacing w:after="0"/>
              <w:rPr>
                <w:sz w:val="13"/>
                <w:szCs w:val="13"/>
                <w:color w:val="auto"/>
              </w:rPr>
            </w:pPr>
          </w:p>
        </w:tc>
        <w:tc>
          <w:tcPr>
            <w:tcW w:w="64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2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20" w:type="dxa"/>
            <w:vAlign w:val="bottom"/>
            <w:tcBorders>
              <w:right w:val="single" w:sz="8" w:color="7F7F7F"/>
            </w:tcBorders>
          </w:tcPr>
          <w:p>
            <w:pPr>
              <w:spacing w:after="0"/>
              <w:rPr>
                <w:sz w:val="13"/>
                <w:szCs w:val="13"/>
                <w:color w:val="auto"/>
              </w:rPr>
            </w:pPr>
          </w:p>
        </w:tc>
        <w:tc>
          <w:tcPr>
            <w:tcW w:w="8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tcBorders>
              <w:right w:val="single" w:sz="8" w:color="7F7F7F"/>
            </w:tcBorders>
          </w:tcPr>
          <w:p>
            <w:pPr>
              <w:spacing w:after="0"/>
              <w:rPr>
                <w:sz w:val="13"/>
                <w:szCs w:val="13"/>
                <w:color w:val="auto"/>
              </w:rPr>
            </w:pPr>
          </w:p>
        </w:tc>
        <w:tc>
          <w:tcPr>
            <w:tcW w:w="920" w:type="dxa"/>
            <w:vAlign w:val="bottom"/>
            <w:tcBorders>
              <w:right w:val="single" w:sz="8" w:color="7F7F7F"/>
            </w:tcBorders>
          </w:tcPr>
          <w:p>
            <w:pPr>
              <w:spacing w:after="0"/>
              <w:rPr>
                <w:sz w:val="13"/>
                <w:szCs w:val="13"/>
                <w:color w:val="auto"/>
              </w:rPr>
            </w:pPr>
          </w:p>
        </w:tc>
        <w:tc>
          <w:tcPr>
            <w:tcW w:w="72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2"/>
        </w:trPr>
        <w:tc>
          <w:tcPr>
            <w:tcW w:w="920" w:type="dxa"/>
            <w:vAlign w:val="bottom"/>
            <w:tcBorders>
              <w:left w:val="single" w:sz="8" w:color="7F7F7F"/>
              <w:right w:val="single" w:sz="8" w:color="7F7F7F"/>
            </w:tcBorders>
          </w:tcPr>
          <w:p>
            <w:pPr>
              <w:ind w:left="60"/>
              <w:spacing w:after="0" w:line="162" w:lineRule="exact"/>
              <w:rPr>
                <w:sz w:val="20"/>
                <w:szCs w:val="20"/>
                <w:color w:val="auto"/>
              </w:rPr>
            </w:pPr>
            <w:r>
              <w:rPr>
                <w:rFonts w:ascii="Times New Roman" w:cs="Times New Roman" w:eastAsia="Times New Roman" w:hAnsi="Times New Roman"/>
                <w:sz w:val="16"/>
                <w:szCs w:val="16"/>
                <w:color w:val="auto"/>
              </w:rPr>
              <w:t>Forward</w:t>
            </w:r>
          </w:p>
        </w:tc>
        <w:tc>
          <w:tcPr>
            <w:tcW w:w="400" w:type="dxa"/>
            <w:vAlign w:val="bottom"/>
            <w:tcBorders>
              <w:right w:val="single" w:sz="8" w:color="7F7F7F"/>
            </w:tcBorders>
          </w:tcPr>
          <w:p>
            <w:pPr>
              <w:spacing w:after="0"/>
              <w:rPr>
                <w:sz w:val="14"/>
                <w:szCs w:val="14"/>
                <w:color w:val="auto"/>
              </w:rPr>
            </w:pPr>
          </w:p>
        </w:tc>
        <w:tc>
          <w:tcPr>
            <w:tcW w:w="640" w:type="dxa"/>
            <w:vAlign w:val="bottom"/>
            <w:tcBorders>
              <w:right w:val="single" w:sz="8" w:color="7F7F7F"/>
            </w:tcBorders>
            <w:vMerge w:val="continue"/>
          </w:tcPr>
          <w:p>
            <w:pPr>
              <w:spacing w:after="0"/>
              <w:rPr>
                <w:sz w:val="14"/>
                <w:szCs w:val="14"/>
                <w:color w:val="auto"/>
              </w:rPr>
            </w:pPr>
          </w:p>
        </w:tc>
        <w:tc>
          <w:tcPr>
            <w:tcW w:w="1060" w:type="dxa"/>
            <w:vAlign w:val="bottom"/>
            <w:tcBorders>
              <w:right w:val="single" w:sz="8" w:color="7F7F7F"/>
            </w:tcBorders>
            <w:vMerge w:val="continue"/>
          </w:tcPr>
          <w:p>
            <w:pPr>
              <w:spacing w:after="0"/>
              <w:rPr>
                <w:sz w:val="14"/>
                <w:szCs w:val="14"/>
                <w:color w:val="auto"/>
              </w:rPr>
            </w:pPr>
          </w:p>
        </w:tc>
        <w:tc>
          <w:tcPr>
            <w:tcW w:w="900" w:type="dxa"/>
            <w:vAlign w:val="bottom"/>
            <w:tcBorders>
              <w:right w:val="single" w:sz="8" w:color="7F7F7F"/>
            </w:tcBorders>
            <w:vMerge w:val="continue"/>
          </w:tcPr>
          <w:p>
            <w:pPr>
              <w:spacing w:after="0"/>
              <w:rPr>
                <w:sz w:val="14"/>
                <w:szCs w:val="14"/>
                <w:color w:val="auto"/>
              </w:rPr>
            </w:pPr>
          </w:p>
        </w:tc>
        <w:tc>
          <w:tcPr>
            <w:tcW w:w="820" w:type="dxa"/>
            <w:vAlign w:val="bottom"/>
            <w:tcBorders>
              <w:right w:val="single" w:sz="8" w:color="7F7F7F"/>
            </w:tcBorders>
            <w:vMerge w:val="continue"/>
          </w:tcPr>
          <w:p>
            <w:pPr>
              <w:spacing w:after="0"/>
              <w:rPr>
                <w:sz w:val="14"/>
                <w:szCs w:val="14"/>
                <w:color w:val="auto"/>
              </w:rPr>
            </w:pPr>
          </w:p>
        </w:tc>
        <w:tc>
          <w:tcPr>
            <w:tcW w:w="820" w:type="dxa"/>
            <w:vAlign w:val="bottom"/>
            <w:tcBorders>
              <w:right w:val="single" w:sz="8" w:color="7F7F7F"/>
            </w:tcBorders>
          </w:tcPr>
          <w:p>
            <w:pPr>
              <w:spacing w:after="0"/>
              <w:rPr>
                <w:sz w:val="14"/>
                <w:szCs w:val="14"/>
                <w:color w:val="auto"/>
              </w:rPr>
            </w:pPr>
          </w:p>
        </w:tc>
        <w:tc>
          <w:tcPr>
            <w:tcW w:w="860" w:type="dxa"/>
            <w:vAlign w:val="bottom"/>
            <w:tcBorders>
              <w:right w:val="single" w:sz="8" w:color="7F7F7F"/>
            </w:tcBorders>
            <w:vMerge w:val="continue"/>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920" w:type="dxa"/>
            <w:vAlign w:val="bottom"/>
            <w:tcBorders>
              <w:right w:val="single" w:sz="8" w:color="7F7F7F"/>
            </w:tcBorders>
          </w:tcPr>
          <w:p>
            <w:pPr>
              <w:spacing w:after="0"/>
              <w:rPr>
                <w:sz w:val="14"/>
                <w:szCs w:val="14"/>
                <w:color w:val="auto"/>
              </w:rPr>
            </w:pPr>
          </w:p>
        </w:tc>
        <w:tc>
          <w:tcPr>
            <w:tcW w:w="720" w:type="dxa"/>
            <w:vAlign w:val="bottom"/>
            <w:tcBorders>
              <w:right w:val="single" w:sz="8" w:color="7F7F7F"/>
            </w:tcBorders>
            <w:vMerge w:val="continue"/>
          </w:tcPr>
          <w:p>
            <w:pPr>
              <w:spacing w:after="0"/>
              <w:rPr>
                <w:sz w:val="14"/>
                <w:szCs w:val="14"/>
                <w:color w:val="auto"/>
              </w:rPr>
            </w:pPr>
          </w:p>
        </w:tc>
        <w:tc>
          <w:tcPr>
            <w:tcW w:w="760" w:type="dxa"/>
            <w:vAlign w:val="bottom"/>
            <w:tcBorders>
              <w:right w:val="single" w:sz="8" w:color="7F7F7F"/>
            </w:tcBorders>
            <w:vMerge w:val="continue"/>
          </w:tcPr>
          <w:p>
            <w:pPr>
              <w:spacing w:after="0"/>
              <w:rPr>
                <w:sz w:val="14"/>
                <w:szCs w:val="14"/>
                <w:color w:val="auto"/>
              </w:rPr>
            </w:pPr>
          </w:p>
        </w:tc>
        <w:tc>
          <w:tcPr>
            <w:tcW w:w="760" w:type="dxa"/>
            <w:vAlign w:val="bottom"/>
            <w:tcBorders>
              <w:right w:val="single" w:sz="8" w:color="7F7F7F"/>
            </w:tcBorders>
            <w:vMerge w:val="continue"/>
          </w:tcPr>
          <w:p>
            <w:pPr>
              <w:spacing w:after="0"/>
              <w:rPr>
                <w:sz w:val="14"/>
                <w:szCs w:val="14"/>
                <w:color w:val="auto"/>
              </w:rPr>
            </w:pPr>
          </w:p>
        </w:tc>
        <w:tc>
          <w:tcPr>
            <w:tcW w:w="920" w:type="dxa"/>
            <w:vAlign w:val="bottom"/>
            <w:tcBorders>
              <w:right w:val="single" w:sz="8" w:color="7F7F7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20" w:type="dxa"/>
            <w:vAlign w:val="bottom"/>
            <w:tcBorders>
              <w:left w:val="single" w:sz="8" w:color="7F7F7F"/>
              <w:bottom w:val="single" w:sz="8" w:color="auto"/>
              <w:right w:val="single" w:sz="8" w:color="7F7F7F"/>
            </w:tcBorders>
          </w:tcPr>
          <w:p>
            <w:pPr>
              <w:ind w:left="60"/>
              <w:spacing w:after="0"/>
              <w:rPr>
                <w:sz w:val="20"/>
                <w:szCs w:val="20"/>
                <w:color w:val="auto"/>
              </w:rPr>
            </w:pPr>
            <w:r>
              <w:rPr>
                <w:rFonts w:ascii="Times New Roman" w:cs="Times New Roman" w:eastAsia="Times New Roman" w:hAnsi="Times New Roman"/>
                <w:sz w:val="16"/>
                <w:szCs w:val="16"/>
                <w:color w:val="auto"/>
              </w:rPr>
              <w:t>Securities</w:t>
            </w:r>
          </w:p>
        </w:tc>
        <w:tc>
          <w:tcPr>
            <w:tcW w:w="400" w:type="dxa"/>
            <w:vAlign w:val="bottom"/>
            <w:tcBorders>
              <w:bottom w:val="single" w:sz="8" w:color="auto"/>
              <w:right w:val="single" w:sz="8" w:color="7F7F7F"/>
            </w:tcBorders>
          </w:tcPr>
          <w:p>
            <w:pPr>
              <w:spacing w:after="0"/>
              <w:rPr>
                <w:sz w:val="18"/>
                <w:szCs w:val="18"/>
                <w:color w:val="auto"/>
              </w:rPr>
            </w:pPr>
          </w:p>
        </w:tc>
        <w:tc>
          <w:tcPr>
            <w:tcW w:w="640" w:type="dxa"/>
            <w:vAlign w:val="bottom"/>
            <w:tcBorders>
              <w:bottom w:val="single" w:sz="8" w:color="auto"/>
              <w:right w:val="single" w:sz="8" w:color="7F7F7F"/>
            </w:tcBorders>
          </w:tcPr>
          <w:p>
            <w:pPr>
              <w:spacing w:after="0"/>
              <w:rPr>
                <w:sz w:val="18"/>
                <w:szCs w:val="18"/>
                <w:color w:val="auto"/>
              </w:rPr>
            </w:pPr>
          </w:p>
        </w:tc>
        <w:tc>
          <w:tcPr>
            <w:tcW w:w="1060" w:type="dxa"/>
            <w:vAlign w:val="bottom"/>
            <w:tcBorders>
              <w:bottom w:val="single" w:sz="8" w:color="auto"/>
              <w:right w:val="single" w:sz="8" w:color="7F7F7F"/>
            </w:tcBorders>
          </w:tcPr>
          <w:p>
            <w:pPr>
              <w:spacing w:after="0"/>
              <w:rPr>
                <w:sz w:val="18"/>
                <w:szCs w:val="18"/>
                <w:color w:val="auto"/>
              </w:rPr>
            </w:pPr>
          </w:p>
        </w:tc>
        <w:tc>
          <w:tcPr>
            <w:tcW w:w="900" w:type="dxa"/>
            <w:vAlign w:val="bottom"/>
            <w:tcBorders>
              <w:bottom w:val="single" w:sz="8" w:color="auto"/>
              <w:right w:val="single" w:sz="8" w:color="7F7F7F"/>
            </w:tcBorders>
          </w:tcPr>
          <w:p>
            <w:pPr>
              <w:spacing w:after="0"/>
              <w:rPr>
                <w:sz w:val="18"/>
                <w:szCs w:val="18"/>
                <w:color w:val="auto"/>
              </w:rPr>
            </w:pPr>
          </w:p>
        </w:tc>
        <w:tc>
          <w:tcPr>
            <w:tcW w:w="820" w:type="dxa"/>
            <w:vAlign w:val="bottom"/>
            <w:tcBorders>
              <w:bottom w:val="single" w:sz="8" w:color="auto"/>
              <w:right w:val="single" w:sz="8" w:color="7F7F7F"/>
            </w:tcBorders>
          </w:tcPr>
          <w:p>
            <w:pPr>
              <w:spacing w:after="0"/>
              <w:rPr>
                <w:sz w:val="18"/>
                <w:szCs w:val="18"/>
                <w:color w:val="auto"/>
              </w:rPr>
            </w:pPr>
          </w:p>
        </w:tc>
        <w:tc>
          <w:tcPr>
            <w:tcW w:w="820" w:type="dxa"/>
            <w:vAlign w:val="bottom"/>
            <w:tcBorders>
              <w:bottom w:val="single" w:sz="8" w:color="auto"/>
              <w:right w:val="single" w:sz="8" w:color="7F7F7F"/>
            </w:tcBorders>
          </w:tcPr>
          <w:p>
            <w:pPr>
              <w:spacing w:after="0"/>
              <w:rPr>
                <w:sz w:val="18"/>
                <w:szCs w:val="18"/>
                <w:color w:val="auto"/>
              </w:rPr>
            </w:pPr>
          </w:p>
        </w:tc>
        <w:tc>
          <w:tcPr>
            <w:tcW w:w="860" w:type="dxa"/>
            <w:vAlign w:val="bottom"/>
            <w:tcBorders>
              <w:bottom w:val="single" w:sz="8" w:color="auto"/>
              <w:right w:val="single" w:sz="8" w:color="7F7F7F"/>
            </w:tcBorders>
          </w:tcPr>
          <w:p>
            <w:pPr>
              <w:spacing w:after="0"/>
              <w:rPr>
                <w:sz w:val="18"/>
                <w:szCs w:val="18"/>
                <w:color w:val="auto"/>
              </w:rPr>
            </w:pPr>
          </w:p>
        </w:tc>
        <w:tc>
          <w:tcPr>
            <w:tcW w:w="760" w:type="dxa"/>
            <w:vAlign w:val="bottom"/>
            <w:tcBorders>
              <w:bottom w:val="single" w:sz="8" w:color="auto"/>
              <w:right w:val="single" w:sz="8" w:color="7F7F7F"/>
            </w:tcBorders>
          </w:tcPr>
          <w:p>
            <w:pPr>
              <w:spacing w:after="0"/>
              <w:rPr>
                <w:sz w:val="18"/>
                <w:szCs w:val="18"/>
                <w:color w:val="auto"/>
              </w:rPr>
            </w:pPr>
          </w:p>
        </w:tc>
        <w:tc>
          <w:tcPr>
            <w:tcW w:w="920" w:type="dxa"/>
            <w:vAlign w:val="bottom"/>
            <w:tcBorders>
              <w:bottom w:val="single" w:sz="8" w:color="auto"/>
              <w:right w:val="single" w:sz="8" w:color="7F7F7F"/>
            </w:tcBorders>
          </w:tcPr>
          <w:p>
            <w:pPr>
              <w:spacing w:after="0"/>
              <w:rPr>
                <w:sz w:val="18"/>
                <w:szCs w:val="18"/>
                <w:color w:val="auto"/>
              </w:rPr>
            </w:pPr>
          </w:p>
        </w:tc>
        <w:tc>
          <w:tcPr>
            <w:tcW w:w="720" w:type="dxa"/>
            <w:vAlign w:val="bottom"/>
            <w:tcBorders>
              <w:bottom w:val="single" w:sz="8" w:color="auto"/>
              <w:right w:val="single" w:sz="8" w:color="7F7F7F"/>
            </w:tcBorders>
          </w:tcPr>
          <w:p>
            <w:pPr>
              <w:spacing w:after="0"/>
              <w:rPr>
                <w:sz w:val="18"/>
                <w:szCs w:val="18"/>
                <w:color w:val="auto"/>
              </w:rPr>
            </w:pPr>
          </w:p>
        </w:tc>
        <w:tc>
          <w:tcPr>
            <w:tcW w:w="760" w:type="dxa"/>
            <w:vAlign w:val="bottom"/>
            <w:tcBorders>
              <w:bottom w:val="single" w:sz="8" w:color="auto"/>
              <w:right w:val="single" w:sz="8" w:color="7F7F7F"/>
            </w:tcBorders>
          </w:tcPr>
          <w:p>
            <w:pPr>
              <w:spacing w:after="0"/>
              <w:rPr>
                <w:sz w:val="18"/>
                <w:szCs w:val="18"/>
                <w:color w:val="auto"/>
              </w:rPr>
            </w:pPr>
          </w:p>
        </w:tc>
        <w:tc>
          <w:tcPr>
            <w:tcW w:w="760" w:type="dxa"/>
            <w:vAlign w:val="bottom"/>
            <w:tcBorders>
              <w:bottom w:val="single" w:sz="8" w:color="auto"/>
              <w:right w:val="single" w:sz="8" w:color="7F7F7F"/>
            </w:tcBorders>
          </w:tcPr>
          <w:p>
            <w:pPr>
              <w:spacing w:after="0"/>
              <w:rPr>
                <w:sz w:val="18"/>
                <w:szCs w:val="18"/>
                <w:color w:val="auto"/>
              </w:rPr>
            </w:pPr>
          </w:p>
        </w:tc>
        <w:tc>
          <w:tcPr>
            <w:tcW w:w="920" w:type="dxa"/>
            <w:vAlign w:val="bottom"/>
            <w:tcBorders>
              <w:bottom w:val="single" w:sz="8" w:color="auto"/>
              <w:right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$0.00</w:t>
            </w:r>
          </w:p>
        </w:tc>
        <w:tc>
          <w:tcPr>
            <w:tcW w:w="168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9"/>
              </w:rPr>
              <w:t>$0.00</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860" w:type="dxa"/>
            <w:vAlign w:val="bottom"/>
          </w:tcPr>
          <w:p>
            <w:pPr>
              <w:spacing w:after="0"/>
              <w:rPr>
                <w:sz w:val="18"/>
                <w:szCs w:val="18"/>
                <w:color w:val="auto"/>
              </w:rPr>
            </w:pPr>
          </w:p>
        </w:tc>
        <w:tc>
          <w:tcPr>
            <w:tcW w:w="168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9"/>
              </w:rPr>
              <w:t>$0.00</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860" w:type="dxa"/>
            <w:vAlign w:val="bottom"/>
          </w:tcPr>
          <w:p>
            <w:pPr>
              <w:spacing w:after="0"/>
              <w:rPr>
                <w:sz w:val="18"/>
                <w:szCs w:val="18"/>
                <w:color w:val="auto"/>
              </w:rPr>
            </w:pPr>
          </w:p>
        </w:tc>
        <w:tc>
          <w:tcPr>
            <w:tcW w:w="168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9"/>
              </w:rPr>
              <w:t>$0.00</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860" w:type="dxa"/>
            <w:vAlign w:val="bottom"/>
          </w:tcPr>
          <w:p>
            <w:pPr>
              <w:spacing w:after="0"/>
              <w:rPr>
                <w:sz w:val="18"/>
                <w:szCs w:val="18"/>
                <w:color w:val="auto"/>
              </w:rPr>
            </w:pPr>
          </w:p>
        </w:tc>
        <w:tc>
          <w:tcPr>
            <w:tcW w:w="168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9"/>
              </w:rPr>
              <w:t>$0.00</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Offering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540" w:hanging="343"/>
        <w:spacing w:after="0"/>
        <w:tabs>
          <w:tab w:leader="none" w:pos="5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consideration may or may not be received for securities that are issuable on exercise, conversion, settlement or exchange of other securities.</w:t>
      </w:r>
    </w:p>
    <w:p>
      <w:pPr>
        <w:spacing w:after="0" w:line="26" w:lineRule="exact"/>
        <w:rPr>
          <w:rFonts w:ascii="Times New Roman" w:cs="Times New Roman" w:eastAsia="Times New Roman" w:hAnsi="Times New Roman"/>
          <w:sz w:val="16"/>
          <w:szCs w:val="16"/>
          <w:color w:val="auto"/>
        </w:rPr>
      </w:pPr>
    </w:p>
    <w:p>
      <w:pPr>
        <w:jc w:val="both"/>
        <w:ind w:left="540" w:right="200" w:firstLine="2"/>
        <w:spacing w:after="0" w:line="256" w:lineRule="auto"/>
        <w:tabs>
          <w:tab w:leader="none" w:pos="769"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under the Securities Act of 1933, as amended (the “Securities Act”), Commvault Systems, Inc. (“Commvault”) is deferring payment of all of the registration fee. Registration fees will be paid subsequently on a “pay as you go” basis. Commvault will calculate the registration fee applicable to an offer of securities pursuant to this Registration Statement based on the fee payment rate in effect on the date of such fee payment.</w:t>
      </w:r>
    </w:p>
    <w:p>
      <w:pPr>
        <w:spacing w:after="0" w:line="1" w:lineRule="exact"/>
        <w:rPr>
          <w:rFonts w:ascii="Times New Roman" w:cs="Times New Roman" w:eastAsia="Times New Roman" w:hAnsi="Times New Roman"/>
          <w:sz w:val="16"/>
          <w:szCs w:val="16"/>
          <w:color w:val="auto"/>
        </w:rPr>
      </w:pPr>
    </w:p>
    <w:p>
      <w:pPr>
        <w:ind w:left="540" w:right="200" w:firstLine="2"/>
        <w:spacing w:after="0" w:line="248" w:lineRule="auto"/>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and number or amount of the securities of the identified class is being registered as may from time to time be issued at indeterminate prices, including securities that may be issued upon exercise, conversion, settlement or exchange of, any securities offered hereunder.</w:t>
      </w:r>
    </w:p>
    <w:p>
      <w:pPr>
        <w:spacing w:after="0" w:line="1" w:lineRule="exact"/>
        <w:rPr>
          <w:rFonts w:ascii="Times New Roman" w:cs="Times New Roman" w:eastAsia="Times New Roman" w:hAnsi="Times New Roman"/>
          <w:sz w:val="16"/>
          <w:szCs w:val="16"/>
          <w:color w:val="auto"/>
        </w:rPr>
      </w:pPr>
    </w:p>
    <w:p>
      <w:pPr>
        <w:ind w:left="780" w:hanging="238"/>
        <w:spacing w:after="0"/>
        <w:tabs>
          <w:tab w:leader="none" w:pos="78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Aggregate Offering Price exclusive of accrued interest and accumulated dividends, if any,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8" w:lineRule="exact"/>
        <w:rPr>
          <w:sz w:val="20"/>
          <w:szCs w:val="20"/>
          <w:color w:val="auto"/>
        </w:rPr>
      </w:pPr>
    </w:p>
    <w:p>
      <w:pPr>
        <w:ind w:left="540" w:hanging="343"/>
        <w:spacing w:after="0"/>
        <w:tabs>
          <w:tab w:leader="none" w:pos="5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consideration may or may not be received for securities that are issuable on exercise, conversion, settlement or exchange of other securities.</w:t>
      </w:r>
    </w:p>
    <w:p>
      <w:pPr>
        <w:spacing w:after="0" w:line="26" w:lineRule="exact"/>
        <w:rPr>
          <w:rFonts w:ascii="Times New Roman" w:cs="Times New Roman" w:eastAsia="Times New Roman" w:hAnsi="Times New Roman"/>
          <w:sz w:val="16"/>
          <w:szCs w:val="16"/>
          <w:color w:val="auto"/>
        </w:rPr>
      </w:pPr>
    </w:p>
    <w:p>
      <w:pPr>
        <w:ind w:left="540" w:right="300" w:firstLine="2"/>
        <w:spacing w:after="0" w:line="256" w:lineRule="auto"/>
        <w:tabs>
          <w:tab w:leader="none" w:pos="769"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under the Securities Act, Commvault is deferring payment of all of the registration fee. Registration fees will be paid subsequently on a “pay as you go” basis. Commvault will calculate the registration fee applicable to an offer of securities pursuant to this Registration Statement based on the fee payment rate in effect on the date of such fee payment.</w:t>
      </w:r>
    </w:p>
    <w:p>
      <w:pPr>
        <w:spacing w:after="0" w:line="1" w:lineRule="exact"/>
        <w:rPr>
          <w:rFonts w:ascii="Times New Roman" w:cs="Times New Roman" w:eastAsia="Times New Roman" w:hAnsi="Times New Roman"/>
          <w:sz w:val="16"/>
          <w:szCs w:val="16"/>
          <w:color w:val="auto"/>
        </w:rPr>
      </w:pPr>
    </w:p>
    <w:p>
      <w:pPr>
        <w:ind w:left="540" w:right="200" w:firstLine="2"/>
        <w:spacing w:after="0" w:line="248" w:lineRule="auto"/>
        <w:tabs>
          <w:tab w:leader="none" w:pos="7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and number or amount of the securities of the identified class is being registered as may from time to time be issued at indeterminate prices, including securities that may be issued upon exercise, conversion, settlement or exchange of, any securities offered hereunder.</w:t>
      </w:r>
    </w:p>
    <w:p>
      <w:pPr>
        <w:spacing w:after="0" w:line="1" w:lineRule="exact"/>
        <w:rPr>
          <w:rFonts w:ascii="Times New Roman" w:cs="Times New Roman" w:eastAsia="Times New Roman" w:hAnsi="Times New Roman"/>
          <w:sz w:val="16"/>
          <w:szCs w:val="16"/>
          <w:color w:val="auto"/>
        </w:rPr>
      </w:pPr>
    </w:p>
    <w:p>
      <w:pPr>
        <w:ind w:left="780" w:hanging="238"/>
        <w:spacing w:after="0"/>
        <w:tabs>
          <w:tab w:leader="none" w:pos="7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Aggregate Offering Price exclusive of accrued interest and accumulated dividends, if any,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8" w:lineRule="exact"/>
        <w:rPr>
          <w:sz w:val="20"/>
          <w:szCs w:val="20"/>
          <w:color w:val="auto"/>
        </w:rPr>
      </w:pPr>
    </w:p>
    <w:p>
      <w:pPr>
        <w:ind w:left="540" w:hanging="343"/>
        <w:spacing w:after="0"/>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consideration may or may not be received for securities that are issuable on exercise, conversion, settlement or exchange of other securities.</w:t>
      </w:r>
    </w:p>
    <w:p>
      <w:pPr>
        <w:spacing w:after="0" w:line="26" w:lineRule="exact"/>
        <w:rPr>
          <w:rFonts w:ascii="Times New Roman" w:cs="Times New Roman" w:eastAsia="Times New Roman" w:hAnsi="Times New Roman"/>
          <w:sz w:val="16"/>
          <w:szCs w:val="16"/>
          <w:color w:val="auto"/>
        </w:rPr>
      </w:pPr>
    </w:p>
    <w:p>
      <w:pPr>
        <w:ind w:left="540" w:right="300" w:firstLine="2"/>
        <w:spacing w:after="0" w:line="256" w:lineRule="auto"/>
        <w:tabs>
          <w:tab w:leader="none" w:pos="769"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under the Securities Act, Commvault is deferring payment of all of the registration fee. Registration fees will be paid subsequently on a “pay as you go” basis. Commvault will calculate the registration fee applicable to an offer of securities pursuant to this Registration Statement based on the fee payment rate in effect on the date of such fee payment.</w:t>
      </w:r>
    </w:p>
    <w:p>
      <w:pPr>
        <w:spacing w:after="0" w:line="1" w:lineRule="exact"/>
        <w:rPr>
          <w:rFonts w:ascii="Times New Roman" w:cs="Times New Roman" w:eastAsia="Times New Roman" w:hAnsi="Times New Roman"/>
          <w:sz w:val="16"/>
          <w:szCs w:val="16"/>
          <w:color w:val="auto"/>
        </w:rPr>
      </w:pPr>
    </w:p>
    <w:p>
      <w:pPr>
        <w:ind w:left="540" w:right="200" w:firstLine="2"/>
        <w:spacing w:after="0" w:line="248" w:lineRule="auto"/>
        <w:tabs>
          <w:tab w:leader="none" w:pos="7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and number or amount of the securities of the identified class is being registered as may from time to time be issued at indeterminate prices, including securities that may be issued upon exercise, conversion, settlement or exchange of, any securities offered hereunder.</w:t>
      </w:r>
    </w:p>
    <w:p>
      <w:pPr>
        <w:spacing w:after="0" w:line="1" w:lineRule="exact"/>
        <w:rPr>
          <w:rFonts w:ascii="Times New Roman" w:cs="Times New Roman" w:eastAsia="Times New Roman" w:hAnsi="Times New Roman"/>
          <w:sz w:val="16"/>
          <w:szCs w:val="16"/>
          <w:color w:val="auto"/>
        </w:rPr>
      </w:pPr>
    </w:p>
    <w:p>
      <w:pPr>
        <w:ind w:left="780" w:hanging="238"/>
        <w:spacing w:after="0"/>
        <w:tabs>
          <w:tab w:leader="none" w:pos="78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Aggregate Offering Price exclusive of accrued interest and accumulated dividends, if any,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8" w:lineRule="exact"/>
        <w:rPr>
          <w:sz w:val="20"/>
          <w:szCs w:val="20"/>
          <w:color w:val="auto"/>
        </w:rPr>
      </w:pPr>
    </w:p>
    <w:p>
      <w:pPr>
        <w:ind w:left="540" w:hanging="343"/>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consideration may or may not be received for securities that are issuable on exercise, conversion, settlement or exchange of other securities.</w:t>
      </w:r>
    </w:p>
    <w:p>
      <w:pPr>
        <w:spacing w:after="0" w:line="26" w:lineRule="exact"/>
        <w:rPr>
          <w:rFonts w:ascii="Times New Roman" w:cs="Times New Roman" w:eastAsia="Times New Roman" w:hAnsi="Times New Roman"/>
          <w:sz w:val="16"/>
          <w:szCs w:val="16"/>
          <w:color w:val="auto"/>
        </w:rPr>
      </w:pPr>
    </w:p>
    <w:p>
      <w:pPr>
        <w:ind w:left="540" w:right="300" w:firstLine="2"/>
        <w:spacing w:after="0" w:line="256" w:lineRule="auto"/>
        <w:tabs>
          <w:tab w:leader="none" w:pos="769"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under the Securities Act, Commvault is deferring payment of all of the registration fee. Registration fees will be paid subsequently on a “pay as you go” basis. Commvault will calculate the registration fee applicable to an offer of securities pursuant to this Registration Statement based on the fee payment rate in effect on the date of such fee payment.</w:t>
      </w:r>
    </w:p>
    <w:p>
      <w:pPr>
        <w:spacing w:after="0" w:line="1" w:lineRule="exact"/>
        <w:rPr>
          <w:rFonts w:ascii="Times New Roman" w:cs="Times New Roman" w:eastAsia="Times New Roman" w:hAnsi="Times New Roman"/>
          <w:sz w:val="16"/>
          <w:szCs w:val="16"/>
          <w:color w:val="auto"/>
        </w:rPr>
      </w:pPr>
    </w:p>
    <w:p>
      <w:pPr>
        <w:ind w:left="540" w:right="200" w:firstLine="2"/>
        <w:spacing w:after="0" w:line="248" w:lineRule="auto"/>
        <w:tabs>
          <w:tab w:leader="none" w:pos="7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and number or amount of the securities of the identified class is being registered as may from time to time be issued at indeterminate prices, including securities that may be issued upon exercise, conversion, settlement or exchange of, any securities offered hereunder.</w:t>
      </w:r>
    </w:p>
    <w:p>
      <w:pPr>
        <w:spacing w:after="0" w:line="1" w:lineRule="exact"/>
        <w:rPr>
          <w:rFonts w:ascii="Times New Roman" w:cs="Times New Roman" w:eastAsia="Times New Roman" w:hAnsi="Times New Roman"/>
          <w:sz w:val="16"/>
          <w:szCs w:val="16"/>
          <w:color w:val="auto"/>
        </w:rPr>
      </w:pPr>
    </w:p>
    <w:p>
      <w:pPr>
        <w:ind w:left="780" w:hanging="238"/>
        <w:spacing w:after="0"/>
        <w:tabs>
          <w:tab w:leader="none" w:pos="78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Aggregate Offering Price exclusive of accrued interest and accumulated dividends, if any,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8" w:lineRule="exact"/>
        <w:rPr>
          <w:sz w:val="20"/>
          <w:szCs w:val="20"/>
          <w:color w:val="auto"/>
        </w:rPr>
      </w:pPr>
    </w:p>
    <w:p>
      <w:pPr>
        <w:ind w:left="540" w:hanging="343"/>
        <w:spacing w:after="0"/>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consideration may or may not be received for securities that are issuable on exercise, conversion, settlement or exchange of other securities.</w:t>
      </w:r>
    </w:p>
    <w:p>
      <w:pPr>
        <w:spacing w:after="0" w:line="26" w:lineRule="exact"/>
        <w:rPr>
          <w:rFonts w:ascii="Times New Roman" w:cs="Times New Roman" w:eastAsia="Times New Roman" w:hAnsi="Times New Roman"/>
          <w:sz w:val="16"/>
          <w:szCs w:val="16"/>
          <w:color w:val="auto"/>
        </w:rPr>
      </w:pPr>
    </w:p>
    <w:p>
      <w:pPr>
        <w:ind w:left="540" w:right="300" w:firstLine="2"/>
        <w:spacing w:after="0" w:line="256" w:lineRule="auto"/>
        <w:tabs>
          <w:tab w:leader="none" w:pos="769"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under the Securities Act, Commvault is deferring payment of all of the registration fee. Registration fees will be paid subsequently on a “pay as you go” basis. Commvault will calculate the registration fee applicable to an offer of securities pursuant to this Registration Statement based on the fee payment rate in effect on the date of such fee payment.</w:t>
      </w:r>
    </w:p>
    <w:p>
      <w:pPr>
        <w:spacing w:after="0" w:line="1" w:lineRule="exact"/>
        <w:rPr>
          <w:rFonts w:ascii="Times New Roman" w:cs="Times New Roman" w:eastAsia="Times New Roman" w:hAnsi="Times New Roman"/>
          <w:sz w:val="16"/>
          <w:szCs w:val="16"/>
          <w:color w:val="auto"/>
        </w:rPr>
      </w:pPr>
    </w:p>
    <w:p>
      <w:pPr>
        <w:ind w:left="540" w:right="200" w:firstLine="2"/>
        <w:spacing w:after="0" w:line="248" w:lineRule="auto"/>
        <w:tabs>
          <w:tab w:leader="none" w:pos="76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and number or amount of the securities of the identified class is being registered as may from time to time be issued at indeterminate prices, including securities that may be issued upon exercise, conversion, settlement or exchange of, any securities offered hereunder.</w:t>
      </w:r>
    </w:p>
    <w:p>
      <w:pPr>
        <w:spacing w:after="0" w:line="1" w:lineRule="exact"/>
        <w:rPr>
          <w:rFonts w:ascii="Times New Roman" w:cs="Times New Roman" w:eastAsia="Times New Roman" w:hAnsi="Times New Roman"/>
          <w:sz w:val="16"/>
          <w:szCs w:val="16"/>
          <w:color w:val="auto"/>
        </w:rPr>
      </w:pPr>
    </w:p>
    <w:p>
      <w:pPr>
        <w:ind w:left="780" w:hanging="238"/>
        <w:spacing w:after="0"/>
        <w:tabs>
          <w:tab w:leader="none" w:pos="7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Aggregate Offering Price exclusive of accrued interest and accumulated dividends, if any,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2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Offering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540" w:hanging="343"/>
        <w:spacing w:after="0"/>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consideration may or may not be received for securities that are issuable on exercise, conversion, settlement or exchange of other securities.</w:t>
      </w:r>
    </w:p>
    <w:p>
      <w:pPr>
        <w:spacing w:after="0" w:line="26" w:lineRule="exact"/>
        <w:rPr>
          <w:rFonts w:ascii="Times New Roman" w:cs="Times New Roman" w:eastAsia="Times New Roman" w:hAnsi="Times New Roman"/>
          <w:sz w:val="16"/>
          <w:szCs w:val="16"/>
          <w:color w:val="auto"/>
        </w:rPr>
      </w:pPr>
    </w:p>
    <w:p>
      <w:pPr>
        <w:ind w:left="540" w:right="300" w:firstLine="2"/>
        <w:spacing w:after="0" w:line="256" w:lineRule="auto"/>
        <w:tabs>
          <w:tab w:leader="none" w:pos="769"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under the Securities Act, Commvault is deferring payment of all of the registration fee. Registration fees will be paid subsequently on a “pay as you go” basis. Commvault will calculate the registration fee applicable to an offer of securities pursuant to this Registration Statement based on the fee payment rate in effect on the date of such fee payment.</w:t>
      </w:r>
    </w:p>
    <w:p>
      <w:pPr>
        <w:spacing w:after="0" w:line="1" w:lineRule="exact"/>
        <w:rPr>
          <w:rFonts w:ascii="Times New Roman" w:cs="Times New Roman" w:eastAsia="Times New Roman" w:hAnsi="Times New Roman"/>
          <w:sz w:val="16"/>
          <w:szCs w:val="16"/>
          <w:color w:val="auto"/>
        </w:rPr>
      </w:pPr>
    </w:p>
    <w:p>
      <w:pPr>
        <w:ind w:left="540" w:right="200" w:firstLine="2"/>
        <w:spacing w:after="0" w:line="248" w:lineRule="auto"/>
        <w:tabs>
          <w:tab w:leader="none" w:pos="76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and number or amount of the securities of the identified class is being registered as may from time to time be issued at indeterminate prices, including securities that may be issued upon exercise, conversion, settlement or exchange of, any securities offered hereunder.</w:t>
      </w:r>
    </w:p>
    <w:p>
      <w:pPr>
        <w:spacing w:after="0" w:line="1" w:lineRule="exact"/>
        <w:rPr>
          <w:rFonts w:ascii="Times New Roman" w:cs="Times New Roman" w:eastAsia="Times New Roman" w:hAnsi="Times New Roman"/>
          <w:sz w:val="16"/>
          <w:szCs w:val="16"/>
          <w:color w:val="auto"/>
        </w:rPr>
      </w:pPr>
    </w:p>
    <w:p>
      <w:pPr>
        <w:ind w:left="780" w:hanging="238"/>
        <w:spacing w:after="0"/>
        <w:tabs>
          <w:tab w:leader="none" w:pos="7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Aggregate Offering Price exclusive of accrued interest and accumulated dividends, if any,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8" w:lineRule="exact"/>
        <w:rPr>
          <w:sz w:val="20"/>
          <w:szCs w:val="20"/>
          <w:color w:val="auto"/>
        </w:rPr>
      </w:pPr>
    </w:p>
    <w:p>
      <w:pPr>
        <w:ind w:left="540" w:hanging="343"/>
        <w:spacing w:after="0"/>
        <w:tabs>
          <w:tab w:leader="none" w:pos="5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consideration may or may not be received for securities that are issuable on exercise, conversion, settlement or exchange of other securities.</w:t>
      </w:r>
    </w:p>
    <w:p>
      <w:pPr>
        <w:spacing w:after="0" w:line="26" w:lineRule="exact"/>
        <w:rPr>
          <w:rFonts w:ascii="Times New Roman" w:cs="Times New Roman" w:eastAsia="Times New Roman" w:hAnsi="Times New Roman"/>
          <w:sz w:val="16"/>
          <w:szCs w:val="16"/>
          <w:color w:val="auto"/>
        </w:rPr>
      </w:pPr>
    </w:p>
    <w:p>
      <w:pPr>
        <w:ind w:left="540" w:right="300" w:firstLine="2"/>
        <w:spacing w:after="0" w:line="256" w:lineRule="auto"/>
        <w:tabs>
          <w:tab w:leader="none" w:pos="769"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under the Securities Act, Commvault is deferring payment of all of the registration fee. Registration fees will be paid subsequently on a “pay as you go” basis. Commvault will calculate the registration fee applicable to an offer of securities pursuant to this Registration Statement based on the fee payment rate in effect on the date of such fee payment.</w:t>
      </w:r>
    </w:p>
    <w:p>
      <w:pPr>
        <w:spacing w:after="0" w:line="1" w:lineRule="exact"/>
        <w:rPr>
          <w:rFonts w:ascii="Times New Roman" w:cs="Times New Roman" w:eastAsia="Times New Roman" w:hAnsi="Times New Roman"/>
          <w:sz w:val="16"/>
          <w:szCs w:val="16"/>
          <w:color w:val="auto"/>
        </w:rPr>
      </w:pPr>
    </w:p>
    <w:p>
      <w:pPr>
        <w:ind w:left="540" w:right="200" w:firstLine="2"/>
        <w:spacing w:after="0" w:line="248" w:lineRule="auto"/>
        <w:tabs>
          <w:tab w:leader="none" w:pos="76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and number or amount of the securities of the identified class is being registered as may from time to time be issued at indeterminate prices, including securities that may be issued upon exercise, conversion, settlement or exchange of, any securities offered hereunder.</w:t>
      </w:r>
    </w:p>
    <w:p>
      <w:pPr>
        <w:spacing w:after="0" w:line="1" w:lineRule="exact"/>
        <w:rPr>
          <w:rFonts w:ascii="Times New Roman" w:cs="Times New Roman" w:eastAsia="Times New Roman" w:hAnsi="Times New Roman"/>
          <w:sz w:val="16"/>
          <w:szCs w:val="16"/>
          <w:color w:val="auto"/>
        </w:rPr>
      </w:pPr>
    </w:p>
    <w:p>
      <w:pPr>
        <w:ind w:left="780" w:hanging="238"/>
        <w:spacing w:after="0"/>
        <w:tabs>
          <w:tab w:leader="none" w:pos="78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Aggregate Offering Price exclusive of accrued interest and accumulated dividends, if any, as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24" w:right="33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12"/>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Exhibit 107</w:t>
            </w:r>
          </w:p>
        </w:tc>
        <w:tc>
          <w:tcPr>
            <w:tcW w:w="0" w:type="dxa"/>
            <w:vAlign w:val="bottom"/>
          </w:tcPr>
          <w:p>
            <w:pPr>
              <w:spacing w:after="0"/>
              <w:rPr>
                <w:sz w:val="1"/>
                <w:szCs w:val="1"/>
                <w:color w:val="auto"/>
              </w:rPr>
            </w:pPr>
          </w:p>
        </w:tc>
      </w:tr>
      <w:tr>
        <w:trPr>
          <w:trHeight w:val="897"/>
        </w:trPr>
        <w:tc>
          <w:tcPr>
            <w:tcW w:w="1080" w:type="dxa"/>
            <w:vAlign w:val="bottom"/>
            <w:tcBorders>
              <w:bottom w:val="single" w:sz="8" w:color="7F7F7F"/>
            </w:tcBorders>
          </w:tcPr>
          <w:p>
            <w:pPr>
              <w:spacing w:after="0"/>
              <w:rPr>
                <w:sz w:val="24"/>
                <w:szCs w:val="24"/>
                <w:color w:val="auto"/>
              </w:rPr>
            </w:pPr>
          </w:p>
        </w:tc>
        <w:tc>
          <w:tcPr>
            <w:tcW w:w="980" w:type="dxa"/>
            <w:vAlign w:val="bottom"/>
            <w:tcBorders>
              <w:bottom w:val="single" w:sz="8" w:color="7F7F7F"/>
            </w:tcBorders>
            <w:gridSpan w:val="2"/>
          </w:tcPr>
          <w:p>
            <w:pPr>
              <w:spacing w:after="0"/>
              <w:rPr>
                <w:sz w:val="24"/>
                <w:szCs w:val="24"/>
                <w:color w:val="auto"/>
              </w:rPr>
            </w:pPr>
          </w:p>
        </w:tc>
        <w:tc>
          <w:tcPr>
            <w:tcW w:w="1220" w:type="dxa"/>
            <w:vAlign w:val="bottom"/>
            <w:tcBorders>
              <w:bottom w:val="single" w:sz="8" w:color="7F7F7F"/>
            </w:tcBorders>
            <w:gridSpan w:val="2"/>
          </w:tcPr>
          <w:p>
            <w:pPr>
              <w:spacing w:after="0"/>
              <w:rPr>
                <w:sz w:val="24"/>
                <w:szCs w:val="24"/>
                <w:color w:val="auto"/>
              </w:rPr>
            </w:pPr>
          </w:p>
        </w:tc>
        <w:tc>
          <w:tcPr>
            <w:tcW w:w="480" w:type="dxa"/>
            <w:vAlign w:val="bottom"/>
            <w:tcBorders>
              <w:bottom w:val="single" w:sz="8" w:color="7F7F7F"/>
            </w:tcBorders>
          </w:tcPr>
          <w:p>
            <w:pPr>
              <w:spacing w:after="0"/>
              <w:rPr>
                <w:sz w:val="24"/>
                <w:szCs w:val="24"/>
                <w:color w:val="auto"/>
              </w:rPr>
            </w:pPr>
          </w:p>
        </w:tc>
        <w:tc>
          <w:tcPr>
            <w:tcW w:w="8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62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66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82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400" w:type="dxa"/>
            <w:vAlign w:val="bottom"/>
            <w:tcBorders>
              <w:bottom w:val="single" w:sz="8" w:color="7F7F7F"/>
            </w:tcBorders>
          </w:tcPr>
          <w:p>
            <w:pPr>
              <w:spacing w:after="0"/>
              <w:rPr>
                <w:sz w:val="24"/>
                <w:szCs w:val="24"/>
                <w:color w:val="auto"/>
              </w:rPr>
            </w:pPr>
          </w:p>
        </w:tc>
        <w:tc>
          <w:tcPr>
            <w:tcW w:w="600" w:type="dxa"/>
            <w:vAlign w:val="bottom"/>
            <w:tcBorders>
              <w:bottom w:val="single" w:sz="8" w:color="7F7F7F"/>
            </w:tcBorders>
          </w:tcPr>
          <w:p>
            <w:pPr>
              <w:spacing w:after="0"/>
              <w:rPr>
                <w:sz w:val="24"/>
                <w:szCs w:val="24"/>
                <w:color w:val="auto"/>
              </w:rPr>
            </w:pPr>
          </w:p>
        </w:tc>
        <w:tc>
          <w:tcPr>
            <w:tcW w:w="60" w:type="dxa"/>
            <w:vAlign w:val="bottom"/>
            <w:tcBorders>
              <w:bottom w:val="single" w:sz="8" w:color="7F7F7F"/>
            </w:tcBorders>
          </w:tcPr>
          <w:p>
            <w:pPr>
              <w:spacing w:after="0"/>
              <w:rPr>
                <w:sz w:val="24"/>
                <w:szCs w:val="24"/>
                <w:color w:val="auto"/>
              </w:rPr>
            </w:pPr>
          </w:p>
        </w:tc>
        <w:tc>
          <w:tcPr>
            <w:tcW w:w="360" w:type="dxa"/>
            <w:vAlign w:val="bottom"/>
            <w:tcBorders>
              <w:bottom w:val="single" w:sz="8" w:color="7F7F7F"/>
            </w:tcBorders>
          </w:tcPr>
          <w:p>
            <w:pPr>
              <w:spacing w:after="0"/>
              <w:rPr>
                <w:sz w:val="24"/>
                <w:szCs w:val="24"/>
                <w:color w:val="auto"/>
              </w:rPr>
            </w:pPr>
          </w:p>
        </w:tc>
        <w:tc>
          <w:tcPr>
            <w:tcW w:w="500" w:type="dxa"/>
            <w:vAlign w:val="bottom"/>
            <w:tcBorders>
              <w:bottom w:val="single" w:sz="8" w:color="7F7F7F"/>
            </w:tcBorders>
          </w:tcPr>
          <w:p>
            <w:pPr>
              <w:spacing w:after="0"/>
              <w:rPr>
                <w:sz w:val="24"/>
                <w:szCs w:val="24"/>
                <w:color w:val="auto"/>
              </w:rPr>
            </w:pPr>
          </w:p>
        </w:tc>
        <w:tc>
          <w:tcPr>
            <w:tcW w:w="680" w:type="dxa"/>
            <w:vAlign w:val="bottom"/>
            <w:tcBorders>
              <w:bottom w:val="single" w:sz="8" w:color="7F7F7F"/>
            </w:tcBorders>
          </w:tcPr>
          <w:p>
            <w:pPr>
              <w:spacing w:after="0"/>
              <w:rPr>
                <w:sz w:val="24"/>
                <w:szCs w:val="24"/>
                <w:color w:val="auto"/>
              </w:rPr>
            </w:pPr>
          </w:p>
        </w:tc>
        <w:tc>
          <w:tcPr>
            <w:tcW w:w="1260" w:type="dxa"/>
            <w:vAlign w:val="bottom"/>
            <w:tcBorders>
              <w:bottom w:val="single" w:sz="8" w:color="7F7F7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7F7F7F"/>
              <w:bottom w:val="single" w:sz="8" w:color="7F7F7F"/>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Table 2: Fee Offset Claims and Sources</w:t>
            </w:r>
          </w:p>
        </w:tc>
        <w:tc>
          <w:tcPr>
            <w:tcW w:w="480" w:type="dxa"/>
            <w:vAlign w:val="bottom"/>
            <w:tcBorders>
              <w:bottom w:val="single" w:sz="8" w:color="7F7F7F"/>
            </w:tcBorders>
          </w:tcPr>
          <w:p>
            <w:pPr>
              <w:spacing w:after="0"/>
              <w:rPr>
                <w:sz w:val="20"/>
                <w:szCs w:val="20"/>
                <w:color w:val="auto"/>
              </w:rPr>
            </w:pPr>
          </w:p>
        </w:tc>
        <w:tc>
          <w:tcPr>
            <w:tcW w:w="80" w:type="dxa"/>
            <w:vAlign w:val="bottom"/>
            <w:tcBorders>
              <w:bottom w:val="single" w:sz="8" w:color="7F7F7F"/>
            </w:tcBorders>
          </w:tcPr>
          <w:p>
            <w:pPr>
              <w:spacing w:after="0"/>
              <w:rPr>
                <w:sz w:val="20"/>
                <w:szCs w:val="20"/>
                <w:color w:val="auto"/>
              </w:rPr>
            </w:pPr>
          </w:p>
        </w:tc>
        <w:tc>
          <w:tcPr>
            <w:tcW w:w="220" w:type="dxa"/>
            <w:vAlign w:val="bottom"/>
            <w:tcBorders>
              <w:bottom w:val="single" w:sz="8" w:color="7F7F7F"/>
            </w:tcBorders>
          </w:tcPr>
          <w:p>
            <w:pPr>
              <w:spacing w:after="0"/>
              <w:rPr>
                <w:sz w:val="20"/>
                <w:szCs w:val="20"/>
                <w:color w:val="auto"/>
              </w:rPr>
            </w:pPr>
          </w:p>
        </w:tc>
        <w:tc>
          <w:tcPr>
            <w:tcW w:w="620" w:type="dxa"/>
            <w:vAlign w:val="bottom"/>
            <w:tcBorders>
              <w:bottom w:val="single" w:sz="8" w:color="7F7F7F"/>
            </w:tcBorders>
          </w:tcPr>
          <w:p>
            <w:pPr>
              <w:spacing w:after="0"/>
              <w:rPr>
                <w:sz w:val="20"/>
                <w:szCs w:val="20"/>
                <w:color w:val="auto"/>
              </w:rPr>
            </w:pPr>
          </w:p>
        </w:tc>
        <w:tc>
          <w:tcPr>
            <w:tcW w:w="200" w:type="dxa"/>
            <w:vAlign w:val="bottom"/>
            <w:tcBorders>
              <w:bottom w:val="single" w:sz="8" w:color="7F7F7F"/>
            </w:tcBorders>
          </w:tcPr>
          <w:p>
            <w:pPr>
              <w:spacing w:after="0"/>
              <w:rPr>
                <w:sz w:val="20"/>
                <w:szCs w:val="20"/>
                <w:color w:val="auto"/>
              </w:rPr>
            </w:pPr>
          </w:p>
        </w:tc>
        <w:tc>
          <w:tcPr>
            <w:tcW w:w="660" w:type="dxa"/>
            <w:vAlign w:val="bottom"/>
            <w:tcBorders>
              <w:bottom w:val="single" w:sz="8" w:color="7F7F7F"/>
            </w:tcBorders>
          </w:tcPr>
          <w:p>
            <w:pPr>
              <w:spacing w:after="0"/>
              <w:rPr>
                <w:sz w:val="20"/>
                <w:szCs w:val="20"/>
                <w:color w:val="auto"/>
              </w:rPr>
            </w:pPr>
          </w:p>
        </w:tc>
        <w:tc>
          <w:tcPr>
            <w:tcW w:w="140" w:type="dxa"/>
            <w:vAlign w:val="bottom"/>
            <w:tcBorders>
              <w:bottom w:val="single" w:sz="8" w:color="7F7F7F"/>
            </w:tcBorders>
          </w:tcPr>
          <w:p>
            <w:pPr>
              <w:spacing w:after="0"/>
              <w:rPr>
                <w:sz w:val="20"/>
                <w:szCs w:val="20"/>
                <w:color w:val="auto"/>
              </w:rPr>
            </w:pPr>
          </w:p>
        </w:tc>
        <w:tc>
          <w:tcPr>
            <w:tcW w:w="820" w:type="dxa"/>
            <w:vAlign w:val="bottom"/>
            <w:tcBorders>
              <w:bottom w:val="single" w:sz="8" w:color="7F7F7F"/>
            </w:tcBorders>
          </w:tcPr>
          <w:p>
            <w:pPr>
              <w:spacing w:after="0"/>
              <w:rPr>
                <w:sz w:val="20"/>
                <w:szCs w:val="20"/>
                <w:color w:val="auto"/>
              </w:rPr>
            </w:pPr>
          </w:p>
        </w:tc>
        <w:tc>
          <w:tcPr>
            <w:tcW w:w="900" w:type="dxa"/>
            <w:vAlign w:val="bottom"/>
            <w:tcBorders>
              <w:bottom w:val="single" w:sz="8" w:color="7F7F7F"/>
            </w:tcBorders>
          </w:tcPr>
          <w:p>
            <w:pPr>
              <w:spacing w:after="0"/>
              <w:rPr>
                <w:sz w:val="20"/>
                <w:szCs w:val="20"/>
                <w:color w:val="auto"/>
              </w:rPr>
            </w:pPr>
          </w:p>
        </w:tc>
        <w:tc>
          <w:tcPr>
            <w:tcW w:w="400" w:type="dxa"/>
            <w:vAlign w:val="bottom"/>
            <w:tcBorders>
              <w:bottom w:val="single" w:sz="8" w:color="7F7F7F"/>
            </w:tcBorders>
          </w:tcPr>
          <w:p>
            <w:pPr>
              <w:spacing w:after="0"/>
              <w:rPr>
                <w:sz w:val="20"/>
                <w:szCs w:val="20"/>
                <w:color w:val="auto"/>
              </w:rPr>
            </w:pPr>
          </w:p>
        </w:tc>
        <w:tc>
          <w:tcPr>
            <w:tcW w:w="600" w:type="dxa"/>
            <w:vAlign w:val="bottom"/>
            <w:tcBorders>
              <w:bottom w:val="single" w:sz="8" w:color="7F7F7F"/>
            </w:tcBorders>
          </w:tcPr>
          <w:p>
            <w:pPr>
              <w:spacing w:after="0"/>
              <w:rPr>
                <w:sz w:val="20"/>
                <w:szCs w:val="20"/>
                <w:color w:val="auto"/>
              </w:rPr>
            </w:pPr>
          </w:p>
        </w:tc>
        <w:tc>
          <w:tcPr>
            <w:tcW w:w="60" w:type="dxa"/>
            <w:vAlign w:val="bottom"/>
            <w:tcBorders>
              <w:bottom w:val="single" w:sz="8" w:color="7F7F7F"/>
            </w:tcBorders>
          </w:tcPr>
          <w:p>
            <w:pPr>
              <w:spacing w:after="0"/>
              <w:rPr>
                <w:sz w:val="20"/>
                <w:szCs w:val="20"/>
                <w:color w:val="auto"/>
              </w:rPr>
            </w:pPr>
          </w:p>
        </w:tc>
        <w:tc>
          <w:tcPr>
            <w:tcW w:w="360" w:type="dxa"/>
            <w:vAlign w:val="bottom"/>
            <w:tcBorders>
              <w:bottom w:val="single" w:sz="8" w:color="7F7F7F"/>
            </w:tcBorders>
          </w:tcPr>
          <w:p>
            <w:pPr>
              <w:spacing w:after="0"/>
              <w:rPr>
                <w:sz w:val="20"/>
                <w:szCs w:val="20"/>
                <w:color w:val="auto"/>
              </w:rPr>
            </w:pPr>
          </w:p>
        </w:tc>
        <w:tc>
          <w:tcPr>
            <w:tcW w:w="500" w:type="dxa"/>
            <w:vAlign w:val="bottom"/>
            <w:tcBorders>
              <w:bottom w:val="single" w:sz="8" w:color="7F7F7F"/>
              <w:right w:val="single" w:sz="8" w:color="7F7F7F"/>
            </w:tcBorders>
          </w:tcPr>
          <w:p>
            <w:pPr>
              <w:spacing w:after="0"/>
              <w:rPr>
                <w:sz w:val="20"/>
                <w:szCs w:val="20"/>
                <w:color w:val="auto"/>
              </w:rPr>
            </w:pPr>
          </w:p>
        </w:tc>
        <w:tc>
          <w:tcPr>
            <w:tcW w:w="680" w:type="dxa"/>
            <w:vAlign w:val="bottom"/>
            <w:tcBorders>
              <w:bottom w:val="single" w:sz="8" w:color="7F7F7F"/>
            </w:tcBorders>
          </w:tcPr>
          <w:p>
            <w:pPr>
              <w:spacing w:after="0"/>
              <w:rPr>
                <w:sz w:val="20"/>
                <w:szCs w:val="20"/>
                <w:color w:val="auto"/>
              </w:rPr>
            </w:pPr>
          </w:p>
        </w:tc>
        <w:tc>
          <w:tcPr>
            <w:tcW w:w="1260" w:type="dxa"/>
            <w:vAlign w:val="bottom"/>
            <w:tcBorders>
              <w:bottom w:val="single" w:sz="8" w:color="7F7F7F"/>
              <w:right w:val="single" w:sz="8" w:color="7F7F7F"/>
            </w:tcBorders>
            <w:gridSpan w:val="2"/>
          </w:tcPr>
          <w:p>
            <w:pPr>
              <w:jc w:val="center"/>
              <w:spacing w:after="0" w:line="184" w:lineRule="exact"/>
              <w:rPr>
                <w:sz w:val="20"/>
                <w:szCs w:val="20"/>
                <w:color w:val="auto"/>
              </w:rPr>
            </w:pPr>
            <w:r>
              <w:rPr>
                <w:rFonts w:ascii="MS PGothic" w:cs="MS PGothic" w:eastAsia="MS PGothic" w:hAnsi="MS PGothic"/>
                <w:sz w:val="16"/>
                <w:szCs w:val="16"/>
                <w:color w:val="auto"/>
                <w:w w:val="99"/>
              </w:rPr>
              <w:t>☑</w:t>
            </w:r>
            <w:r>
              <w:rPr>
                <w:rFonts w:ascii="Times New Roman" w:cs="Times New Roman" w:eastAsia="Times New Roman" w:hAnsi="Times New Roman"/>
                <w:sz w:val="16"/>
                <w:szCs w:val="16"/>
                <w:b w:val="1"/>
                <w:bCs w:val="1"/>
                <w:color w:val="auto"/>
                <w:w w:val="99"/>
              </w:rPr>
              <w:t>Not Applicable</w:t>
            </w:r>
          </w:p>
        </w:tc>
        <w:tc>
          <w:tcPr>
            <w:tcW w:w="0" w:type="dxa"/>
            <w:vAlign w:val="bottom"/>
          </w:tcPr>
          <w:p>
            <w:pPr>
              <w:spacing w:after="0"/>
              <w:rPr>
                <w:sz w:val="1"/>
                <w:szCs w:val="1"/>
                <w:color w:val="auto"/>
              </w:rPr>
            </w:pPr>
          </w:p>
        </w:tc>
      </w:tr>
      <w:tr>
        <w:trPr>
          <w:trHeight w:val="156"/>
        </w:trPr>
        <w:tc>
          <w:tcPr>
            <w:tcW w:w="1080" w:type="dxa"/>
            <w:vAlign w:val="bottom"/>
            <w:tcBorders>
              <w:left w:val="single" w:sz="8" w:color="7F7F7F"/>
              <w:right w:val="single" w:sz="8" w:color="7F7F7F"/>
            </w:tcBorders>
            <w:shd w:val="clear" w:color="auto" w:fill="DAE9F7"/>
          </w:tcPr>
          <w:p>
            <w:pPr>
              <w:spacing w:after="0"/>
              <w:rPr>
                <w:sz w:val="13"/>
                <w:szCs w:val="13"/>
                <w:color w:val="auto"/>
              </w:rPr>
            </w:pPr>
          </w:p>
        </w:tc>
        <w:tc>
          <w:tcPr>
            <w:tcW w:w="400" w:type="dxa"/>
            <w:vAlign w:val="bottom"/>
            <w:tcBorders>
              <w:right w:val="single" w:sz="8" w:color="7F7F7F"/>
            </w:tcBorders>
            <w:shd w:val="clear" w:color="auto" w:fill="DAE9F7"/>
          </w:tcPr>
          <w:p>
            <w:pPr>
              <w:spacing w:after="0"/>
              <w:rPr>
                <w:sz w:val="13"/>
                <w:szCs w:val="13"/>
                <w:color w:val="auto"/>
              </w:rPr>
            </w:pPr>
          </w:p>
        </w:tc>
        <w:tc>
          <w:tcPr>
            <w:tcW w:w="580" w:type="dxa"/>
            <w:vAlign w:val="bottom"/>
            <w:tcBorders>
              <w:right w:val="single" w:sz="8" w:color="DAE9F7"/>
            </w:tcBorders>
            <w:shd w:val="clear" w:color="auto" w:fill="DAE9F7"/>
          </w:tcPr>
          <w:p>
            <w:pPr>
              <w:spacing w:after="0"/>
              <w:rPr>
                <w:sz w:val="13"/>
                <w:szCs w:val="13"/>
                <w:color w:val="auto"/>
              </w:rPr>
            </w:pPr>
          </w:p>
        </w:tc>
        <w:tc>
          <w:tcPr>
            <w:tcW w:w="440" w:type="dxa"/>
            <w:vAlign w:val="bottom"/>
            <w:tcBorders>
              <w:right w:val="single" w:sz="8" w:color="7F7F7F"/>
            </w:tcBorders>
            <w:shd w:val="clear" w:color="auto" w:fill="DAE9F7"/>
          </w:tcPr>
          <w:p>
            <w:pPr>
              <w:spacing w:after="0"/>
              <w:rPr>
                <w:sz w:val="13"/>
                <w:szCs w:val="13"/>
                <w:color w:val="auto"/>
              </w:rPr>
            </w:pPr>
          </w:p>
        </w:tc>
        <w:tc>
          <w:tcPr>
            <w:tcW w:w="780" w:type="dxa"/>
            <w:vAlign w:val="bottom"/>
            <w:tcBorders>
              <w:right w:val="single" w:sz="8" w:color="7F7F7F"/>
            </w:tcBorders>
            <w:shd w:val="clear" w:color="auto" w:fill="DAE9F7"/>
          </w:tcPr>
          <w:p>
            <w:pPr>
              <w:spacing w:after="0"/>
              <w:rPr>
                <w:sz w:val="13"/>
                <w:szCs w:val="13"/>
                <w:color w:val="auto"/>
              </w:rPr>
            </w:pPr>
          </w:p>
        </w:tc>
        <w:tc>
          <w:tcPr>
            <w:tcW w:w="480" w:type="dxa"/>
            <w:vAlign w:val="bottom"/>
            <w:tcBorders>
              <w:right w:val="single" w:sz="8" w:color="DAE9F7"/>
            </w:tcBorders>
            <w:shd w:val="clear" w:color="auto" w:fill="DAE9F7"/>
          </w:tcPr>
          <w:p>
            <w:pPr>
              <w:spacing w:after="0"/>
              <w:rPr>
                <w:sz w:val="13"/>
                <w:szCs w:val="13"/>
                <w:color w:val="auto"/>
              </w:rPr>
            </w:pPr>
          </w:p>
        </w:tc>
        <w:tc>
          <w:tcPr>
            <w:tcW w:w="80" w:type="dxa"/>
            <w:vAlign w:val="bottom"/>
            <w:shd w:val="clear" w:color="auto" w:fill="DAE9F7"/>
          </w:tcPr>
          <w:p>
            <w:pPr>
              <w:spacing w:after="0"/>
              <w:rPr>
                <w:sz w:val="13"/>
                <w:szCs w:val="13"/>
                <w:color w:val="auto"/>
              </w:rPr>
            </w:pPr>
          </w:p>
        </w:tc>
        <w:tc>
          <w:tcPr>
            <w:tcW w:w="220" w:type="dxa"/>
            <w:vAlign w:val="bottom"/>
            <w:tcBorders>
              <w:right w:val="single" w:sz="8" w:color="7F7F7F"/>
            </w:tcBorders>
            <w:shd w:val="clear" w:color="auto" w:fill="DAE9F7"/>
          </w:tcPr>
          <w:p>
            <w:pPr>
              <w:spacing w:after="0"/>
              <w:rPr>
                <w:sz w:val="13"/>
                <w:szCs w:val="13"/>
                <w:color w:val="auto"/>
              </w:rPr>
            </w:pPr>
          </w:p>
        </w:tc>
        <w:tc>
          <w:tcPr>
            <w:tcW w:w="620" w:type="dxa"/>
            <w:vAlign w:val="bottom"/>
            <w:shd w:val="clear" w:color="auto" w:fill="DAE9F7"/>
          </w:tcPr>
          <w:p>
            <w:pPr>
              <w:spacing w:after="0"/>
              <w:rPr>
                <w:sz w:val="13"/>
                <w:szCs w:val="13"/>
                <w:color w:val="auto"/>
              </w:rPr>
            </w:pPr>
          </w:p>
        </w:tc>
        <w:tc>
          <w:tcPr>
            <w:tcW w:w="200" w:type="dxa"/>
            <w:vAlign w:val="bottom"/>
            <w:tcBorders>
              <w:right w:val="single" w:sz="8" w:color="7F7F7F"/>
            </w:tcBorders>
            <w:shd w:val="clear" w:color="auto" w:fill="DAE9F7"/>
          </w:tcPr>
          <w:p>
            <w:pPr>
              <w:spacing w:after="0"/>
              <w:rPr>
                <w:sz w:val="13"/>
                <w:szCs w:val="13"/>
                <w:color w:val="auto"/>
              </w:rPr>
            </w:pPr>
          </w:p>
        </w:tc>
        <w:tc>
          <w:tcPr>
            <w:tcW w:w="660" w:type="dxa"/>
            <w:vAlign w:val="bottom"/>
            <w:tcBorders>
              <w:right w:val="single" w:sz="8" w:color="DAE9F7"/>
            </w:tcBorders>
            <w:shd w:val="clear" w:color="auto" w:fill="DAE9F7"/>
          </w:tcPr>
          <w:p>
            <w:pPr>
              <w:spacing w:after="0"/>
              <w:rPr>
                <w:sz w:val="13"/>
                <w:szCs w:val="13"/>
                <w:color w:val="auto"/>
              </w:rPr>
            </w:pPr>
          </w:p>
        </w:tc>
        <w:tc>
          <w:tcPr>
            <w:tcW w:w="140" w:type="dxa"/>
            <w:vAlign w:val="bottom"/>
            <w:tcBorders>
              <w:right w:val="single" w:sz="8" w:color="7F7F7F"/>
            </w:tcBorders>
            <w:shd w:val="clear" w:color="auto" w:fill="DAE9F7"/>
          </w:tcPr>
          <w:p>
            <w:pPr>
              <w:spacing w:after="0"/>
              <w:rPr>
                <w:sz w:val="13"/>
                <w:szCs w:val="13"/>
                <w:color w:val="auto"/>
              </w:rPr>
            </w:pPr>
          </w:p>
        </w:tc>
        <w:tc>
          <w:tcPr>
            <w:tcW w:w="820" w:type="dxa"/>
            <w:vAlign w:val="bottom"/>
            <w:tcBorders>
              <w:right w:val="single" w:sz="8" w:color="7F7F7F"/>
            </w:tcBorders>
            <w:shd w:val="clear" w:color="auto" w:fill="DAE9F7"/>
          </w:tcPr>
          <w:p>
            <w:pPr>
              <w:spacing w:after="0"/>
              <w:rPr>
                <w:sz w:val="13"/>
                <w:szCs w:val="13"/>
                <w:color w:val="auto"/>
              </w:rPr>
            </w:pPr>
          </w:p>
        </w:tc>
        <w:tc>
          <w:tcPr>
            <w:tcW w:w="90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000" w:type="dxa"/>
            <w:vAlign w:val="bottom"/>
            <w:tcBorders>
              <w:right w:val="single" w:sz="8" w:color="7F7F7F"/>
            </w:tcBorders>
            <w:gridSpan w:val="2"/>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60" w:type="dxa"/>
            <w:vAlign w:val="bottom"/>
            <w:shd w:val="clear" w:color="auto" w:fill="DAE9F7"/>
          </w:tcPr>
          <w:p>
            <w:pPr>
              <w:spacing w:after="0"/>
              <w:rPr>
                <w:sz w:val="13"/>
                <w:szCs w:val="13"/>
                <w:color w:val="auto"/>
              </w:rPr>
            </w:pPr>
          </w:p>
        </w:tc>
        <w:tc>
          <w:tcPr>
            <w:tcW w:w="860" w:type="dxa"/>
            <w:vAlign w:val="bottom"/>
            <w:tcBorders>
              <w:right w:val="single" w:sz="8" w:color="7F7F7F"/>
            </w:tcBorders>
            <w:gridSpan w:val="2"/>
            <w:vMerge w:val="restart"/>
            <w:shd w:val="clear" w:color="auto" w:fill="DAE9F7"/>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Unsold</w:t>
            </w:r>
          </w:p>
        </w:tc>
        <w:tc>
          <w:tcPr>
            <w:tcW w:w="1000" w:type="dxa"/>
            <w:vAlign w:val="bottom"/>
            <w:tcBorders>
              <w:right w:val="single" w:sz="8" w:color="7F7F7F"/>
            </w:tcBorders>
            <w:gridSpan w:val="2"/>
            <w:shd w:val="clear" w:color="auto" w:fill="DAE9F7"/>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Unsold</w:t>
            </w:r>
          </w:p>
        </w:tc>
        <w:tc>
          <w:tcPr>
            <w:tcW w:w="940" w:type="dxa"/>
            <w:vAlign w:val="bottom"/>
            <w:tcBorders>
              <w:right w:val="single" w:sz="8" w:color="7F7F7F"/>
            </w:tcBorders>
            <w:shd w:val="clear" w:color="auto" w:fill="DAE9F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shd w:val="clear" w:color="auto" w:fill="DAE9F7"/>
          </w:tcPr>
          <w:p>
            <w:pPr>
              <w:spacing w:after="0"/>
              <w:rPr>
                <w:sz w:val="14"/>
                <w:szCs w:val="14"/>
                <w:color w:val="auto"/>
              </w:rPr>
            </w:pPr>
          </w:p>
        </w:tc>
        <w:tc>
          <w:tcPr>
            <w:tcW w:w="580" w:type="dxa"/>
            <w:vAlign w:val="bottom"/>
            <w:tcBorders>
              <w:right w:val="single" w:sz="8" w:color="DAE9F7"/>
            </w:tcBorders>
            <w:shd w:val="clear" w:color="auto" w:fill="DAE9F7"/>
          </w:tcPr>
          <w:p>
            <w:pPr>
              <w:spacing w:after="0"/>
              <w:rPr>
                <w:sz w:val="14"/>
                <w:szCs w:val="14"/>
                <w:color w:val="auto"/>
              </w:rPr>
            </w:pPr>
          </w:p>
        </w:tc>
        <w:tc>
          <w:tcPr>
            <w:tcW w:w="440" w:type="dxa"/>
            <w:vAlign w:val="bottom"/>
            <w:tcBorders>
              <w:right w:val="single" w:sz="8" w:color="7F7F7F"/>
            </w:tcBorders>
            <w:shd w:val="clear" w:color="auto" w:fill="DAE9F7"/>
          </w:tcPr>
          <w:p>
            <w:pPr>
              <w:spacing w:after="0"/>
              <w:rPr>
                <w:sz w:val="14"/>
                <w:szCs w:val="14"/>
                <w:color w:val="auto"/>
              </w:rPr>
            </w:pPr>
          </w:p>
        </w:tc>
        <w:tc>
          <w:tcPr>
            <w:tcW w:w="780" w:type="dxa"/>
            <w:vAlign w:val="bottom"/>
            <w:tcBorders>
              <w:right w:val="single" w:sz="8" w:color="7F7F7F"/>
            </w:tcBorders>
            <w:shd w:val="clear" w:color="auto" w:fill="DAE9F7"/>
          </w:tcPr>
          <w:p>
            <w:pPr>
              <w:spacing w:after="0"/>
              <w:rPr>
                <w:sz w:val="14"/>
                <w:szCs w:val="14"/>
                <w:color w:val="auto"/>
              </w:rPr>
            </w:pPr>
          </w:p>
        </w:tc>
        <w:tc>
          <w:tcPr>
            <w:tcW w:w="480" w:type="dxa"/>
            <w:vAlign w:val="bottom"/>
            <w:tcBorders>
              <w:right w:val="single" w:sz="8" w:color="DAE9F7"/>
            </w:tcBorders>
            <w:shd w:val="clear" w:color="auto" w:fill="DAE9F7"/>
          </w:tcPr>
          <w:p>
            <w:pPr>
              <w:spacing w:after="0"/>
              <w:rPr>
                <w:sz w:val="14"/>
                <w:szCs w:val="14"/>
                <w:color w:val="auto"/>
              </w:rPr>
            </w:pPr>
          </w:p>
        </w:tc>
        <w:tc>
          <w:tcPr>
            <w:tcW w:w="80" w:type="dxa"/>
            <w:vAlign w:val="bottom"/>
            <w:shd w:val="clear" w:color="auto" w:fill="DAE9F7"/>
          </w:tcPr>
          <w:p>
            <w:pPr>
              <w:spacing w:after="0"/>
              <w:rPr>
                <w:sz w:val="14"/>
                <w:szCs w:val="14"/>
                <w:color w:val="auto"/>
              </w:rPr>
            </w:pPr>
          </w:p>
        </w:tc>
        <w:tc>
          <w:tcPr>
            <w:tcW w:w="220" w:type="dxa"/>
            <w:vAlign w:val="bottom"/>
            <w:tcBorders>
              <w:right w:val="single" w:sz="8" w:color="7F7F7F"/>
            </w:tcBorders>
            <w:shd w:val="clear" w:color="auto" w:fill="DAE9F7"/>
          </w:tcPr>
          <w:p>
            <w:pPr>
              <w:spacing w:after="0"/>
              <w:rPr>
                <w:sz w:val="14"/>
                <w:szCs w:val="14"/>
                <w:color w:val="auto"/>
              </w:rPr>
            </w:pPr>
          </w:p>
        </w:tc>
        <w:tc>
          <w:tcPr>
            <w:tcW w:w="620" w:type="dxa"/>
            <w:vAlign w:val="bottom"/>
            <w:shd w:val="clear" w:color="auto" w:fill="DAE9F7"/>
          </w:tcPr>
          <w:p>
            <w:pPr>
              <w:spacing w:after="0"/>
              <w:rPr>
                <w:sz w:val="14"/>
                <w:szCs w:val="14"/>
                <w:color w:val="auto"/>
              </w:rPr>
            </w:pPr>
          </w:p>
        </w:tc>
        <w:tc>
          <w:tcPr>
            <w:tcW w:w="200" w:type="dxa"/>
            <w:vAlign w:val="bottom"/>
            <w:tcBorders>
              <w:right w:val="single" w:sz="8" w:color="7F7F7F"/>
            </w:tcBorders>
            <w:shd w:val="clear" w:color="auto" w:fill="DAE9F7"/>
          </w:tcPr>
          <w:p>
            <w:pPr>
              <w:spacing w:after="0"/>
              <w:rPr>
                <w:sz w:val="14"/>
                <w:szCs w:val="14"/>
                <w:color w:val="auto"/>
              </w:rPr>
            </w:pPr>
          </w:p>
        </w:tc>
        <w:tc>
          <w:tcPr>
            <w:tcW w:w="660" w:type="dxa"/>
            <w:vAlign w:val="bottom"/>
            <w:tcBorders>
              <w:right w:val="single" w:sz="8" w:color="DAE9F7"/>
            </w:tcBorders>
            <w:shd w:val="clear" w:color="auto" w:fill="DAE9F7"/>
          </w:tcPr>
          <w:p>
            <w:pPr>
              <w:spacing w:after="0"/>
              <w:rPr>
                <w:sz w:val="14"/>
                <w:szCs w:val="14"/>
                <w:color w:val="auto"/>
              </w:rPr>
            </w:pPr>
          </w:p>
        </w:tc>
        <w:tc>
          <w:tcPr>
            <w:tcW w:w="140" w:type="dxa"/>
            <w:vAlign w:val="bottom"/>
            <w:tcBorders>
              <w:right w:val="single" w:sz="8" w:color="7F7F7F"/>
            </w:tcBorders>
            <w:shd w:val="clear" w:color="auto" w:fill="DAE9F7"/>
          </w:tcPr>
          <w:p>
            <w:pPr>
              <w:spacing w:after="0"/>
              <w:rPr>
                <w:sz w:val="14"/>
                <w:szCs w:val="14"/>
                <w:color w:val="auto"/>
              </w:rPr>
            </w:pPr>
          </w:p>
        </w:tc>
        <w:tc>
          <w:tcPr>
            <w:tcW w:w="820" w:type="dxa"/>
            <w:vAlign w:val="bottom"/>
            <w:tcBorders>
              <w:right w:val="single" w:sz="8" w:color="7F7F7F"/>
            </w:tcBorders>
            <w:shd w:val="clear" w:color="auto" w:fill="DAE9F7"/>
          </w:tcPr>
          <w:p>
            <w:pPr>
              <w:spacing w:after="0"/>
              <w:rPr>
                <w:sz w:val="14"/>
                <w:szCs w:val="14"/>
                <w:color w:val="auto"/>
              </w:rPr>
            </w:pPr>
          </w:p>
        </w:tc>
        <w:tc>
          <w:tcPr>
            <w:tcW w:w="900" w:type="dxa"/>
            <w:vAlign w:val="bottom"/>
            <w:tcBorders>
              <w:right w:val="single" w:sz="8" w:color="7F7F7F"/>
            </w:tcBorders>
            <w:vMerge w:val="continue"/>
            <w:shd w:val="clear" w:color="auto" w:fill="DAE9F7"/>
          </w:tcPr>
          <w:p>
            <w:pPr>
              <w:spacing w:after="0"/>
              <w:rPr>
                <w:sz w:val="14"/>
                <w:szCs w:val="14"/>
                <w:color w:val="auto"/>
              </w:rPr>
            </w:pPr>
          </w:p>
        </w:tc>
        <w:tc>
          <w:tcPr>
            <w:tcW w:w="1000" w:type="dxa"/>
            <w:vAlign w:val="bottom"/>
            <w:tcBorders>
              <w:right w:val="single" w:sz="8" w:color="7F7F7F"/>
            </w:tcBorders>
            <w:gridSpan w:val="2"/>
            <w:vMerge w:val="continue"/>
            <w:shd w:val="clear" w:color="auto" w:fill="DAE9F7"/>
          </w:tcPr>
          <w:p>
            <w:pPr>
              <w:spacing w:after="0"/>
              <w:rPr>
                <w:sz w:val="14"/>
                <w:szCs w:val="14"/>
                <w:color w:val="auto"/>
              </w:rPr>
            </w:pPr>
          </w:p>
        </w:tc>
        <w:tc>
          <w:tcPr>
            <w:tcW w:w="60" w:type="dxa"/>
            <w:vAlign w:val="bottom"/>
            <w:shd w:val="clear" w:color="auto" w:fill="DAE9F7"/>
          </w:tcPr>
          <w:p>
            <w:pPr>
              <w:spacing w:after="0"/>
              <w:rPr>
                <w:sz w:val="14"/>
                <w:szCs w:val="14"/>
                <w:color w:val="auto"/>
              </w:rPr>
            </w:pPr>
          </w:p>
        </w:tc>
        <w:tc>
          <w:tcPr>
            <w:tcW w:w="860" w:type="dxa"/>
            <w:vAlign w:val="bottom"/>
            <w:tcBorders>
              <w:right w:val="single" w:sz="8" w:color="7F7F7F"/>
            </w:tcBorders>
            <w:gridSpan w:val="2"/>
            <w:vMerge w:val="continue"/>
            <w:shd w:val="clear" w:color="auto" w:fill="DAE9F7"/>
          </w:tcPr>
          <w:p>
            <w:pPr>
              <w:spacing w:after="0"/>
              <w:rPr>
                <w:sz w:val="14"/>
                <w:szCs w:val="14"/>
                <w:color w:val="auto"/>
              </w:rPr>
            </w:pPr>
          </w:p>
        </w:tc>
        <w:tc>
          <w:tcPr>
            <w:tcW w:w="1000" w:type="dxa"/>
            <w:vAlign w:val="bottom"/>
            <w:tcBorders>
              <w:right w:val="single" w:sz="8" w:color="7F7F7F"/>
            </w:tcBorders>
            <w:gridSpan w:val="2"/>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94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Fee Paid</w:t>
            </w:r>
          </w:p>
        </w:tc>
        <w:tc>
          <w:tcPr>
            <w:tcW w:w="0" w:type="dxa"/>
            <w:vAlign w:val="bottom"/>
          </w:tcPr>
          <w:p>
            <w:pPr>
              <w:spacing w:after="0"/>
              <w:rPr>
                <w:sz w:val="1"/>
                <w:szCs w:val="1"/>
                <w:color w:val="auto"/>
              </w:rPr>
            </w:pPr>
          </w:p>
        </w:tc>
      </w:tr>
      <w:tr>
        <w:trPr>
          <w:trHeight w:val="162"/>
        </w:trPr>
        <w:tc>
          <w:tcPr>
            <w:tcW w:w="108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shd w:val="clear" w:color="auto" w:fill="DAE9F7"/>
          </w:tcPr>
          <w:p>
            <w:pPr>
              <w:spacing w:after="0"/>
              <w:rPr>
                <w:sz w:val="14"/>
                <w:szCs w:val="14"/>
                <w:color w:val="auto"/>
              </w:rPr>
            </w:pPr>
          </w:p>
        </w:tc>
        <w:tc>
          <w:tcPr>
            <w:tcW w:w="1020" w:type="dxa"/>
            <w:vAlign w:val="bottom"/>
            <w:tcBorders>
              <w:right w:val="single" w:sz="8" w:color="7F7F7F"/>
            </w:tcBorders>
            <w:gridSpan w:val="2"/>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 or</w:t>
            </w:r>
          </w:p>
        </w:tc>
        <w:tc>
          <w:tcPr>
            <w:tcW w:w="78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Form or</w:t>
            </w:r>
          </w:p>
        </w:tc>
        <w:tc>
          <w:tcPr>
            <w:tcW w:w="560" w:type="dxa"/>
            <w:vAlign w:val="bottom"/>
            <w:gridSpan w:val="2"/>
            <w:vMerge w:val="restart"/>
            <w:shd w:val="clear" w:color="auto" w:fill="DAE9F7"/>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File</w:t>
            </w:r>
          </w:p>
        </w:tc>
        <w:tc>
          <w:tcPr>
            <w:tcW w:w="220" w:type="dxa"/>
            <w:vAlign w:val="bottom"/>
            <w:tcBorders>
              <w:right w:val="single" w:sz="8" w:color="7F7F7F"/>
            </w:tcBorders>
            <w:shd w:val="clear" w:color="auto" w:fill="DAE9F7"/>
          </w:tcPr>
          <w:p>
            <w:pPr>
              <w:spacing w:after="0"/>
              <w:rPr>
                <w:sz w:val="14"/>
                <w:szCs w:val="14"/>
                <w:color w:val="auto"/>
              </w:rPr>
            </w:pPr>
          </w:p>
        </w:tc>
        <w:tc>
          <w:tcPr>
            <w:tcW w:w="620" w:type="dxa"/>
            <w:vAlign w:val="bottom"/>
            <w:vMerge w:val="restart"/>
            <w:shd w:val="clear" w:color="auto" w:fill="DAE9F7"/>
          </w:tcPr>
          <w:p>
            <w:pPr>
              <w:jc w:val="center"/>
              <w:ind w:left="123"/>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200" w:type="dxa"/>
            <w:vAlign w:val="bottom"/>
            <w:tcBorders>
              <w:right w:val="single" w:sz="8" w:color="7F7F7F"/>
            </w:tcBorders>
            <w:shd w:val="clear" w:color="auto" w:fill="DAE9F7"/>
          </w:tcPr>
          <w:p>
            <w:pPr>
              <w:spacing w:after="0"/>
              <w:rPr>
                <w:sz w:val="14"/>
                <w:szCs w:val="14"/>
                <w:color w:val="auto"/>
              </w:rPr>
            </w:pPr>
          </w:p>
        </w:tc>
        <w:tc>
          <w:tcPr>
            <w:tcW w:w="660" w:type="dxa"/>
            <w:vAlign w:val="bottom"/>
            <w:tcBorders>
              <w:right w:val="single" w:sz="8" w:color="DAE9F7"/>
            </w:tcBorders>
            <w:vMerge w:val="restart"/>
            <w:shd w:val="clear" w:color="auto" w:fill="DAE9F7"/>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40" w:type="dxa"/>
            <w:vAlign w:val="bottom"/>
            <w:tcBorders>
              <w:right w:val="single" w:sz="8" w:color="7F7F7F"/>
            </w:tcBorders>
            <w:shd w:val="clear" w:color="auto" w:fill="DAE9F7"/>
          </w:tcPr>
          <w:p>
            <w:pPr>
              <w:spacing w:after="0"/>
              <w:rPr>
                <w:sz w:val="14"/>
                <w:szCs w:val="14"/>
                <w:color w:val="auto"/>
              </w:rPr>
            </w:pPr>
          </w:p>
        </w:tc>
        <w:tc>
          <w:tcPr>
            <w:tcW w:w="82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Fee Offset</w:t>
            </w:r>
          </w:p>
        </w:tc>
        <w:tc>
          <w:tcPr>
            <w:tcW w:w="90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Type</w:t>
            </w:r>
          </w:p>
        </w:tc>
        <w:tc>
          <w:tcPr>
            <w:tcW w:w="1000" w:type="dxa"/>
            <w:vAlign w:val="bottom"/>
            <w:tcBorders>
              <w:right w:val="single" w:sz="8" w:color="7F7F7F"/>
            </w:tcBorders>
            <w:gridSpan w:val="2"/>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Title</w:t>
            </w:r>
          </w:p>
        </w:tc>
        <w:tc>
          <w:tcPr>
            <w:tcW w:w="60" w:type="dxa"/>
            <w:vAlign w:val="bottom"/>
            <w:shd w:val="clear" w:color="auto" w:fill="DAE9F7"/>
          </w:tcPr>
          <w:p>
            <w:pPr>
              <w:spacing w:after="0"/>
              <w:rPr>
                <w:sz w:val="14"/>
                <w:szCs w:val="14"/>
                <w:color w:val="auto"/>
              </w:rPr>
            </w:pPr>
          </w:p>
        </w:tc>
        <w:tc>
          <w:tcPr>
            <w:tcW w:w="860" w:type="dxa"/>
            <w:vAlign w:val="bottom"/>
            <w:tcBorders>
              <w:right w:val="single" w:sz="8" w:color="7F7F7F"/>
            </w:tcBorders>
            <w:gridSpan w:val="2"/>
            <w:shd w:val="clear" w:color="auto" w:fill="DAE9F7"/>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00" w:type="dxa"/>
            <w:vAlign w:val="bottom"/>
            <w:tcBorders>
              <w:right w:val="single" w:sz="8" w:color="7F7F7F"/>
            </w:tcBorders>
            <w:gridSpan w:val="2"/>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Offering</w:t>
            </w:r>
          </w:p>
        </w:tc>
        <w:tc>
          <w:tcPr>
            <w:tcW w:w="940" w:type="dxa"/>
            <w:vAlign w:val="bottom"/>
            <w:tcBorders>
              <w:right w:val="single" w:sz="8" w:color="7F7F7F"/>
            </w:tcBorders>
            <w:vMerge w:val="continue"/>
            <w:shd w:val="clear" w:color="auto" w:fill="DAE9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shd w:val="clear" w:color="auto" w:fill="DAE9F7"/>
          </w:tcPr>
          <w:p>
            <w:pPr>
              <w:spacing w:after="0"/>
              <w:rPr>
                <w:sz w:val="14"/>
                <w:szCs w:val="14"/>
                <w:color w:val="auto"/>
              </w:rPr>
            </w:pPr>
          </w:p>
        </w:tc>
        <w:tc>
          <w:tcPr>
            <w:tcW w:w="1020" w:type="dxa"/>
            <w:vAlign w:val="bottom"/>
            <w:tcBorders>
              <w:right w:val="single" w:sz="8" w:color="7F7F7F"/>
            </w:tcBorders>
            <w:gridSpan w:val="2"/>
            <w:vMerge w:val="continue"/>
            <w:shd w:val="clear" w:color="auto" w:fill="DAE9F7"/>
          </w:tcPr>
          <w:p>
            <w:pPr>
              <w:spacing w:after="0"/>
              <w:rPr>
                <w:sz w:val="14"/>
                <w:szCs w:val="14"/>
                <w:color w:val="auto"/>
              </w:rPr>
            </w:pPr>
          </w:p>
        </w:tc>
        <w:tc>
          <w:tcPr>
            <w:tcW w:w="780" w:type="dxa"/>
            <w:vAlign w:val="bottom"/>
            <w:tcBorders>
              <w:right w:val="single" w:sz="8" w:color="7F7F7F"/>
            </w:tcBorders>
            <w:vMerge w:val="continue"/>
            <w:shd w:val="clear" w:color="auto" w:fill="DAE9F7"/>
          </w:tcPr>
          <w:p>
            <w:pPr>
              <w:spacing w:after="0"/>
              <w:rPr>
                <w:sz w:val="14"/>
                <w:szCs w:val="14"/>
                <w:color w:val="auto"/>
              </w:rPr>
            </w:pPr>
          </w:p>
        </w:tc>
        <w:tc>
          <w:tcPr>
            <w:tcW w:w="560" w:type="dxa"/>
            <w:vAlign w:val="bottom"/>
            <w:gridSpan w:val="2"/>
            <w:vMerge w:val="continue"/>
            <w:shd w:val="clear" w:color="auto" w:fill="DAE9F7"/>
          </w:tcPr>
          <w:p>
            <w:pPr>
              <w:spacing w:after="0"/>
              <w:rPr>
                <w:sz w:val="14"/>
                <w:szCs w:val="14"/>
                <w:color w:val="auto"/>
              </w:rPr>
            </w:pPr>
          </w:p>
        </w:tc>
        <w:tc>
          <w:tcPr>
            <w:tcW w:w="220" w:type="dxa"/>
            <w:vAlign w:val="bottom"/>
            <w:tcBorders>
              <w:right w:val="single" w:sz="8" w:color="7F7F7F"/>
            </w:tcBorders>
            <w:shd w:val="clear" w:color="auto" w:fill="DAE9F7"/>
          </w:tcPr>
          <w:p>
            <w:pPr>
              <w:spacing w:after="0"/>
              <w:rPr>
                <w:sz w:val="14"/>
                <w:szCs w:val="14"/>
                <w:color w:val="auto"/>
              </w:rPr>
            </w:pPr>
          </w:p>
        </w:tc>
        <w:tc>
          <w:tcPr>
            <w:tcW w:w="620" w:type="dxa"/>
            <w:vAlign w:val="bottom"/>
            <w:vMerge w:val="continue"/>
            <w:shd w:val="clear" w:color="auto" w:fill="DAE9F7"/>
          </w:tcPr>
          <w:p>
            <w:pPr>
              <w:spacing w:after="0"/>
              <w:rPr>
                <w:sz w:val="14"/>
                <w:szCs w:val="14"/>
                <w:color w:val="auto"/>
              </w:rPr>
            </w:pPr>
          </w:p>
        </w:tc>
        <w:tc>
          <w:tcPr>
            <w:tcW w:w="200" w:type="dxa"/>
            <w:vAlign w:val="bottom"/>
            <w:tcBorders>
              <w:right w:val="single" w:sz="8" w:color="7F7F7F"/>
            </w:tcBorders>
            <w:shd w:val="clear" w:color="auto" w:fill="DAE9F7"/>
          </w:tcPr>
          <w:p>
            <w:pPr>
              <w:spacing w:after="0"/>
              <w:rPr>
                <w:sz w:val="14"/>
                <w:szCs w:val="14"/>
                <w:color w:val="auto"/>
              </w:rPr>
            </w:pPr>
          </w:p>
        </w:tc>
        <w:tc>
          <w:tcPr>
            <w:tcW w:w="660" w:type="dxa"/>
            <w:vAlign w:val="bottom"/>
            <w:tcBorders>
              <w:right w:val="single" w:sz="8" w:color="DAE9F7"/>
            </w:tcBorders>
            <w:vMerge w:val="continue"/>
            <w:shd w:val="clear" w:color="auto" w:fill="DAE9F7"/>
          </w:tcPr>
          <w:p>
            <w:pPr>
              <w:spacing w:after="0"/>
              <w:rPr>
                <w:sz w:val="14"/>
                <w:szCs w:val="14"/>
                <w:color w:val="auto"/>
              </w:rPr>
            </w:pPr>
          </w:p>
        </w:tc>
        <w:tc>
          <w:tcPr>
            <w:tcW w:w="140" w:type="dxa"/>
            <w:vAlign w:val="bottom"/>
            <w:tcBorders>
              <w:right w:val="single" w:sz="8" w:color="7F7F7F"/>
            </w:tcBorders>
            <w:shd w:val="clear" w:color="auto" w:fill="DAE9F7"/>
          </w:tcPr>
          <w:p>
            <w:pPr>
              <w:spacing w:after="0"/>
              <w:rPr>
                <w:sz w:val="14"/>
                <w:szCs w:val="14"/>
                <w:color w:val="auto"/>
              </w:rPr>
            </w:pPr>
          </w:p>
        </w:tc>
        <w:tc>
          <w:tcPr>
            <w:tcW w:w="820" w:type="dxa"/>
            <w:vAlign w:val="bottom"/>
            <w:tcBorders>
              <w:right w:val="single" w:sz="8" w:color="7F7F7F"/>
            </w:tcBorders>
            <w:vMerge w:val="continue"/>
            <w:shd w:val="clear" w:color="auto" w:fill="DAE9F7"/>
          </w:tcPr>
          <w:p>
            <w:pPr>
              <w:spacing w:after="0"/>
              <w:rPr>
                <w:sz w:val="14"/>
                <w:szCs w:val="14"/>
                <w:color w:val="auto"/>
              </w:rPr>
            </w:pPr>
          </w:p>
        </w:tc>
        <w:tc>
          <w:tcPr>
            <w:tcW w:w="90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Associated</w:t>
            </w:r>
          </w:p>
        </w:tc>
        <w:tc>
          <w:tcPr>
            <w:tcW w:w="1000" w:type="dxa"/>
            <w:vAlign w:val="bottom"/>
            <w:tcBorders>
              <w:right w:val="single" w:sz="8" w:color="7F7F7F"/>
            </w:tcBorders>
            <w:gridSpan w:val="2"/>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Associated</w:t>
            </w:r>
          </w:p>
        </w:tc>
        <w:tc>
          <w:tcPr>
            <w:tcW w:w="60" w:type="dxa"/>
            <w:vAlign w:val="bottom"/>
            <w:shd w:val="clear" w:color="auto" w:fill="DAE9F7"/>
          </w:tcPr>
          <w:p>
            <w:pPr>
              <w:spacing w:after="0"/>
              <w:rPr>
                <w:sz w:val="14"/>
                <w:szCs w:val="14"/>
                <w:color w:val="auto"/>
              </w:rPr>
            </w:pPr>
          </w:p>
        </w:tc>
        <w:tc>
          <w:tcPr>
            <w:tcW w:w="860" w:type="dxa"/>
            <w:vAlign w:val="bottom"/>
            <w:tcBorders>
              <w:right w:val="single" w:sz="8" w:color="7F7F7F"/>
            </w:tcBorders>
            <w:gridSpan w:val="2"/>
            <w:shd w:val="clear" w:color="auto" w:fill="DAE9F7"/>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Associated</w:t>
            </w:r>
          </w:p>
        </w:tc>
        <w:tc>
          <w:tcPr>
            <w:tcW w:w="1000" w:type="dxa"/>
            <w:vAlign w:val="bottom"/>
            <w:tcBorders>
              <w:right w:val="single" w:sz="8" w:color="7F7F7F"/>
            </w:tcBorders>
            <w:gridSpan w:val="2"/>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with Fee</w:t>
            </w:r>
          </w:p>
        </w:tc>
        <w:tc>
          <w:tcPr>
            <w:tcW w:w="0" w:type="dxa"/>
            <w:vAlign w:val="bottom"/>
          </w:tcPr>
          <w:p>
            <w:pPr>
              <w:spacing w:after="0"/>
              <w:rPr>
                <w:sz w:val="1"/>
                <w:szCs w:val="1"/>
                <w:color w:val="auto"/>
              </w:rPr>
            </w:pPr>
          </w:p>
        </w:tc>
      </w:tr>
      <w:tr>
        <w:trPr>
          <w:trHeight w:val="81"/>
        </w:trPr>
        <w:tc>
          <w:tcPr>
            <w:tcW w:w="1080" w:type="dxa"/>
            <w:vAlign w:val="bottom"/>
            <w:tcBorders>
              <w:left w:val="single" w:sz="8" w:color="7F7F7F"/>
              <w:right w:val="single" w:sz="8" w:color="7F7F7F"/>
            </w:tcBorders>
            <w:shd w:val="clear" w:color="auto" w:fill="DAE9F7"/>
          </w:tcPr>
          <w:p>
            <w:pPr>
              <w:spacing w:after="0"/>
              <w:rPr>
                <w:sz w:val="7"/>
                <w:szCs w:val="7"/>
                <w:color w:val="auto"/>
              </w:rPr>
            </w:pPr>
          </w:p>
        </w:tc>
        <w:tc>
          <w:tcPr>
            <w:tcW w:w="400" w:type="dxa"/>
            <w:vAlign w:val="bottom"/>
            <w:tcBorders>
              <w:right w:val="single" w:sz="8" w:color="7F7F7F"/>
            </w:tcBorders>
            <w:shd w:val="clear" w:color="auto" w:fill="DAE9F7"/>
          </w:tcPr>
          <w:p>
            <w:pPr>
              <w:spacing w:after="0"/>
              <w:rPr>
                <w:sz w:val="7"/>
                <w:szCs w:val="7"/>
                <w:color w:val="auto"/>
              </w:rPr>
            </w:pPr>
          </w:p>
        </w:tc>
        <w:tc>
          <w:tcPr>
            <w:tcW w:w="1020" w:type="dxa"/>
            <w:vAlign w:val="bottom"/>
            <w:tcBorders>
              <w:right w:val="single" w:sz="8" w:color="7F7F7F"/>
            </w:tcBorders>
            <w:gridSpan w:val="2"/>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Filer Name</w:t>
            </w:r>
          </w:p>
        </w:tc>
        <w:tc>
          <w:tcPr>
            <w:tcW w:w="780" w:type="dxa"/>
            <w:vAlign w:val="bottom"/>
            <w:tcBorders>
              <w:right w:val="single" w:sz="8" w:color="7F7F7F"/>
            </w:tcBorders>
            <w:shd w:val="clear" w:color="auto" w:fill="DAE9F7"/>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Filing</w:t>
            </w:r>
          </w:p>
        </w:tc>
        <w:tc>
          <w:tcPr>
            <w:tcW w:w="780" w:type="dxa"/>
            <w:vAlign w:val="bottom"/>
            <w:tcBorders>
              <w:right w:val="single" w:sz="8" w:color="7F7F7F"/>
            </w:tcBorders>
            <w:gridSpan w:val="3"/>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20" w:type="dxa"/>
            <w:vAlign w:val="bottom"/>
            <w:shd w:val="clear" w:color="auto" w:fill="DAE9F7"/>
          </w:tcPr>
          <w:p>
            <w:pPr>
              <w:jc w:val="center"/>
              <w:ind w:left="103"/>
              <w:spacing w:after="0" w:line="81" w:lineRule="exact"/>
              <w:rPr>
                <w:sz w:val="20"/>
                <w:szCs w:val="20"/>
                <w:color w:val="auto"/>
              </w:rPr>
            </w:pPr>
            <w:r>
              <w:rPr>
                <w:rFonts w:ascii="Times New Roman" w:cs="Times New Roman" w:eastAsia="Times New Roman" w:hAnsi="Times New Roman"/>
                <w:sz w:val="9"/>
                <w:szCs w:val="9"/>
                <w:b w:val="1"/>
                <w:bCs w:val="1"/>
                <w:color w:val="auto"/>
              </w:rPr>
              <w:t>Filing</w:t>
            </w:r>
          </w:p>
        </w:tc>
        <w:tc>
          <w:tcPr>
            <w:tcW w:w="200" w:type="dxa"/>
            <w:vAlign w:val="bottom"/>
            <w:tcBorders>
              <w:right w:val="single" w:sz="8" w:color="7F7F7F"/>
            </w:tcBorders>
            <w:shd w:val="clear" w:color="auto" w:fill="DAE9F7"/>
          </w:tcPr>
          <w:p>
            <w:pPr>
              <w:spacing w:after="0"/>
              <w:rPr>
                <w:sz w:val="7"/>
                <w:szCs w:val="7"/>
                <w:color w:val="auto"/>
              </w:rPr>
            </w:pPr>
          </w:p>
        </w:tc>
        <w:tc>
          <w:tcPr>
            <w:tcW w:w="660" w:type="dxa"/>
            <w:vAlign w:val="bottom"/>
            <w:tcBorders>
              <w:right w:val="single" w:sz="8" w:color="DAE9F7"/>
            </w:tcBorders>
            <w:vMerge w:val="restart"/>
            <w:shd w:val="clear" w:color="auto" w:fill="DAE9F7"/>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Date</w:t>
            </w:r>
          </w:p>
        </w:tc>
        <w:tc>
          <w:tcPr>
            <w:tcW w:w="140" w:type="dxa"/>
            <w:vAlign w:val="bottom"/>
            <w:tcBorders>
              <w:right w:val="single" w:sz="8" w:color="7F7F7F"/>
            </w:tcBorders>
            <w:shd w:val="clear" w:color="auto" w:fill="DAE9F7"/>
          </w:tcPr>
          <w:p>
            <w:pPr>
              <w:spacing w:after="0"/>
              <w:rPr>
                <w:sz w:val="7"/>
                <w:szCs w:val="7"/>
                <w:color w:val="auto"/>
              </w:rPr>
            </w:pPr>
          </w:p>
        </w:tc>
        <w:tc>
          <w:tcPr>
            <w:tcW w:w="820" w:type="dxa"/>
            <w:vAlign w:val="bottom"/>
            <w:tcBorders>
              <w:right w:val="single" w:sz="8" w:color="7F7F7F"/>
            </w:tcBorders>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Claimed</w:t>
            </w:r>
          </w:p>
        </w:tc>
        <w:tc>
          <w:tcPr>
            <w:tcW w:w="900" w:type="dxa"/>
            <w:vAlign w:val="bottom"/>
            <w:tcBorders>
              <w:right w:val="single" w:sz="8" w:color="7F7F7F"/>
            </w:tcBorders>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with Fee</w:t>
            </w:r>
          </w:p>
        </w:tc>
        <w:tc>
          <w:tcPr>
            <w:tcW w:w="1000" w:type="dxa"/>
            <w:vAlign w:val="bottom"/>
            <w:tcBorders>
              <w:right w:val="single" w:sz="8" w:color="7F7F7F"/>
            </w:tcBorders>
            <w:gridSpan w:val="2"/>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with Fee</w:t>
            </w:r>
          </w:p>
        </w:tc>
        <w:tc>
          <w:tcPr>
            <w:tcW w:w="60" w:type="dxa"/>
            <w:vAlign w:val="bottom"/>
            <w:shd w:val="clear" w:color="auto" w:fill="DAE9F7"/>
          </w:tcPr>
          <w:p>
            <w:pPr>
              <w:spacing w:after="0"/>
              <w:rPr>
                <w:sz w:val="7"/>
                <w:szCs w:val="7"/>
                <w:color w:val="auto"/>
              </w:rPr>
            </w:pPr>
          </w:p>
        </w:tc>
        <w:tc>
          <w:tcPr>
            <w:tcW w:w="860" w:type="dxa"/>
            <w:vAlign w:val="bottom"/>
            <w:tcBorders>
              <w:right w:val="single" w:sz="8" w:color="7F7F7F"/>
            </w:tcBorders>
            <w:gridSpan w:val="2"/>
            <w:vMerge w:val="restart"/>
            <w:shd w:val="clear" w:color="auto" w:fill="DAE9F7"/>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with Fee</w:t>
            </w:r>
          </w:p>
        </w:tc>
        <w:tc>
          <w:tcPr>
            <w:tcW w:w="1000" w:type="dxa"/>
            <w:vAlign w:val="bottom"/>
            <w:tcBorders>
              <w:right w:val="single" w:sz="8" w:color="7F7F7F"/>
            </w:tcBorders>
            <w:gridSpan w:val="2"/>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Associated</w:t>
            </w:r>
          </w:p>
        </w:tc>
        <w:tc>
          <w:tcPr>
            <w:tcW w:w="940" w:type="dxa"/>
            <w:vAlign w:val="bottom"/>
            <w:tcBorders>
              <w:right w:val="single" w:sz="8" w:color="7F7F7F"/>
            </w:tcBorders>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0" w:type="dxa"/>
            <w:vAlign w:val="bottom"/>
          </w:tcPr>
          <w:p>
            <w:pPr>
              <w:spacing w:after="0"/>
              <w:rPr>
                <w:sz w:val="1"/>
                <w:szCs w:val="1"/>
                <w:color w:val="auto"/>
              </w:rPr>
            </w:pPr>
          </w:p>
        </w:tc>
      </w:tr>
      <w:tr>
        <w:trPr>
          <w:trHeight w:val="81"/>
        </w:trPr>
        <w:tc>
          <w:tcPr>
            <w:tcW w:w="1080" w:type="dxa"/>
            <w:vAlign w:val="bottom"/>
            <w:tcBorders>
              <w:left w:val="single" w:sz="8" w:color="7F7F7F"/>
              <w:right w:val="single" w:sz="8" w:color="7F7F7F"/>
            </w:tcBorders>
            <w:shd w:val="clear" w:color="auto" w:fill="DAE9F7"/>
          </w:tcPr>
          <w:p>
            <w:pPr>
              <w:spacing w:after="0"/>
              <w:rPr>
                <w:sz w:val="7"/>
                <w:szCs w:val="7"/>
                <w:color w:val="auto"/>
              </w:rPr>
            </w:pPr>
          </w:p>
        </w:tc>
        <w:tc>
          <w:tcPr>
            <w:tcW w:w="400" w:type="dxa"/>
            <w:vAlign w:val="bottom"/>
            <w:tcBorders>
              <w:right w:val="single" w:sz="8" w:color="7F7F7F"/>
            </w:tcBorders>
            <w:shd w:val="clear" w:color="auto" w:fill="DAE9F7"/>
          </w:tcPr>
          <w:p>
            <w:pPr>
              <w:spacing w:after="0"/>
              <w:rPr>
                <w:sz w:val="7"/>
                <w:szCs w:val="7"/>
                <w:color w:val="auto"/>
              </w:rPr>
            </w:pPr>
          </w:p>
        </w:tc>
        <w:tc>
          <w:tcPr>
            <w:tcW w:w="1020" w:type="dxa"/>
            <w:vAlign w:val="bottom"/>
            <w:tcBorders>
              <w:right w:val="single" w:sz="8" w:color="7F7F7F"/>
            </w:tcBorders>
            <w:gridSpan w:val="2"/>
            <w:vMerge w:val="continue"/>
            <w:shd w:val="clear" w:color="auto" w:fill="DAE9F7"/>
          </w:tcPr>
          <w:p>
            <w:pPr>
              <w:spacing w:after="0"/>
              <w:rPr>
                <w:sz w:val="7"/>
                <w:szCs w:val="7"/>
                <w:color w:val="auto"/>
              </w:rPr>
            </w:pPr>
          </w:p>
        </w:tc>
        <w:tc>
          <w:tcPr>
            <w:tcW w:w="780" w:type="dxa"/>
            <w:vAlign w:val="bottom"/>
            <w:tcBorders>
              <w:right w:val="single" w:sz="8" w:color="7F7F7F"/>
            </w:tcBorders>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780" w:type="dxa"/>
            <w:vAlign w:val="bottom"/>
            <w:tcBorders>
              <w:right w:val="single" w:sz="8" w:color="7F7F7F"/>
            </w:tcBorders>
            <w:gridSpan w:val="3"/>
            <w:vMerge w:val="continue"/>
            <w:shd w:val="clear" w:color="auto" w:fill="DAE9F7"/>
          </w:tcPr>
          <w:p>
            <w:pPr>
              <w:spacing w:after="0"/>
              <w:rPr>
                <w:sz w:val="7"/>
                <w:szCs w:val="7"/>
                <w:color w:val="auto"/>
              </w:rPr>
            </w:pPr>
          </w:p>
        </w:tc>
        <w:tc>
          <w:tcPr>
            <w:tcW w:w="620" w:type="dxa"/>
            <w:vAlign w:val="bottom"/>
            <w:vMerge w:val="restart"/>
            <w:shd w:val="clear" w:color="auto" w:fill="DAE9F7"/>
          </w:tcPr>
          <w:p>
            <w:pPr>
              <w:jc w:val="center"/>
              <w:ind w:left="103"/>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00" w:type="dxa"/>
            <w:vAlign w:val="bottom"/>
            <w:tcBorders>
              <w:right w:val="single" w:sz="8" w:color="7F7F7F"/>
            </w:tcBorders>
            <w:shd w:val="clear" w:color="auto" w:fill="DAE9F7"/>
          </w:tcPr>
          <w:p>
            <w:pPr>
              <w:spacing w:after="0"/>
              <w:rPr>
                <w:sz w:val="7"/>
                <w:szCs w:val="7"/>
                <w:color w:val="auto"/>
              </w:rPr>
            </w:pPr>
          </w:p>
        </w:tc>
        <w:tc>
          <w:tcPr>
            <w:tcW w:w="660" w:type="dxa"/>
            <w:vAlign w:val="bottom"/>
            <w:tcBorders>
              <w:right w:val="single" w:sz="8" w:color="DAE9F7"/>
            </w:tcBorders>
            <w:vMerge w:val="continue"/>
            <w:shd w:val="clear" w:color="auto" w:fill="DAE9F7"/>
          </w:tcPr>
          <w:p>
            <w:pPr>
              <w:spacing w:after="0"/>
              <w:rPr>
                <w:sz w:val="7"/>
                <w:szCs w:val="7"/>
                <w:color w:val="auto"/>
              </w:rPr>
            </w:pPr>
          </w:p>
        </w:tc>
        <w:tc>
          <w:tcPr>
            <w:tcW w:w="140" w:type="dxa"/>
            <w:vAlign w:val="bottom"/>
            <w:tcBorders>
              <w:right w:val="single" w:sz="8" w:color="7F7F7F"/>
            </w:tcBorders>
            <w:shd w:val="clear" w:color="auto" w:fill="DAE9F7"/>
          </w:tcPr>
          <w:p>
            <w:pPr>
              <w:spacing w:after="0"/>
              <w:rPr>
                <w:sz w:val="7"/>
                <w:szCs w:val="7"/>
                <w:color w:val="auto"/>
              </w:rPr>
            </w:pPr>
          </w:p>
        </w:tc>
        <w:tc>
          <w:tcPr>
            <w:tcW w:w="820" w:type="dxa"/>
            <w:vAlign w:val="bottom"/>
            <w:tcBorders>
              <w:right w:val="single" w:sz="8" w:color="7F7F7F"/>
            </w:tcBorders>
            <w:vMerge w:val="continue"/>
            <w:shd w:val="clear" w:color="auto" w:fill="DAE9F7"/>
          </w:tcPr>
          <w:p>
            <w:pPr>
              <w:spacing w:after="0"/>
              <w:rPr>
                <w:sz w:val="7"/>
                <w:szCs w:val="7"/>
                <w:color w:val="auto"/>
              </w:rPr>
            </w:pPr>
          </w:p>
        </w:tc>
        <w:tc>
          <w:tcPr>
            <w:tcW w:w="900" w:type="dxa"/>
            <w:vAlign w:val="bottom"/>
            <w:tcBorders>
              <w:right w:val="single" w:sz="8" w:color="7F7F7F"/>
            </w:tcBorders>
            <w:vMerge w:val="continue"/>
            <w:shd w:val="clear" w:color="auto" w:fill="DAE9F7"/>
          </w:tcPr>
          <w:p>
            <w:pPr>
              <w:spacing w:after="0"/>
              <w:rPr>
                <w:sz w:val="7"/>
                <w:szCs w:val="7"/>
                <w:color w:val="auto"/>
              </w:rPr>
            </w:pPr>
          </w:p>
        </w:tc>
        <w:tc>
          <w:tcPr>
            <w:tcW w:w="1000" w:type="dxa"/>
            <w:vAlign w:val="bottom"/>
            <w:tcBorders>
              <w:right w:val="single" w:sz="8" w:color="7F7F7F"/>
            </w:tcBorders>
            <w:gridSpan w:val="2"/>
            <w:vMerge w:val="continue"/>
            <w:shd w:val="clear" w:color="auto" w:fill="DAE9F7"/>
          </w:tcPr>
          <w:p>
            <w:pPr>
              <w:spacing w:after="0"/>
              <w:rPr>
                <w:sz w:val="7"/>
                <w:szCs w:val="7"/>
                <w:color w:val="auto"/>
              </w:rPr>
            </w:pPr>
          </w:p>
        </w:tc>
        <w:tc>
          <w:tcPr>
            <w:tcW w:w="60" w:type="dxa"/>
            <w:vAlign w:val="bottom"/>
            <w:shd w:val="clear" w:color="auto" w:fill="DAE9F7"/>
          </w:tcPr>
          <w:p>
            <w:pPr>
              <w:spacing w:after="0"/>
              <w:rPr>
                <w:sz w:val="7"/>
                <w:szCs w:val="7"/>
                <w:color w:val="auto"/>
              </w:rPr>
            </w:pPr>
          </w:p>
        </w:tc>
        <w:tc>
          <w:tcPr>
            <w:tcW w:w="860" w:type="dxa"/>
            <w:vAlign w:val="bottom"/>
            <w:tcBorders>
              <w:right w:val="single" w:sz="8" w:color="7F7F7F"/>
            </w:tcBorders>
            <w:gridSpan w:val="2"/>
            <w:vMerge w:val="continue"/>
            <w:shd w:val="clear" w:color="auto" w:fill="DAE9F7"/>
          </w:tcPr>
          <w:p>
            <w:pPr>
              <w:spacing w:after="0"/>
              <w:rPr>
                <w:sz w:val="7"/>
                <w:szCs w:val="7"/>
                <w:color w:val="auto"/>
              </w:rPr>
            </w:pPr>
          </w:p>
        </w:tc>
        <w:tc>
          <w:tcPr>
            <w:tcW w:w="1000" w:type="dxa"/>
            <w:vAlign w:val="bottom"/>
            <w:tcBorders>
              <w:right w:val="single" w:sz="8" w:color="7F7F7F"/>
            </w:tcBorders>
            <w:gridSpan w:val="2"/>
            <w:vMerge w:val="continue"/>
            <w:shd w:val="clear" w:color="auto" w:fill="DAE9F7"/>
          </w:tcPr>
          <w:p>
            <w:pPr>
              <w:spacing w:after="0"/>
              <w:rPr>
                <w:sz w:val="7"/>
                <w:szCs w:val="7"/>
                <w:color w:val="auto"/>
              </w:rPr>
            </w:pPr>
          </w:p>
        </w:tc>
        <w:tc>
          <w:tcPr>
            <w:tcW w:w="940" w:type="dxa"/>
            <w:vAlign w:val="bottom"/>
            <w:tcBorders>
              <w:right w:val="single" w:sz="8" w:color="7F7F7F"/>
            </w:tcBorders>
            <w:vMerge w:val="continue"/>
            <w:shd w:val="clear" w:color="auto" w:fill="DAE9F7"/>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80" w:type="dxa"/>
            <w:vAlign w:val="bottom"/>
            <w:tcBorders>
              <w:left w:val="single" w:sz="8" w:color="7F7F7F"/>
              <w:right w:val="single" w:sz="8" w:color="7F7F7F"/>
            </w:tcBorders>
            <w:shd w:val="clear" w:color="auto" w:fill="DAE9F7"/>
          </w:tcPr>
          <w:p>
            <w:pPr>
              <w:spacing w:after="0"/>
              <w:rPr>
                <w:sz w:val="11"/>
                <w:szCs w:val="11"/>
                <w:color w:val="auto"/>
              </w:rPr>
            </w:pPr>
          </w:p>
        </w:tc>
        <w:tc>
          <w:tcPr>
            <w:tcW w:w="400" w:type="dxa"/>
            <w:vAlign w:val="bottom"/>
            <w:tcBorders>
              <w:right w:val="single" w:sz="8" w:color="7F7F7F"/>
            </w:tcBorders>
            <w:shd w:val="clear" w:color="auto" w:fill="DAE9F7"/>
          </w:tcPr>
          <w:p>
            <w:pPr>
              <w:spacing w:after="0"/>
              <w:rPr>
                <w:sz w:val="11"/>
                <w:szCs w:val="11"/>
                <w:color w:val="auto"/>
              </w:rPr>
            </w:pPr>
          </w:p>
        </w:tc>
        <w:tc>
          <w:tcPr>
            <w:tcW w:w="580" w:type="dxa"/>
            <w:vAlign w:val="bottom"/>
            <w:tcBorders>
              <w:right w:val="single" w:sz="8" w:color="DAE9F7"/>
            </w:tcBorders>
            <w:shd w:val="clear" w:color="auto" w:fill="DAE9F7"/>
          </w:tcPr>
          <w:p>
            <w:pPr>
              <w:spacing w:after="0"/>
              <w:rPr>
                <w:sz w:val="11"/>
                <w:szCs w:val="11"/>
                <w:color w:val="auto"/>
              </w:rPr>
            </w:pPr>
          </w:p>
        </w:tc>
        <w:tc>
          <w:tcPr>
            <w:tcW w:w="440" w:type="dxa"/>
            <w:vAlign w:val="bottom"/>
            <w:tcBorders>
              <w:right w:val="single" w:sz="8" w:color="7F7F7F"/>
            </w:tcBorders>
            <w:shd w:val="clear" w:color="auto" w:fill="DAE9F7"/>
          </w:tcPr>
          <w:p>
            <w:pPr>
              <w:spacing w:after="0"/>
              <w:rPr>
                <w:sz w:val="11"/>
                <w:szCs w:val="11"/>
                <w:color w:val="auto"/>
              </w:rPr>
            </w:pPr>
          </w:p>
        </w:tc>
        <w:tc>
          <w:tcPr>
            <w:tcW w:w="780" w:type="dxa"/>
            <w:vAlign w:val="bottom"/>
            <w:tcBorders>
              <w:right w:val="single" w:sz="8" w:color="7F7F7F"/>
            </w:tcBorders>
            <w:vMerge w:val="continue"/>
            <w:shd w:val="clear" w:color="auto" w:fill="DAE9F7"/>
          </w:tcPr>
          <w:p>
            <w:pPr>
              <w:spacing w:after="0"/>
              <w:rPr>
                <w:sz w:val="11"/>
                <w:szCs w:val="11"/>
                <w:color w:val="auto"/>
              </w:rPr>
            </w:pPr>
          </w:p>
        </w:tc>
        <w:tc>
          <w:tcPr>
            <w:tcW w:w="480" w:type="dxa"/>
            <w:vAlign w:val="bottom"/>
            <w:tcBorders>
              <w:right w:val="single" w:sz="8" w:color="DAE9F7"/>
            </w:tcBorders>
            <w:shd w:val="clear" w:color="auto" w:fill="DAE9F7"/>
          </w:tcPr>
          <w:p>
            <w:pPr>
              <w:spacing w:after="0"/>
              <w:rPr>
                <w:sz w:val="11"/>
                <w:szCs w:val="11"/>
                <w:color w:val="auto"/>
              </w:rPr>
            </w:pPr>
          </w:p>
        </w:tc>
        <w:tc>
          <w:tcPr>
            <w:tcW w:w="80" w:type="dxa"/>
            <w:vAlign w:val="bottom"/>
            <w:shd w:val="clear" w:color="auto" w:fill="DAE9F7"/>
          </w:tcPr>
          <w:p>
            <w:pPr>
              <w:spacing w:after="0"/>
              <w:rPr>
                <w:sz w:val="11"/>
                <w:szCs w:val="11"/>
                <w:color w:val="auto"/>
              </w:rPr>
            </w:pPr>
          </w:p>
        </w:tc>
        <w:tc>
          <w:tcPr>
            <w:tcW w:w="220" w:type="dxa"/>
            <w:vAlign w:val="bottom"/>
            <w:tcBorders>
              <w:right w:val="single" w:sz="8" w:color="7F7F7F"/>
            </w:tcBorders>
            <w:shd w:val="clear" w:color="auto" w:fill="DAE9F7"/>
          </w:tcPr>
          <w:p>
            <w:pPr>
              <w:spacing w:after="0"/>
              <w:rPr>
                <w:sz w:val="11"/>
                <w:szCs w:val="11"/>
                <w:color w:val="auto"/>
              </w:rPr>
            </w:pPr>
          </w:p>
        </w:tc>
        <w:tc>
          <w:tcPr>
            <w:tcW w:w="620" w:type="dxa"/>
            <w:vAlign w:val="bottom"/>
            <w:vMerge w:val="continue"/>
            <w:shd w:val="clear" w:color="auto" w:fill="DAE9F7"/>
          </w:tcPr>
          <w:p>
            <w:pPr>
              <w:spacing w:after="0"/>
              <w:rPr>
                <w:sz w:val="11"/>
                <w:szCs w:val="11"/>
                <w:color w:val="auto"/>
              </w:rPr>
            </w:pPr>
          </w:p>
        </w:tc>
        <w:tc>
          <w:tcPr>
            <w:tcW w:w="200" w:type="dxa"/>
            <w:vAlign w:val="bottom"/>
            <w:tcBorders>
              <w:right w:val="single" w:sz="8" w:color="7F7F7F"/>
            </w:tcBorders>
            <w:shd w:val="clear" w:color="auto" w:fill="DAE9F7"/>
          </w:tcPr>
          <w:p>
            <w:pPr>
              <w:spacing w:after="0"/>
              <w:rPr>
                <w:sz w:val="11"/>
                <w:szCs w:val="11"/>
                <w:color w:val="auto"/>
              </w:rPr>
            </w:pPr>
          </w:p>
        </w:tc>
        <w:tc>
          <w:tcPr>
            <w:tcW w:w="660" w:type="dxa"/>
            <w:vAlign w:val="bottom"/>
            <w:tcBorders>
              <w:right w:val="single" w:sz="8" w:color="DAE9F7"/>
            </w:tcBorders>
            <w:shd w:val="clear" w:color="auto" w:fill="DAE9F7"/>
          </w:tcPr>
          <w:p>
            <w:pPr>
              <w:spacing w:after="0"/>
              <w:rPr>
                <w:sz w:val="11"/>
                <w:szCs w:val="11"/>
                <w:color w:val="auto"/>
              </w:rPr>
            </w:pPr>
          </w:p>
        </w:tc>
        <w:tc>
          <w:tcPr>
            <w:tcW w:w="140" w:type="dxa"/>
            <w:vAlign w:val="bottom"/>
            <w:tcBorders>
              <w:right w:val="single" w:sz="8" w:color="7F7F7F"/>
            </w:tcBorders>
            <w:shd w:val="clear" w:color="auto" w:fill="DAE9F7"/>
          </w:tcPr>
          <w:p>
            <w:pPr>
              <w:spacing w:after="0"/>
              <w:rPr>
                <w:sz w:val="11"/>
                <w:szCs w:val="11"/>
                <w:color w:val="auto"/>
              </w:rPr>
            </w:pPr>
          </w:p>
        </w:tc>
        <w:tc>
          <w:tcPr>
            <w:tcW w:w="820" w:type="dxa"/>
            <w:vAlign w:val="bottom"/>
            <w:tcBorders>
              <w:right w:val="single" w:sz="8" w:color="7F7F7F"/>
            </w:tcBorders>
            <w:shd w:val="clear" w:color="auto" w:fill="DAE9F7"/>
          </w:tcPr>
          <w:p>
            <w:pPr>
              <w:spacing w:after="0"/>
              <w:rPr>
                <w:sz w:val="11"/>
                <w:szCs w:val="11"/>
                <w:color w:val="auto"/>
              </w:rPr>
            </w:pPr>
          </w:p>
        </w:tc>
        <w:tc>
          <w:tcPr>
            <w:tcW w:w="900" w:type="dxa"/>
            <w:vAlign w:val="bottom"/>
            <w:tcBorders>
              <w:right w:val="single" w:sz="8" w:color="7F7F7F"/>
            </w:tcBorders>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1000" w:type="dxa"/>
            <w:vAlign w:val="bottom"/>
            <w:tcBorders>
              <w:right w:val="single" w:sz="8" w:color="7F7F7F"/>
            </w:tcBorders>
            <w:gridSpan w:val="2"/>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60" w:type="dxa"/>
            <w:vAlign w:val="bottom"/>
            <w:shd w:val="clear" w:color="auto" w:fill="DAE9F7"/>
          </w:tcPr>
          <w:p>
            <w:pPr>
              <w:spacing w:after="0"/>
              <w:rPr>
                <w:sz w:val="11"/>
                <w:szCs w:val="11"/>
                <w:color w:val="auto"/>
              </w:rPr>
            </w:pPr>
          </w:p>
        </w:tc>
        <w:tc>
          <w:tcPr>
            <w:tcW w:w="860" w:type="dxa"/>
            <w:vAlign w:val="bottom"/>
            <w:tcBorders>
              <w:right w:val="single" w:sz="8" w:color="7F7F7F"/>
            </w:tcBorders>
            <w:gridSpan w:val="2"/>
            <w:vMerge w:val="restart"/>
            <w:shd w:val="clear" w:color="auto" w:fill="DAE9F7"/>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1000" w:type="dxa"/>
            <w:vAlign w:val="bottom"/>
            <w:tcBorders>
              <w:right w:val="single" w:sz="8" w:color="7F7F7F"/>
            </w:tcBorders>
            <w:gridSpan w:val="2"/>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with Fee</w:t>
            </w:r>
          </w:p>
        </w:tc>
        <w:tc>
          <w:tcPr>
            <w:tcW w:w="940" w:type="dxa"/>
            <w:vAlign w:val="bottom"/>
            <w:tcBorders>
              <w:right w:val="single" w:sz="8" w:color="7F7F7F"/>
            </w:tcBorders>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Source</w:t>
            </w:r>
          </w:p>
        </w:tc>
        <w:tc>
          <w:tcPr>
            <w:tcW w:w="0" w:type="dxa"/>
            <w:vAlign w:val="bottom"/>
          </w:tcPr>
          <w:p>
            <w:pPr>
              <w:spacing w:after="0"/>
              <w:rPr>
                <w:sz w:val="1"/>
                <w:szCs w:val="1"/>
                <w:color w:val="auto"/>
              </w:rPr>
            </w:pPr>
          </w:p>
        </w:tc>
      </w:tr>
      <w:tr>
        <w:trPr>
          <w:trHeight w:val="31"/>
        </w:trPr>
        <w:tc>
          <w:tcPr>
            <w:tcW w:w="1080" w:type="dxa"/>
            <w:vAlign w:val="bottom"/>
            <w:tcBorders>
              <w:left w:val="single" w:sz="8" w:color="7F7F7F"/>
              <w:right w:val="single" w:sz="8" w:color="7F7F7F"/>
            </w:tcBorders>
            <w:shd w:val="clear" w:color="auto" w:fill="DAE9F7"/>
          </w:tcPr>
          <w:p>
            <w:pPr>
              <w:spacing w:after="0"/>
              <w:rPr>
                <w:sz w:val="2"/>
                <w:szCs w:val="2"/>
                <w:color w:val="auto"/>
              </w:rPr>
            </w:pPr>
          </w:p>
        </w:tc>
        <w:tc>
          <w:tcPr>
            <w:tcW w:w="400" w:type="dxa"/>
            <w:vAlign w:val="bottom"/>
            <w:tcBorders>
              <w:right w:val="single" w:sz="8" w:color="7F7F7F"/>
            </w:tcBorders>
            <w:shd w:val="clear" w:color="auto" w:fill="DAE9F7"/>
          </w:tcPr>
          <w:p>
            <w:pPr>
              <w:spacing w:after="0"/>
              <w:rPr>
                <w:sz w:val="2"/>
                <w:szCs w:val="2"/>
                <w:color w:val="auto"/>
              </w:rPr>
            </w:pPr>
          </w:p>
        </w:tc>
        <w:tc>
          <w:tcPr>
            <w:tcW w:w="580" w:type="dxa"/>
            <w:vAlign w:val="bottom"/>
            <w:tcBorders>
              <w:right w:val="single" w:sz="8" w:color="DAE9F7"/>
            </w:tcBorders>
            <w:shd w:val="clear" w:color="auto" w:fill="DAE9F7"/>
          </w:tcPr>
          <w:p>
            <w:pPr>
              <w:spacing w:after="0"/>
              <w:rPr>
                <w:sz w:val="2"/>
                <w:szCs w:val="2"/>
                <w:color w:val="auto"/>
              </w:rPr>
            </w:pPr>
          </w:p>
        </w:tc>
        <w:tc>
          <w:tcPr>
            <w:tcW w:w="440" w:type="dxa"/>
            <w:vAlign w:val="bottom"/>
            <w:tcBorders>
              <w:right w:val="single" w:sz="8" w:color="7F7F7F"/>
            </w:tcBorders>
            <w:shd w:val="clear" w:color="auto" w:fill="DAE9F7"/>
          </w:tcPr>
          <w:p>
            <w:pPr>
              <w:spacing w:after="0"/>
              <w:rPr>
                <w:sz w:val="2"/>
                <w:szCs w:val="2"/>
                <w:color w:val="auto"/>
              </w:rPr>
            </w:pPr>
          </w:p>
        </w:tc>
        <w:tc>
          <w:tcPr>
            <w:tcW w:w="780" w:type="dxa"/>
            <w:vAlign w:val="bottom"/>
            <w:tcBorders>
              <w:right w:val="single" w:sz="8" w:color="7F7F7F"/>
            </w:tcBorders>
            <w:shd w:val="clear" w:color="auto" w:fill="DAE9F7"/>
          </w:tcPr>
          <w:p>
            <w:pPr>
              <w:spacing w:after="0"/>
              <w:rPr>
                <w:sz w:val="2"/>
                <w:szCs w:val="2"/>
                <w:color w:val="auto"/>
              </w:rPr>
            </w:pPr>
          </w:p>
        </w:tc>
        <w:tc>
          <w:tcPr>
            <w:tcW w:w="480" w:type="dxa"/>
            <w:vAlign w:val="bottom"/>
            <w:tcBorders>
              <w:right w:val="single" w:sz="8" w:color="DAE9F7"/>
            </w:tcBorders>
            <w:shd w:val="clear" w:color="auto" w:fill="DAE9F7"/>
          </w:tcPr>
          <w:p>
            <w:pPr>
              <w:spacing w:after="0"/>
              <w:rPr>
                <w:sz w:val="2"/>
                <w:szCs w:val="2"/>
                <w:color w:val="auto"/>
              </w:rPr>
            </w:pPr>
          </w:p>
        </w:tc>
        <w:tc>
          <w:tcPr>
            <w:tcW w:w="80" w:type="dxa"/>
            <w:vAlign w:val="bottom"/>
            <w:shd w:val="clear" w:color="auto" w:fill="DAE9F7"/>
          </w:tcPr>
          <w:p>
            <w:pPr>
              <w:spacing w:after="0"/>
              <w:rPr>
                <w:sz w:val="2"/>
                <w:szCs w:val="2"/>
                <w:color w:val="auto"/>
              </w:rPr>
            </w:pPr>
          </w:p>
        </w:tc>
        <w:tc>
          <w:tcPr>
            <w:tcW w:w="220" w:type="dxa"/>
            <w:vAlign w:val="bottom"/>
            <w:tcBorders>
              <w:right w:val="single" w:sz="8" w:color="7F7F7F"/>
            </w:tcBorders>
            <w:shd w:val="clear" w:color="auto" w:fill="DAE9F7"/>
          </w:tcPr>
          <w:p>
            <w:pPr>
              <w:spacing w:after="0"/>
              <w:rPr>
                <w:sz w:val="2"/>
                <w:szCs w:val="2"/>
                <w:color w:val="auto"/>
              </w:rPr>
            </w:pPr>
          </w:p>
        </w:tc>
        <w:tc>
          <w:tcPr>
            <w:tcW w:w="620" w:type="dxa"/>
            <w:vAlign w:val="bottom"/>
            <w:shd w:val="clear" w:color="auto" w:fill="DAE9F7"/>
          </w:tcPr>
          <w:p>
            <w:pPr>
              <w:spacing w:after="0"/>
              <w:rPr>
                <w:sz w:val="2"/>
                <w:szCs w:val="2"/>
                <w:color w:val="auto"/>
              </w:rPr>
            </w:pPr>
          </w:p>
        </w:tc>
        <w:tc>
          <w:tcPr>
            <w:tcW w:w="200" w:type="dxa"/>
            <w:vAlign w:val="bottom"/>
            <w:tcBorders>
              <w:right w:val="single" w:sz="8" w:color="7F7F7F"/>
            </w:tcBorders>
            <w:shd w:val="clear" w:color="auto" w:fill="DAE9F7"/>
          </w:tcPr>
          <w:p>
            <w:pPr>
              <w:spacing w:after="0"/>
              <w:rPr>
                <w:sz w:val="2"/>
                <w:szCs w:val="2"/>
                <w:color w:val="auto"/>
              </w:rPr>
            </w:pPr>
          </w:p>
        </w:tc>
        <w:tc>
          <w:tcPr>
            <w:tcW w:w="660" w:type="dxa"/>
            <w:vAlign w:val="bottom"/>
            <w:tcBorders>
              <w:right w:val="single" w:sz="8" w:color="DAE9F7"/>
            </w:tcBorders>
            <w:shd w:val="clear" w:color="auto" w:fill="DAE9F7"/>
          </w:tcPr>
          <w:p>
            <w:pPr>
              <w:spacing w:after="0"/>
              <w:rPr>
                <w:sz w:val="2"/>
                <w:szCs w:val="2"/>
                <w:color w:val="auto"/>
              </w:rPr>
            </w:pPr>
          </w:p>
        </w:tc>
        <w:tc>
          <w:tcPr>
            <w:tcW w:w="140" w:type="dxa"/>
            <w:vAlign w:val="bottom"/>
            <w:tcBorders>
              <w:right w:val="single" w:sz="8" w:color="7F7F7F"/>
            </w:tcBorders>
            <w:shd w:val="clear" w:color="auto" w:fill="DAE9F7"/>
          </w:tcPr>
          <w:p>
            <w:pPr>
              <w:spacing w:after="0"/>
              <w:rPr>
                <w:sz w:val="2"/>
                <w:szCs w:val="2"/>
                <w:color w:val="auto"/>
              </w:rPr>
            </w:pPr>
          </w:p>
        </w:tc>
        <w:tc>
          <w:tcPr>
            <w:tcW w:w="820" w:type="dxa"/>
            <w:vAlign w:val="bottom"/>
            <w:tcBorders>
              <w:right w:val="single" w:sz="8" w:color="7F7F7F"/>
            </w:tcBorders>
            <w:shd w:val="clear" w:color="auto" w:fill="DAE9F7"/>
          </w:tcPr>
          <w:p>
            <w:pPr>
              <w:spacing w:after="0"/>
              <w:rPr>
                <w:sz w:val="2"/>
                <w:szCs w:val="2"/>
                <w:color w:val="auto"/>
              </w:rPr>
            </w:pPr>
          </w:p>
        </w:tc>
        <w:tc>
          <w:tcPr>
            <w:tcW w:w="900" w:type="dxa"/>
            <w:vAlign w:val="bottom"/>
            <w:tcBorders>
              <w:right w:val="single" w:sz="8" w:color="7F7F7F"/>
            </w:tcBorders>
            <w:vMerge w:val="continue"/>
            <w:shd w:val="clear" w:color="auto" w:fill="DAE9F7"/>
          </w:tcPr>
          <w:p>
            <w:pPr>
              <w:spacing w:after="0"/>
              <w:rPr>
                <w:sz w:val="2"/>
                <w:szCs w:val="2"/>
                <w:color w:val="auto"/>
              </w:rPr>
            </w:pPr>
          </w:p>
        </w:tc>
        <w:tc>
          <w:tcPr>
            <w:tcW w:w="1000" w:type="dxa"/>
            <w:vAlign w:val="bottom"/>
            <w:tcBorders>
              <w:right w:val="single" w:sz="8" w:color="7F7F7F"/>
            </w:tcBorders>
            <w:gridSpan w:val="2"/>
            <w:vMerge w:val="continue"/>
            <w:shd w:val="clear" w:color="auto" w:fill="DAE9F7"/>
          </w:tcPr>
          <w:p>
            <w:pPr>
              <w:spacing w:after="0"/>
              <w:rPr>
                <w:sz w:val="2"/>
                <w:szCs w:val="2"/>
                <w:color w:val="auto"/>
              </w:rPr>
            </w:pPr>
          </w:p>
        </w:tc>
        <w:tc>
          <w:tcPr>
            <w:tcW w:w="60" w:type="dxa"/>
            <w:vAlign w:val="bottom"/>
            <w:shd w:val="clear" w:color="auto" w:fill="DAE9F7"/>
          </w:tcPr>
          <w:p>
            <w:pPr>
              <w:spacing w:after="0"/>
              <w:rPr>
                <w:sz w:val="2"/>
                <w:szCs w:val="2"/>
                <w:color w:val="auto"/>
              </w:rPr>
            </w:pPr>
          </w:p>
        </w:tc>
        <w:tc>
          <w:tcPr>
            <w:tcW w:w="860" w:type="dxa"/>
            <w:vAlign w:val="bottom"/>
            <w:tcBorders>
              <w:right w:val="single" w:sz="8" w:color="7F7F7F"/>
            </w:tcBorders>
            <w:gridSpan w:val="2"/>
            <w:vMerge w:val="continue"/>
            <w:shd w:val="clear" w:color="auto" w:fill="DAE9F7"/>
          </w:tcPr>
          <w:p>
            <w:pPr>
              <w:spacing w:after="0"/>
              <w:rPr>
                <w:sz w:val="2"/>
                <w:szCs w:val="2"/>
                <w:color w:val="auto"/>
              </w:rPr>
            </w:pPr>
          </w:p>
        </w:tc>
        <w:tc>
          <w:tcPr>
            <w:tcW w:w="1000" w:type="dxa"/>
            <w:vAlign w:val="bottom"/>
            <w:tcBorders>
              <w:right w:val="single" w:sz="8" w:color="7F7F7F"/>
            </w:tcBorders>
            <w:gridSpan w:val="2"/>
            <w:vMerge w:val="continue"/>
            <w:shd w:val="clear" w:color="auto" w:fill="DAE9F7"/>
          </w:tcPr>
          <w:p>
            <w:pPr>
              <w:spacing w:after="0"/>
              <w:rPr>
                <w:sz w:val="2"/>
                <w:szCs w:val="2"/>
                <w:color w:val="auto"/>
              </w:rPr>
            </w:pPr>
          </w:p>
        </w:tc>
        <w:tc>
          <w:tcPr>
            <w:tcW w:w="940" w:type="dxa"/>
            <w:vAlign w:val="bottom"/>
            <w:tcBorders>
              <w:right w:val="single" w:sz="8" w:color="7F7F7F"/>
            </w:tcBorders>
            <w:vMerge w:val="continue"/>
            <w:shd w:val="clear" w:color="auto" w:fill="DAE9F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left w:val="single" w:sz="8" w:color="7F7F7F"/>
              <w:right w:val="single" w:sz="8" w:color="7F7F7F"/>
            </w:tcBorders>
            <w:shd w:val="clear" w:color="auto" w:fill="DAE9F7"/>
          </w:tcPr>
          <w:p>
            <w:pPr>
              <w:spacing w:after="0"/>
              <w:rPr>
                <w:sz w:val="14"/>
                <w:szCs w:val="14"/>
                <w:color w:val="auto"/>
              </w:rPr>
            </w:pPr>
          </w:p>
        </w:tc>
        <w:tc>
          <w:tcPr>
            <w:tcW w:w="400" w:type="dxa"/>
            <w:vAlign w:val="bottom"/>
            <w:tcBorders>
              <w:right w:val="single" w:sz="8" w:color="7F7F7F"/>
            </w:tcBorders>
            <w:shd w:val="clear" w:color="auto" w:fill="DAE9F7"/>
          </w:tcPr>
          <w:p>
            <w:pPr>
              <w:spacing w:after="0"/>
              <w:rPr>
                <w:sz w:val="14"/>
                <w:szCs w:val="14"/>
                <w:color w:val="auto"/>
              </w:rPr>
            </w:pPr>
          </w:p>
        </w:tc>
        <w:tc>
          <w:tcPr>
            <w:tcW w:w="580" w:type="dxa"/>
            <w:vAlign w:val="bottom"/>
            <w:tcBorders>
              <w:right w:val="single" w:sz="8" w:color="DAE9F7"/>
            </w:tcBorders>
            <w:shd w:val="clear" w:color="auto" w:fill="DAE9F7"/>
          </w:tcPr>
          <w:p>
            <w:pPr>
              <w:spacing w:after="0"/>
              <w:rPr>
                <w:sz w:val="14"/>
                <w:szCs w:val="14"/>
                <w:color w:val="auto"/>
              </w:rPr>
            </w:pPr>
          </w:p>
        </w:tc>
        <w:tc>
          <w:tcPr>
            <w:tcW w:w="440" w:type="dxa"/>
            <w:vAlign w:val="bottom"/>
            <w:tcBorders>
              <w:right w:val="single" w:sz="8" w:color="7F7F7F"/>
            </w:tcBorders>
            <w:shd w:val="clear" w:color="auto" w:fill="DAE9F7"/>
          </w:tcPr>
          <w:p>
            <w:pPr>
              <w:spacing w:after="0"/>
              <w:rPr>
                <w:sz w:val="14"/>
                <w:szCs w:val="14"/>
                <w:color w:val="auto"/>
              </w:rPr>
            </w:pPr>
          </w:p>
        </w:tc>
        <w:tc>
          <w:tcPr>
            <w:tcW w:w="780" w:type="dxa"/>
            <w:vAlign w:val="bottom"/>
            <w:tcBorders>
              <w:right w:val="single" w:sz="8" w:color="7F7F7F"/>
            </w:tcBorders>
            <w:shd w:val="clear" w:color="auto" w:fill="DAE9F7"/>
          </w:tcPr>
          <w:p>
            <w:pPr>
              <w:spacing w:after="0"/>
              <w:rPr>
                <w:sz w:val="14"/>
                <w:szCs w:val="14"/>
                <w:color w:val="auto"/>
              </w:rPr>
            </w:pPr>
          </w:p>
        </w:tc>
        <w:tc>
          <w:tcPr>
            <w:tcW w:w="480" w:type="dxa"/>
            <w:vAlign w:val="bottom"/>
            <w:tcBorders>
              <w:right w:val="single" w:sz="8" w:color="DAE9F7"/>
            </w:tcBorders>
            <w:shd w:val="clear" w:color="auto" w:fill="DAE9F7"/>
          </w:tcPr>
          <w:p>
            <w:pPr>
              <w:spacing w:after="0"/>
              <w:rPr>
                <w:sz w:val="14"/>
                <w:szCs w:val="14"/>
                <w:color w:val="auto"/>
              </w:rPr>
            </w:pPr>
          </w:p>
        </w:tc>
        <w:tc>
          <w:tcPr>
            <w:tcW w:w="80" w:type="dxa"/>
            <w:vAlign w:val="bottom"/>
            <w:shd w:val="clear" w:color="auto" w:fill="DAE9F7"/>
          </w:tcPr>
          <w:p>
            <w:pPr>
              <w:spacing w:after="0"/>
              <w:rPr>
                <w:sz w:val="14"/>
                <w:szCs w:val="14"/>
                <w:color w:val="auto"/>
              </w:rPr>
            </w:pPr>
          </w:p>
        </w:tc>
        <w:tc>
          <w:tcPr>
            <w:tcW w:w="220" w:type="dxa"/>
            <w:vAlign w:val="bottom"/>
            <w:tcBorders>
              <w:right w:val="single" w:sz="8" w:color="7F7F7F"/>
            </w:tcBorders>
            <w:shd w:val="clear" w:color="auto" w:fill="DAE9F7"/>
          </w:tcPr>
          <w:p>
            <w:pPr>
              <w:spacing w:after="0"/>
              <w:rPr>
                <w:sz w:val="14"/>
                <w:szCs w:val="14"/>
                <w:color w:val="auto"/>
              </w:rPr>
            </w:pPr>
          </w:p>
        </w:tc>
        <w:tc>
          <w:tcPr>
            <w:tcW w:w="620" w:type="dxa"/>
            <w:vAlign w:val="bottom"/>
            <w:shd w:val="clear" w:color="auto" w:fill="DAE9F7"/>
          </w:tcPr>
          <w:p>
            <w:pPr>
              <w:spacing w:after="0"/>
              <w:rPr>
                <w:sz w:val="14"/>
                <w:szCs w:val="14"/>
                <w:color w:val="auto"/>
              </w:rPr>
            </w:pPr>
          </w:p>
        </w:tc>
        <w:tc>
          <w:tcPr>
            <w:tcW w:w="200" w:type="dxa"/>
            <w:vAlign w:val="bottom"/>
            <w:tcBorders>
              <w:right w:val="single" w:sz="8" w:color="7F7F7F"/>
            </w:tcBorders>
            <w:shd w:val="clear" w:color="auto" w:fill="DAE9F7"/>
          </w:tcPr>
          <w:p>
            <w:pPr>
              <w:spacing w:after="0"/>
              <w:rPr>
                <w:sz w:val="14"/>
                <w:szCs w:val="14"/>
                <w:color w:val="auto"/>
              </w:rPr>
            </w:pPr>
          </w:p>
        </w:tc>
        <w:tc>
          <w:tcPr>
            <w:tcW w:w="660" w:type="dxa"/>
            <w:vAlign w:val="bottom"/>
            <w:tcBorders>
              <w:right w:val="single" w:sz="8" w:color="DAE9F7"/>
            </w:tcBorders>
            <w:shd w:val="clear" w:color="auto" w:fill="DAE9F7"/>
          </w:tcPr>
          <w:p>
            <w:pPr>
              <w:spacing w:after="0"/>
              <w:rPr>
                <w:sz w:val="14"/>
                <w:szCs w:val="14"/>
                <w:color w:val="auto"/>
              </w:rPr>
            </w:pPr>
          </w:p>
        </w:tc>
        <w:tc>
          <w:tcPr>
            <w:tcW w:w="140" w:type="dxa"/>
            <w:vAlign w:val="bottom"/>
            <w:tcBorders>
              <w:right w:val="single" w:sz="8" w:color="7F7F7F"/>
            </w:tcBorders>
            <w:shd w:val="clear" w:color="auto" w:fill="DAE9F7"/>
          </w:tcPr>
          <w:p>
            <w:pPr>
              <w:spacing w:after="0"/>
              <w:rPr>
                <w:sz w:val="14"/>
                <w:szCs w:val="14"/>
                <w:color w:val="auto"/>
              </w:rPr>
            </w:pPr>
          </w:p>
        </w:tc>
        <w:tc>
          <w:tcPr>
            <w:tcW w:w="820" w:type="dxa"/>
            <w:vAlign w:val="bottom"/>
            <w:tcBorders>
              <w:right w:val="single" w:sz="8" w:color="7F7F7F"/>
            </w:tcBorders>
            <w:shd w:val="clear" w:color="auto" w:fill="DAE9F7"/>
          </w:tcPr>
          <w:p>
            <w:pPr>
              <w:spacing w:after="0"/>
              <w:rPr>
                <w:sz w:val="14"/>
                <w:szCs w:val="14"/>
                <w:color w:val="auto"/>
              </w:rPr>
            </w:pPr>
          </w:p>
        </w:tc>
        <w:tc>
          <w:tcPr>
            <w:tcW w:w="900" w:type="dxa"/>
            <w:vAlign w:val="bottom"/>
            <w:tcBorders>
              <w:right w:val="single" w:sz="8" w:color="7F7F7F"/>
            </w:tcBorders>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Claimed</w:t>
            </w:r>
          </w:p>
        </w:tc>
        <w:tc>
          <w:tcPr>
            <w:tcW w:w="1000" w:type="dxa"/>
            <w:vAlign w:val="bottom"/>
            <w:tcBorders>
              <w:right w:val="single" w:sz="8" w:color="7F7F7F"/>
            </w:tcBorders>
            <w:gridSpan w:val="2"/>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Claimed</w:t>
            </w:r>
          </w:p>
        </w:tc>
        <w:tc>
          <w:tcPr>
            <w:tcW w:w="60" w:type="dxa"/>
            <w:vAlign w:val="bottom"/>
            <w:shd w:val="clear" w:color="auto" w:fill="DAE9F7"/>
          </w:tcPr>
          <w:p>
            <w:pPr>
              <w:spacing w:after="0"/>
              <w:rPr>
                <w:sz w:val="14"/>
                <w:szCs w:val="14"/>
                <w:color w:val="auto"/>
              </w:rPr>
            </w:pPr>
          </w:p>
        </w:tc>
        <w:tc>
          <w:tcPr>
            <w:tcW w:w="860" w:type="dxa"/>
            <w:vAlign w:val="bottom"/>
            <w:tcBorders>
              <w:right w:val="single" w:sz="8" w:color="7F7F7F"/>
            </w:tcBorders>
            <w:gridSpan w:val="2"/>
            <w:shd w:val="clear" w:color="auto" w:fill="DAE9F7"/>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Claimed</w:t>
            </w:r>
          </w:p>
        </w:tc>
        <w:tc>
          <w:tcPr>
            <w:tcW w:w="1000" w:type="dxa"/>
            <w:vAlign w:val="bottom"/>
            <w:tcBorders>
              <w:right w:val="single" w:sz="8" w:color="7F7F7F"/>
            </w:tcBorders>
            <w:gridSpan w:val="2"/>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940" w:type="dxa"/>
            <w:vAlign w:val="bottom"/>
            <w:tcBorders>
              <w:right w:val="single" w:sz="8" w:color="7F7F7F"/>
            </w:tcBorders>
            <w:shd w:val="clear" w:color="auto" w:fill="DAE9F7"/>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80" w:type="dxa"/>
            <w:vAlign w:val="bottom"/>
            <w:tcBorders>
              <w:left w:val="single" w:sz="8" w:color="7F7F7F"/>
              <w:bottom w:val="single" w:sz="8" w:color="7F7F7F"/>
              <w:right w:val="single" w:sz="8" w:color="7F7F7F"/>
            </w:tcBorders>
            <w:shd w:val="clear" w:color="auto" w:fill="DAE9F7"/>
          </w:tcPr>
          <w:p>
            <w:pPr>
              <w:spacing w:after="0"/>
              <w:rPr>
                <w:sz w:val="18"/>
                <w:szCs w:val="18"/>
                <w:color w:val="auto"/>
              </w:rPr>
            </w:pPr>
          </w:p>
        </w:tc>
        <w:tc>
          <w:tcPr>
            <w:tcW w:w="400" w:type="dxa"/>
            <w:vAlign w:val="bottom"/>
            <w:tcBorders>
              <w:bottom w:val="single" w:sz="8" w:color="7F7F7F"/>
              <w:right w:val="single" w:sz="8" w:color="7F7F7F"/>
            </w:tcBorders>
            <w:shd w:val="clear" w:color="auto" w:fill="DAE9F7"/>
          </w:tcPr>
          <w:p>
            <w:pPr>
              <w:spacing w:after="0"/>
              <w:rPr>
                <w:sz w:val="18"/>
                <w:szCs w:val="18"/>
                <w:color w:val="auto"/>
              </w:rPr>
            </w:pPr>
          </w:p>
        </w:tc>
        <w:tc>
          <w:tcPr>
            <w:tcW w:w="580" w:type="dxa"/>
            <w:vAlign w:val="bottom"/>
            <w:tcBorders>
              <w:bottom w:val="single" w:sz="8" w:color="7F7F7F"/>
              <w:right w:val="single" w:sz="8" w:color="DAE9F7"/>
            </w:tcBorders>
            <w:shd w:val="clear" w:color="auto" w:fill="DAE9F7"/>
          </w:tcPr>
          <w:p>
            <w:pPr>
              <w:spacing w:after="0"/>
              <w:rPr>
                <w:sz w:val="18"/>
                <w:szCs w:val="18"/>
                <w:color w:val="auto"/>
              </w:rPr>
            </w:pPr>
          </w:p>
        </w:tc>
        <w:tc>
          <w:tcPr>
            <w:tcW w:w="440" w:type="dxa"/>
            <w:vAlign w:val="bottom"/>
            <w:tcBorders>
              <w:bottom w:val="single" w:sz="8" w:color="7F7F7F"/>
              <w:right w:val="single" w:sz="8" w:color="7F7F7F"/>
            </w:tcBorders>
            <w:shd w:val="clear" w:color="auto" w:fill="DAE9F7"/>
          </w:tcPr>
          <w:p>
            <w:pPr>
              <w:spacing w:after="0"/>
              <w:rPr>
                <w:sz w:val="18"/>
                <w:szCs w:val="18"/>
                <w:color w:val="auto"/>
              </w:rPr>
            </w:pPr>
          </w:p>
        </w:tc>
        <w:tc>
          <w:tcPr>
            <w:tcW w:w="780" w:type="dxa"/>
            <w:vAlign w:val="bottom"/>
            <w:tcBorders>
              <w:bottom w:val="single" w:sz="8" w:color="7F7F7F"/>
              <w:right w:val="single" w:sz="8" w:color="7F7F7F"/>
            </w:tcBorders>
            <w:shd w:val="clear" w:color="auto" w:fill="DAE9F7"/>
          </w:tcPr>
          <w:p>
            <w:pPr>
              <w:spacing w:after="0"/>
              <w:rPr>
                <w:sz w:val="18"/>
                <w:szCs w:val="18"/>
                <w:color w:val="auto"/>
              </w:rPr>
            </w:pPr>
          </w:p>
        </w:tc>
        <w:tc>
          <w:tcPr>
            <w:tcW w:w="480" w:type="dxa"/>
            <w:vAlign w:val="bottom"/>
            <w:tcBorders>
              <w:bottom w:val="single" w:sz="8" w:color="7F7F7F"/>
              <w:right w:val="single" w:sz="8" w:color="DAE9F7"/>
            </w:tcBorders>
            <w:shd w:val="clear" w:color="auto" w:fill="DAE9F7"/>
          </w:tcPr>
          <w:p>
            <w:pPr>
              <w:spacing w:after="0"/>
              <w:rPr>
                <w:sz w:val="18"/>
                <w:szCs w:val="18"/>
                <w:color w:val="auto"/>
              </w:rPr>
            </w:pPr>
          </w:p>
        </w:tc>
        <w:tc>
          <w:tcPr>
            <w:tcW w:w="80" w:type="dxa"/>
            <w:vAlign w:val="bottom"/>
            <w:tcBorders>
              <w:bottom w:val="single" w:sz="8" w:color="7F7F7F"/>
            </w:tcBorders>
            <w:shd w:val="clear" w:color="auto" w:fill="DAE9F7"/>
          </w:tcPr>
          <w:p>
            <w:pPr>
              <w:spacing w:after="0"/>
              <w:rPr>
                <w:sz w:val="18"/>
                <w:szCs w:val="18"/>
                <w:color w:val="auto"/>
              </w:rPr>
            </w:pPr>
          </w:p>
        </w:tc>
        <w:tc>
          <w:tcPr>
            <w:tcW w:w="220" w:type="dxa"/>
            <w:vAlign w:val="bottom"/>
            <w:tcBorders>
              <w:bottom w:val="single" w:sz="8" w:color="7F7F7F"/>
              <w:right w:val="single" w:sz="8" w:color="7F7F7F"/>
            </w:tcBorders>
            <w:shd w:val="clear" w:color="auto" w:fill="DAE9F7"/>
          </w:tcPr>
          <w:p>
            <w:pPr>
              <w:spacing w:after="0"/>
              <w:rPr>
                <w:sz w:val="18"/>
                <w:szCs w:val="18"/>
                <w:color w:val="auto"/>
              </w:rPr>
            </w:pPr>
          </w:p>
        </w:tc>
        <w:tc>
          <w:tcPr>
            <w:tcW w:w="620" w:type="dxa"/>
            <w:vAlign w:val="bottom"/>
            <w:tcBorders>
              <w:bottom w:val="single" w:sz="8" w:color="7F7F7F"/>
            </w:tcBorders>
            <w:shd w:val="clear" w:color="auto" w:fill="DAE9F7"/>
          </w:tcPr>
          <w:p>
            <w:pPr>
              <w:spacing w:after="0"/>
              <w:rPr>
                <w:sz w:val="18"/>
                <w:szCs w:val="18"/>
                <w:color w:val="auto"/>
              </w:rPr>
            </w:pPr>
          </w:p>
        </w:tc>
        <w:tc>
          <w:tcPr>
            <w:tcW w:w="200" w:type="dxa"/>
            <w:vAlign w:val="bottom"/>
            <w:tcBorders>
              <w:bottom w:val="single" w:sz="8" w:color="7F7F7F"/>
              <w:right w:val="single" w:sz="8" w:color="7F7F7F"/>
            </w:tcBorders>
            <w:shd w:val="clear" w:color="auto" w:fill="DAE9F7"/>
          </w:tcPr>
          <w:p>
            <w:pPr>
              <w:spacing w:after="0"/>
              <w:rPr>
                <w:sz w:val="18"/>
                <w:szCs w:val="18"/>
                <w:color w:val="auto"/>
              </w:rPr>
            </w:pPr>
          </w:p>
        </w:tc>
        <w:tc>
          <w:tcPr>
            <w:tcW w:w="660" w:type="dxa"/>
            <w:vAlign w:val="bottom"/>
            <w:tcBorders>
              <w:bottom w:val="single" w:sz="8" w:color="7F7F7F"/>
              <w:right w:val="single" w:sz="8" w:color="DAE9F7"/>
            </w:tcBorders>
            <w:shd w:val="clear" w:color="auto" w:fill="DAE9F7"/>
          </w:tcPr>
          <w:p>
            <w:pPr>
              <w:spacing w:after="0"/>
              <w:rPr>
                <w:sz w:val="18"/>
                <w:szCs w:val="18"/>
                <w:color w:val="auto"/>
              </w:rPr>
            </w:pPr>
          </w:p>
        </w:tc>
        <w:tc>
          <w:tcPr>
            <w:tcW w:w="140" w:type="dxa"/>
            <w:vAlign w:val="bottom"/>
            <w:tcBorders>
              <w:bottom w:val="single" w:sz="8" w:color="7F7F7F"/>
              <w:right w:val="single" w:sz="8" w:color="7F7F7F"/>
            </w:tcBorders>
            <w:shd w:val="clear" w:color="auto" w:fill="DAE9F7"/>
          </w:tcPr>
          <w:p>
            <w:pPr>
              <w:spacing w:after="0"/>
              <w:rPr>
                <w:sz w:val="18"/>
                <w:szCs w:val="18"/>
                <w:color w:val="auto"/>
              </w:rPr>
            </w:pPr>
          </w:p>
        </w:tc>
        <w:tc>
          <w:tcPr>
            <w:tcW w:w="820" w:type="dxa"/>
            <w:vAlign w:val="bottom"/>
            <w:tcBorders>
              <w:bottom w:val="single" w:sz="8" w:color="7F7F7F"/>
              <w:right w:val="single" w:sz="8" w:color="7F7F7F"/>
            </w:tcBorders>
            <w:shd w:val="clear" w:color="auto" w:fill="DAE9F7"/>
          </w:tcPr>
          <w:p>
            <w:pPr>
              <w:spacing w:after="0"/>
              <w:rPr>
                <w:sz w:val="18"/>
                <w:szCs w:val="18"/>
                <w:color w:val="auto"/>
              </w:rPr>
            </w:pPr>
          </w:p>
        </w:tc>
        <w:tc>
          <w:tcPr>
            <w:tcW w:w="900" w:type="dxa"/>
            <w:vAlign w:val="bottom"/>
            <w:tcBorders>
              <w:bottom w:val="single" w:sz="8" w:color="7F7F7F"/>
              <w:right w:val="single" w:sz="8" w:color="7F7F7F"/>
            </w:tcBorders>
            <w:shd w:val="clear" w:color="auto" w:fill="DAE9F7"/>
          </w:tcPr>
          <w:p>
            <w:pPr>
              <w:spacing w:after="0"/>
              <w:rPr>
                <w:sz w:val="18"/>
                <w:szCs w:val="18"/>
                <w:color w:val="auto"/>
              </w:rPr>
            </w:pPr>
          </w:p>
        </w:tc>
        <w:tc>
          <w:tcPr>
            <w:tcW w:w="400" w:type="dxa"/>
            <w:vAlign w:val="bottom"/>
            <w:tcBorders>
              <w:bottom w:val="single" w:sz="8" w:color="7F7F7F"/>
              <w:right w:val="single" w:sz="8" w:color="DAE9F7"/>
            </w:tcBorders>
            <w:shd w:val="clear" w:color="auto" w:fill="DAE9F7"/>
          </w:tcPr>
          <w:p>
            <w:pPr>
              <w:spacing w:after="0"/>
              <w:rPr>
                <w:sz w:val="18"/>
                <w:szCs w:val="18"/>
                <w:color w:val="auto"/>
              </w:rPr>
            </w:pPr>
          </w:p>
        </w:tc>
        <w:tc>
          <w:tcPr>
            <w:tcW w:w="600" w:type="dxa"/>
            <w:vAlign w:val="bottom"/>
            <w:tcBorders>
              <w:bottom w:val="single" w:sz="8" w:color="7F7F7F"/>
              <w:right w:val="single" w:sz="8" w:color="7F7F7F"/>
            </w:tcBorders>
            <w:shd w:val="clear" w:color="auto" w:fill="DAE9F7"/>
          </w:tcPr>
          <w:p>
            <w:pPr>
              <w:spacing w:after="0"/>
              <w:rPr>
                <w:sz w:val="18"/>
                <w:szCs w:val="18"/>
                <w:color w:val="auto"/>
              </w:rPr>
            </w:pPr>
          </w:p>
        </w:tc>
        <w:tc>
          <w:tcPr>
            <w:tcW w:w="60" w:type="dxa"/>
            <w:vAlign w:val="bottom"/>
            <w:tcBorders>
              <w:bottom w:val="single" w:sz="8" w:color="7F7F7F"/>
            </w:tcBorders>
            <w:shd w:val="clear" w:color="auto" w:fill="DAE9F7"/>
          </w:tcPr>
          <w:p>
            <w:pPr>
              <w:spacing w:after="0"/>
              <w:rPr>
                <w:sz w:val="18"/>
                <w:szCs w:val="18"/>
                <w:color w:val="auto"/>
              </w:rPr>
            </w:pPr>
          </w:p>
        </w:tc>
        <w:tc>
          <w:tcPr>
            <w:tcW w:w="360" w:type="dxa"/>
            <w:vAlign w:val="bottom"/>
            <w:tcBorders>
              <w:bottom w:val="single" w:sz="8" w:color="7F7F7F"/>
              <w:right w:val="single" w:sz="8" w:color="DAE9F7"/>
            </w:tcBorders>
            <w:shd w:val="clear" w:color="auto" w:fill="DAE9F7"/>
          </w:tcPr>
          <w:p>
            <w:pPr>
              <w:spacing w:after="0"/>
              <w:rPr>
                <w:sz w:val="18"/>
                <w:szCs w:val="18"/>
                <w:color w:val="auto"/>
              </w:rPr>
            </w:pPr>
          </w:p>
        </w:tc>
        <w:tc>
          <w:tcPr>
            <w:tcW w:w="500" w:type="dxa"/>
            <w:vAlign w:val="bottom"/>
            <w:tcBorders>
              <w:bottom w:val="single" w:sz="8" w:color="7F7F7F"/>
              <w:right w:val="single" w:sz="8" w:color="7F7F7F"/>
            </w:tcBorders>
            <w:shd w:val="clear" w:color="auto" w:fill="DAE9F7"/>
          </w:tcPr>
          <w:p>
            <w:pPr>
              <w:spacing w:after="0"/>
              <w:rPr>
                <w:sz w:val="18"/>
                <w:szCs w:val="18"/>
                <w:color w:val="auto"/>
              </w:rPr>
            </w:pPr>
          </w:p>
        </w:tc>
        <w:tc>
          <w:tcPr>
            <w:tcW w:w="1000" w:type="dxa"/>
            <w:vAlign w:val="bottom"/>
            <w:tcBorders>
              <w:bottom w:val="single" w:sz="8" w:color="7F7F7F"/>
              <w:right w:val="single" w:sz="8" w:color="7F7F7F"/>
            </w:tcBorders>
            <w:gridSpan w:val="2"/>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Claimed</w:t>
            </w:r>
          </w:p>
        </w:tc>
        <w:tc>
          <w:tcPr>
            <w:tcW w:w="940" w:type="dxa"/>
            <w:vAlign w:val="bottom"/>
            <w:tcBorders>
              <w:bottom w:val="single" w:sz="8" w:color="7F7F7F"/>
              <w:right w:val="single" w:sz="8" w:color="7F7F7F"/>
            </w:tcBorders>
            <w:shd w:val="clear" w:color="auto" w:fill="DAE9F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Borders>
              <w:left w:val="single" w:sz="8" w:color="7F7F7F"/>
              <w:bottom w:val="single" w:sz="8" w:color="7F7F7F"/>
              <w:right w:val="single" w:sz="8" w:color="F2F2F2"/>
            </w:tcBorders>
            <w:shd w:val="clear" w:color="auto" w:fill="F2F2F2"/>
          </w:tcPr>
          <w:p>
            <w:pPr>
              <w:spacing w:after="0"/>
              <w:rPr>
                <w:sz w:val="18"/>
                <w:szCs w:val="18"/>
                <w:color w:val="auto"/>
              </w:rPr>
            </w:pPr>
          </w:p>
        </w:tc>
        <w:tc>
          <w:tcPr>
            <w:tcW w:w="400" w:type="dxa"/>
            <w:vAlign w:val="bottom"/>
            <w:tcBorders>
              <w:bottom w:val="single" w:sz="8" w:color="7F7F7F"/>
              <w:right w:val="single" w:sz="8" w:color="F2F2F2"/>
            </w:tcBorders>
            <w:shd w:val="clear" w:color="auto" w:fill="F2F2F2"/>
          </w:tcPr>
          <w:p>
            <w:pPr>
              <w:spacing w:after="0"/>
              <w:rPr>
                <w:sz w:val="18"/>
                <w:szCs w:val="18"/>
                <w:color w:val="auto"/>
              </w:rPr>
            </w:pPr>
          </w:p>
        </w:tc>
        <w:tc>
          <w:tcPr>
            <w:tcW w:w="580" w:type="dxa"/>
            <w:vAlign w:val="bottom"/>
            <w:tcBorders>
              <w:bottom w:val="single" w:sz="8" w:color="7F7F7F"/>
              <w:right w:val="single" w:sz="8" w:color="F2F2F2"/>
            </w:tcBorders>
            <w:shd w:val="clear" w:color="auto" w:fill="F2F2F2"/>
          </w:tcPr>
          <w:p>
            <w:pPr>
              <w:spacing w:after="0"/>
              <w:rPr>
                <w:sz w:val="18"/>
                <w:szCs w:val="18"/>
                <w:color w:val="auto"/>
              </w:rPr>
            </w:pPr>
          </w:p>
        </w:tc>
        <w:tc>
          <w:tcPr>
            <w:tcW w:w="440" w:type="dxa"/>
            <w:vAlign w:val="bottom"/>
            <w:tcBorders>
              <w:bottom w:val="single" w:sz="8" w:color="7F7F7F"/>
              <w:right w:val="single" w:sz="8" w:color="F2F2F2"/>
            </w:tcBorders>
            <w:shd w:val="clear" w:color="auto" w:fill="F2F2F2"/>
          </w:tcPr>
          <w:p>
            <w:pPr>
              <w:spacing w:after="0"/>
              <w:rPr>
                <w:sz w:val="18"/>
                <w:szCs w:val="18"/>
                <w:color w:val="auto"/>
              </w:rPr>
            </w:pPr>
          </w:p>
        </w:tc>
        <w:tc>
          <w:tcPr>
            <w:tcW w:w="780" w:type="dxa"/>
            <w:vAlign w:val="bottom"/>
            <w:tcBorders>
              <w:bottom w:val="single" w:sz="8" w:color="7F7F7F"/>
              <w:right w:val="single" w:sz="8" w:color="F2F2F2"/>
            </w:tcBorders>
            <w:shd w:val="clear" w:color="auto" w:fill="F2F2F2"/>
          </w:tcPr>
          <w:p>
            <w:pPr>
              <w:spacing w:after="0"/>
              <w:rPr>
                <w:sz w:val="18"/>
                <w:szCs w:val="18"/>
                <w:color w:val="auto"/>
              </w:rPr>
            </w:pPr>
          </w:p>
        </w:tc>
        <w:tc>
          <w:tcPr>
            <w:tcW w:w="480" w:type="dxa"/>
            <w:vAlign w:val="bottom"/>
            <w:tcBorders>
              <w:bottom w:val="single" w:sz="8" w:color="7F7F7F"/>
              <w:right w:val="single" w:sz="8" w:color="F2F2F2"/>
            </w:tcBorders>
            <w:shd w:val="clear" w:color="auto" w:fill="F2F2F2"/>
          </w:tcPr>
          <w:p>
            <w:pPr>
              <w:spacing w:after="0"/>
              <w:rPr>
                <w:sz w:val="18"/>
                <w:szCs w:val="18"/>
                <w:color w:val="auto"/>
              </w:rPr>
            </w:pPr>
          </w:p>
        </w:tc>
        <w:tc>
          <w:tcPr>
            <w:tcW w:w="80" w:type="dxa"/>
            <w:vAlign w:val="bottom"/>
            <w:tcBorders>
              <w:bottom w:val="single" w:sz="8" w:color="7F7F7F"/>
            </w:tcBorders>
            <w:shd w:val="clear" w:color="auto" w:fill="F2F2F2"/>
          </w:tcPr>
          <w:p>
            <w:pPr>
              <w:spacing w:after="0"/>
              <w:rPr>
                <w:sz w:val="18"/>
                <w:szCs w:val="18"/>
                <w:color w:val="auto"/>
              </w:rPr>
            </w:pPr>
          </w:p>
        </w:tc>
        <w:tc>
          <w:tcPr>
            <w:tcW w:w="220" w:type="dxa"/>
            <w:vAlign w:val="bottom"/>
            <w:tcBorders>
              <w:bottom w:val="single" w:sz="8" w:color="7F7F7F"/>
              <w:right w:val="single" w:sz="8" w:color="F2F2F2"/>
            </w:tcBorders>
            <w:shd w:val="clear" w:color="auto" w:fill="F2F2F2"/>
          </w:tcPr>
          <w:p>
            <w:pPr>
              <w:spacing w:after="0"/>
              <w:rPr>
                <w:sz w:val="18"/>
                <w:szCs w:val="18"/>
                <w:color w:val="auto"/>
              </w:rPr>
            </w:pPr>
          </w:p>
        </w:tc>
        <w:tc>
          <w:tcPr>
            <w:tcW w:w="620" w:type="dxa"/>
            <w:vAlign w:val="bottom"/>
            <w:tcBorders>
              <w:bottom w:val="single" w:sz="8" w:color="7F7F7F"/>
            </w:tcBorders>
            <w:shd w:val="clear" w:color="auto" w:fill="F2F2F2"/>
          </w:tcPr>
          <w:p>
            <w:pPr>
              <w:spacing w:after="0"/>
              <w:rPr>
                <w:sz w:val="18"/>
                <w:szCs w:val="18"/>
                <w:color w:val="auto"/>
              </w:rPr>
            </w:pPr>
          </w:p>
        </w:tc>
        <w:tc>
          <w:tcPr>
            <w:tcW w:w="2720" w:type="dxa"/>
            <w:vAlign w:val="bottom"/>
            <w:tcBorders>
              <w:bottom w:val="single" w:sz="8" w:color="7F7F7F"/>
              <w:right w:val="single" w:sz="8" w:color="F2F2F2"/>
            </w:tcBorders>
            <w:gridSpan w:val="5"/>
            <w:shd w:val="clear" w:color="auto" w:fill="F2F2F2"/>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9"/>
              </w:rPr>
              <w:t>Rules 457(b) and 0-11(a)(2)</w:t>
            </w:r>
          </w:p>
        </w:tc>
        <w:tc>
          <w:tcPr>
            <w:tcW w:w="400" w:type="dxa"/>
            <w:vAlign w:val="bottom"/>
            <w:tcBorders>
              <w:bottom w:val="single" w:sz="8" w:color="7F7F7F"/>
              <w:right w:val="single" w:sz="8" w:color="F2F2F2"/>
            </w:tcBorders>
            <w:shd w:val="clear" w:color="auto" w:fill="F2F2F2"/>
          </w:tcPr>
          <w:p>
            <w:pPr>
              <w:spacing w:after="0"/>
              <w:rPr>
                <w:sz w:val="18"/>
                <w:szCs w:val="18"/>
                <w:color w:val="auto"/>
              </w:rPr>
            </w:pPr>
          </w:p>
        </w:tc>
        <w:tc>
          <w:tcPr>
            <w:tcW w:w="600" w:type="dxa"/>
            <w:vAlign w:val="bottom"/>
            <w:tcBorders>
              <w:bottom w:val="single" w:sz="8" w:color="7F7F7F"/>
              <w:right w:val="single" w:sz="8" w:color="F2F2F2"/>
            </w:tcBorders>
            <w:shd w:val="clear" w:color="auto" w:fill="F2F2F2"/>
          </w:tcPr>
          <w:p>
            <w:pPr>
              <w:spacing w:after="0"/>
              <w:rPr>
                <w:sz w:val="18"/>
                <w:szCs w:val="18"/>
                <w:color w:val="auto"/>
              </w:rPr>
            </w:pPr>
          </w:p>
        </w:tc>
        <w:tc>
          <w:tcPr>
            <w:tcW w:w="60" w:type="dxa"/>
            <w:vAlign w:val="bottom"/>
            <w:tcBorders>
              <w:bottom w:val="single" w:sz="8" w:color="7F7F7F"/>
            </w:tcBorders>
            <w:shd w:val="clear" w:color="auto" w:fill="F2F2F2"/>
          </w:tcPr>
          <w:p>
            <w:pPr>
              <w:spacing w:after="0"/>
              <w:rPr>
                <w:sz w:val="18"/>
                <w:szCs w:val="18"/>
                <w:color w:val="auto"/>
              </w:rPr>
            </w:pPr>
          </w:p>
        </w:tc>
        <w:tc>
          <w:tcPr>
            <w:tcW w:w="360" w:type="dxa"/>
            <w:vAlign w:val="bottom"/>
            <w:tcBorders>
              <w:bottom w:val="single" w:sz="8" w:color="7F7F7F"/>
              <w:right w:val="single" w:sz="8" w:color="F2F2F2"/>
            </w:tcBorders>
            <w:shd w:val="clear" w:color="auto" w:fill="F2F2F2"/>
          </w:tcPr>
          <w:p>
            <w:pPr>
              <w:spacing w:after="0"/>
              <w:rPr>
                <w:sz w:val="18"/>
                <w:szCs w:val="18"/>
                <w:color w:val="auto"/>
              </w:rPr>
            </w:pPr>
          </w:p>
        </w:tc>
        <w:tc>
          <w:tcPr>
            <w:tcW w:w="500" w:type="dxa"/>
            <w:vAlign w:val="bottom"/>
            <w:tcBorders>
              <w:bottom w:val="single" w:sz="8" w:color="7F7F7F"/>
              <w:right w:val="single" w:sz="8" w:color="F2F2F2"/>
            </w:tcBorders>
            <w:shd w:val="clear" w:color="auto" w:fill="F2F2F2"/>
          </w:tcPr>
          <w:p>
            <w:pPr>
              <w:spacing w:after="0"/>
              <w:rPr>
                <w:sz w:val="18"/>
                <w:szCs w:val="18"/>
                <w:color w:val="auto"/>
              </w:rPr>
            </w:pPr>
          </w:p>
        </w:tc>
        <w:tc>
          <w:tcPr>
            <w:tcW w:w="680" w:type="dxa"/>
            <w:vAlign w:val="bottom"/>
            <w:tcBorders>
              <w:bottom w:val="single" w:sz="8" w:color="7F7F7F"/>
              <w:right w:val="single" w:sz="8" w:color="F2F2F2"/>
            </w:tcBorders>
            <w:shd w:val="clear" w:color="auto" w:fill="F2F2F2"/>
          </w:tcPr>
          <w:p>
            <w:pPr>
              <w:spacing w:after="0"/>
              <w:rPr>
                <w:sz w:val="18"/>
                <w:szCs w:val="18"/>
                <w:color w:val="auto"/>
              </w:rPr>
            </w:pPr>
          </w:p>
        </w:tc>
        <w:tc>
          <w:tcPr>
            <w:tcW w:w="320" w:type="dxa"/>
            <w:vAlign w:val="bottom"/>
            <w:tcBorders>
              <w:bottom w:val="single" w:sz="8" w:color="7F7F7F"/>
              <w:right w:val="single" w:sz="8" w:color="F2F2F2"/>
            </w:tcBorders>
            <w:shd w:val="clear" w:color="auto" w:fill="F2F2F2"/>
          </w:tcPr>
          <w:p>
            <w:pPr>
              <w:spacing w:after="0"/>
              <w:rPr>
                <w:sz w:val="18"/>
                <w:szCs w:val="18"/>
                <w:color w:val="auto"/>
              </w:rPr>
            </w:pPr>
          </w:p>
        </w:tc>
        <w:tc>
          <w:tcPr>
            <w:tcW w:w="940" w:type="dxa"/>
            <w:vAlign w:val="bottom"/>
            <w:tcBorders>
              <w:bottom w:val="single" w:sz="8" w:color="7F7F7F"/>
              <w:right w:val="single" w:sz="8" w:color="7F7F7F"/>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80" w:type="dxa"/>
            <w:vAlign w:val="bottom"/>
            <w:tcBorders>
              <w:left w:val="single" w:sz="8" w:color="7F7F7F"/>
              <w:right w:val="single" w:sz="8" w:color="7F7F7F"/>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rPr>
              <w:t>Fee Offset</w:t>
            </w:r>
          </w:p>
        </w:tc>
        <w:tc>
          <w:tcPr>
            <w:tcW w:w="400" w:type="dxa"/>
            <w:vAlign w:val="bottom"/>
            <w:tcBorders>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tcBorders>
              <w:right w:val="single" w:sz="8" w:color="7F7F7F"/>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gridSpan w:val="2"/>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Borders>
              <w:right w:val="single" w:sz="8" w:color="7F7F7F"/>
            </w:tcBorders>
          </w:tcPr>
          <w:p>
            <w:pPr>
              <w:spacing w:after="0"/>
              <w:rPr>
                <w:sz w:val="13"/>
                <w:szCs w:val="13"/>
                <w:color w:val="auto"/>
              </w:rPr>
            </w:pPr>
          </w:p>
        </w:tc>
        <w:tc>
          <w:tcPr>
            <w:tcW w:w="620" w:type="dxa"/>
            <w:vAlign w:val="bottom"/>
            <w:vMerge w:val="restart"/>
          </w:tcPr>
          <w:p>
            <w:pPr>
              <w:jc w:val="center"/>
              <w:ind w:left="103"/>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right w:val="single" w:sz="8" w:color="7F7F7F"/>
            </w:tcBorders>
          </w:tcPr>
          <w:p>
            <w:pPr>
              <w:spacing w:after="0"/>
              <w:rPr>
                <w:sz w:val="13"/>
                <w:szCs w:val="13"/>
                <w:color w:val="auto"/>
              </w:rPr>
            </w:pPr>
          </w:p>
        </w:tc>
        <w:tc>
          <w:tcPr>
            <w:tcW w:w="66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9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tcBorders>
              <w:right w:val="single" w:sz="8" w:color="7F7F7F"/>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3"/>
                <w:szCs w:val="13"/>
                <w:color w:val="auto"/>
              </w:rPr>
            </w:pPr>
          </w:p>
        </w:tc>
        <w:tc>
          <w:tcPr>
            <w:tcW w:w="860" w:type="dxa"/>
            <w:vAlign w:val="bottom"/>
            <w:tcBorders>
              <w:right w:val="single" w:sz="8" w:color="7F7F7F"/>
            </w:tcBorders>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tcBorders>
              <w:right w:val="single" w:sz="8" w:color="7F7F7F"/>
            </w:tcBorders>
          </w:tcPr>
          <w:p>
            <w:pPr>
              <w:spacing w:after="0"/>
              <w:rPr>
                <w:sz w:val="13"/>
                <w:szCs w:val="13"/>
                <w:color w:val="auto"/>
              </w:rPr>
            </w:pPr>
          </w:p>
        </w:tc>
        <w:tc>
          <w:tcPr>
            <w:tcW w:w="94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108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Claims</w:t>
            </w:r>
          </w:p>
        </w:tc>
        <w:tc>
          <w:tcPr>
            <w:tcW w:w="400" w:type="dxa"/>
            <w:vAlign w:val="bottom"/>
            <w:tcBorders>
              <w:right w:val="single" w:sz="8" w:color="7F7F7F"/>
            </w:tcBorders>
            <w:vMerge w:val="continue"/>
          </w:tcPr>
          <w:p>
            <w:pPr>
              <w:spacing w:after="0"/>
              <w:rPr>
                <w:sz w:val="11"/>
                <w:szCs w:val="11"/>
                <w:color w:val="auto"/>
              </w:rPr>
            </w:pPr>
          </w:p>
        </w:tc>
        <w:tc>
          <w:tcPr>
            <w:tcW w:w="1020" w:type="dxa"/>
            <w:vAlign w:val="bottom"/>
            <w:tcBorders>
              <w:right w:val="single" w:sz="8" w:color="7F7F7F"/>
            </w:tcBorders>
            <w:gridSpan w:val="2"/>
            <w:vMerge w:val="continue"/>
          </w:tcPr>
          <w:p>
            <w:pPr>
              <w:spacing w:after="0"/>
              <w:rPr>
                <w:sz w:val="11"/>
                <w:szCs w:val="11"/>
                <w:color w:val="auto"/>
              </w:rPr>
            </w:pPr>
          </w:p>
        </w:tc>
        <w:tc>
          <w:tcPr>
            <w:tcW w:w="780" w:type="dxa"/>
            <w:vAlign w:val="bottom"/>
            <w:tcBorders>
              <w:right w:val="single" w:sz="8" w:color="7F7F7F"/>
            </w:tcBorders>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20" w:type="dxa"/>
            <w:vAlign w:val="bottom"/>
            <w:tcBorders>
              <w:right w:val="single" w:sz="8" w:color="7F7F7F"/>
            </w:tcBorders>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Borders>
              <w:right w:val="single" w:sz="8" w:color="7F7F7F"/>
            </w:tcBorders>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vMerge w:val="continue"/>
          </w:tcPr>
          <w:p>
            <w:pPr>
              <w:spacing w:after="0"/>
              <w:rPr>
                <w:sz w:val="11"/>
                <w:szCs w:val="11"/>
                <w:color w:val="auto"/>
              </w:rPr>
            </w:pPr>
          </w:p>
        </w:tc>
        <w:tc>
          <w:tcPr>
            <w:tcW w:w="900" w:type="dxa"/>
            <w:vAlign w:val="bottom"/>
            <w:tcBorders>
              <w:right w:val="single" w:sz="8" w:color="7F7F7F"/>
            </w:tcBorders>
            <w:vMerge w:val="continue"/>
          </w:tcPr>
          <w:p>
            <w:pPr>
              <w:spacing w:after="0"/>
              <w:rPr>
                <w:sz w:val="11"/>
                <w:szCs w:val="11"/>
                <w:color w:val="auto"/>
              </w:rPr>
            </w:pPr>
          </w:p>
        </w:tc>
        <w:tc>
          <w:tcPr>
            <w:tcW w:w="1000" w:type="dxa"/>
            <w:vAlign w:val="bottom"/>
            <w:tcBorders>
              <w:right w:val="single" w:sz="8" w:color="7F7F7F"/>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right w:val="single" w:sz="8" w:color="7F7F7F"/>
            </w:tcBorders>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20" w:type="dxa"/>
            <w:vAlign w:val="bottom"/>
            <w:tcBorders>
              <w:right w:val="single" w:sz="8" w:color="7F7F7F"/>
            </w:tcBorders>
          </w:tcPr>
          <w:p>
            <w:pPr>
              <w:spacing w:after="0"/>
              <w:rPr>
                <w:sz w:val="11"/>
                <w:szCs w:val="11"/>
                <w:color w:val="auto"/>
              </w:rPr>
            </w:pPr>
          </w:p>
        </w:tc>
        <w:tc>
          <w:tcPr>
            <w:tcW w:w="940" w:type="dxa"/>
            <w:vAlign w:val="bottom"/>
            <w:tcBorders>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7F7F7F"/>
              <w:bottom w:val="single" w:sz="8" w:color="7F7F7F"/>
              <w:right w:val="single" w:sz="8" w:color="7F7F7F"/>
            </w:tcBorders>
            <w:vMerge w:val="continue"/>
          </w:tcPr>
          <w:p>
            <w:pPr>
              <w:spacing w:after="0"/>
              <w:rPr>
                <w:sz w:val="7"/>
                <w:szCs w:val="7"/>
                <w:color w:val="auto"/>
              </w:rPr>
            </w:pPr>
          </w:p>
        </w:tc>
        <w:tc>
          <w:tcPr>
            <w:tcW w:w="400" w:type="dxa"/>
            <w:vAlign w:val="bottom"/>
            <w:tcBorders>
              <w:bottom w:val="single" w:sz="8" w:color="7F7F7F"/>
              <w:right w:val="single" w:sz="8" w:color="7F7F7F"/>
            </w:tcBorders>
          </w:tcPr>
          <w:p>
            <w:pPr>
              <w:spacing w:after="0"/>
              <w:rPr>
                <w:sz w:val="7"/>
                <w:szCs w:val="7"/>
                <w:color w:val="auto"/>
              </w:rPr>
            </w:pPr>
          </w:p>
        </w:tc>
        <w:tc>
          <w:tcPr>
            <w:tcW w:w="580" w:type="dxa"/>
            <w:vAlign w:val="bottom"/>
            <w:tcBorders>
              <w:bottom w:val="single" w:sz="8" w:color="7F7F7F"/>
            </w:tcBorders>
          </w:tcPr>
          <w:p>
            <w:pPr>
              <w:spacing w:after="0"/>
              <w:rPr>
                <w:sz w:val="7"/>
                <w:szCs w:val="7"/>
                <w:color w:val="auto"/>
              </w:rPr>
            </w:pPr>
          </w:p>
        </w:tc>
        <w:tc>
          <w:tcPr>
            <w:tcW w:w="440" w:type="dxa"/>
            <w:vAlign w:val="bottom"/>
            <w:tcBorders>
              <w:bottom w:val="single" w:sz="8" w:color="7F7F7F"/>
              <w:right w:val="single" w:sz="8" w:color="7F7F7F"/>
            </w:tcBorders>
          </w:tcPr>
          <w:p>
            <w:pPr>
              <w:spacing w:after="0"/>
              <w:rPr>
                <w:sz w:val="7"/>
                <w:szCs w:val="7"/>
                <w:color w:val="auto"/>
              </w:rPr>
            </w:pPr>
          </w:p>
        </w:tc>
        <w:tc>
          <w:tcPr>
            <w:tcW w:w="780" w:type="dxa"/>
            <w:vAlign w:val="bottom"/>
            <w:tcBorders>
              <w:bottom w:val="single" w:sz="8" w:color="7F7F7F"/>
              <w:right w:val="single" w:sz="8" w:color="7F7F7F"/>
            </w:tcBorders>
          </w:tcPr>
          <w:p>
            <w:pPr>
              <w:spacing w:after="0"/>
              <w:rPr>
                <w:sz w:val="7"/>
                <w:szCs w:val="7"/>
                <w:color w:val="auto"/>
              </w:rPr>
            </w:pPr>
          </w:p>
        </w:tc>
        <w:tc>
          <w:tcPr>
            <w:tcW w:w="480" w:type="dxa"/>
            <w:vAlign w:val="bottom"/>
            <w:tcBorders>
              <w:bottom w:val="single" w:sz="8" w:color="7F7F7F"/>
            </w:tcBorders>
          </w:tcPr>
          <w:p>
            <w:pPr>
              <w:spacing w:after="0"/>
              <w:rPr>
                <w:sz w:val="7"/>
                <w:szCs w:val="7"/>
                <w:color w:val="auto"/>
              </w:rPr>
            </w:pPr>
          </w:p>
        </w:tc>
        <w:tc>
          <w:tcPr>
            <w:tcW w:w="80" w:type="dxa"/>
            <w:vAlign w:val="bottom"/>
            <w:tcBorders>
              <w:bottom w:val="single" w:sz="8" w:color="7F7F7F"/>
            </w:tcBorders>
          </w:tcPr>
          <w:p>
            <w:pPr>
              <w:spacing w:after="0"/>
              <w:rPr>
                <w:sz w:val="7"/>
                <w:szCs w:val="7"/>
                <w:color w:val="auto"/>
              </w:rPr>
            </w:pPr>
          </w:p>
        </w:tc>
        <w:tc>
          <w:tcPr>
            <w:tcW w:w="220" w:type="dxa"/>
            <w:vAlign w:val="bottom"/>
            <w:tcBorders>
              <w:bottom w:val="single" w:sz="8" w:color="7F7F7F"/>
              <w:right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c>
          <w:tcPr>
            <w:tcW w:w="200" w:type="dxa"/>
            <w:vAlign w:val="bottom"/>
            <w:tcBorders>
              <w:bottom w:val="single" w:sz="8" w:color="7F7F7F"/>
              <w:right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14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900" w:type="dxa"/>
            <w:vAlign w:val="bottom"/>
            <w:tcBorders>
              <w:bottom w:val="single" w:sz="8" w:color="7F7F7F"/>
              <w:right w:val="single" w:sz="8" w:color="7F7F7F"/>
            </w:tcBorders>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600" w:type="dxa"/>
            <w:vAlign w:val="bottom"/>
            <w:tcBorders>
              <w:bottom w:val="single" w:sz="8" w:color="7F7F7F"/>
              <w:right w:val="single" w:sz="8" w:color="7F7F7F"/>
            </w:tcBorders>
          </w:tcPr>
          <w:p>
            <w:pPr>
              <w:spacing w:after="0"/>
              <w:rPr>
                <w:sz w:val="7"/>
                <w:szCs w:val="7"/>
                <w:color w:val="auto"/>
              </w:rPr>
            </w:pPr>
          </w:p>
        </w:tc>
        <w:tc>
          <w:tcPr>
            <w:tcW w:w="60" w:type="dxa"/>
            <w:vAlign w:val="bottom"/>
            <w:tcBorders>
              <w:bottom w:val="single" w:sz="8" w:color="7F7F7F"/>
            </w:tcBorders>
          </w:tcPr>
          <w:p>
            <w:pPr>
              <w:spacing w:after="0"/>
              <w:rPr>
                <w:sz w:val="7"/>
                <w:szCs w:val="7"/>
                <w:color w:val="auto"/>
              </w:rPr>
            </w:pPr>
          </w:p>
        </w:tc>
        <w:tc>
          <w:tcPr>
            <w:tcW w:w="360" w:type="dxa"/>
            <w:vAlign w:val="bottom"/>
            <w:tcBorders>
              <w:bottom w:val="single" w:sz="8" w:color="7F7F7F"/>
            </w:tcBorders>
          </w:tcPr>
          <w:p>
            <w:pPr>
              <w:spacing w:after="0"/>
              <w:rPr>
                <w:sz w:val="7"/>
                <w:szCs w:val="7"/>
                <w:color w:val="auto"/>
              </w:rPr>
            </w:pPr>
          </w:p>
        </w:tc>
        <w:tc>
          <w:tcPr>
            <w:tcW w:w="500" w:type="dxa"/>
            <w:vAlign w:val="bottom"/>
            <w:tcBorders>
              <w:bottom w:val="single" w:sz="8" w:color="7F7F7F"/>
              <w:right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320" w:type="dxa"/>
            <w:vAlign w:val="bottom"/>
            <w:tcBorders>
              <w:bottom w:val="single" w:sz="8" w:color="7F7F7F"/>
              <w:right w:val="single" w:sz="8" w:color="7F7F7F"/>
            </w:tcBorders>
          </w:tcPr>
          <w:p>
            <w:pPr>
              <w:spacing w:after="0"/>
              <w:rPr>
                <w:sz w:val="7"/>
                <w:szCs w:val="7"/>
                <w:color w:val="auto"/>
              </w:rPr>
            </w:pPr>
          </w:p>
        </w:tc>
        <w:tc>
          <w:tcPr>
            <w:tcW w:w="94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080" w:type="dxa"/>
            <w:vAlign w:val="bottom"/>
            <w:tcBorders>
              <w:left w:val="single" w:sz="8" w:color="7F7F7F"/>
              <w:right w:val="single" w:sz="8" w:color="7F7F7F"/>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rPr>
              <w:t>Fee Offset</w:t>
            </w:r>
          </w:p>
        </w:tc>
        <w:tc>
          <w:tcPr>
            <w:tcW w:w="400" w:type="dxa"/>
            <w:vAlign w:val="bottom"/>
            <w:tcBorders>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tcBorders>
              <w:right w:val="single" w:sz="8" w:color="7F7F7F"/>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gridSpan w:val="2"/>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Borders>
              <w:right w:val="single" w:sz="8" w:color="7F7F7F"/>
            </w:tcBorders>
          </w:tcPr>
          <w:p>
            <w:pPr>
              <w:spacing w:after="0"/>
              <w:rPr>
                <w:sz w:val="13"/>
                <w:szCs w:val="13"/>
                <w:color w:val="auto"/>
              </w:rPr>
            </w:pPr>
          </w:p>
        </w:tc>
        <w:tc>
          <w:tcPr>
            <w:tcW w:w="620" w:type="dxa"/>
            <w:vAlign w:val="bottom"/>
            <w:vMerge w:val="restart"/>
          </w:tcPr>
          <w:p>
            <w:pPr>
              <w:jc w:val="center"/>
              <w:ind w:left="103"/>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right w:val="single" w:sz="8" w:color="7F7F7F"/>
            </w:tcBorders>
          </w:tcPr>
          <w:p>
            <w:pPr>
              <w:spacing w:after="0"/>
              <w:rPr>
                <w:sz w:val="13"/>
                <w:szCs w:val="13"/>
                <w:color w:val="auto"/>
              </w:rPr>
            </w:pPr>
          </w:p>
        </w:tc>
        <w:tc>
          <w:tcPr>
            <w:tcW w:w="66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9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tcBorders>
              <w:right w:val="single" w:sz="8" w:color="7F7F7F"/>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3"/>
                <w:szCs w:val="13"/>
                <w:color w:val="auto"/>
              </w:rPr>
            </w:pPr>
          </w:p>
        </w:tc>
        <w:tc>
          <w:tcPr>
            <w:tcW w:w="860" w:type="dxa"/>
            <w:vAlign w:val="bottom"/>
            <w:tcBorders>
              <w:right w:val="single" w:sz="8" w:color="7F7F7F"/>
            </w:tcBorders>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tcBorders>
              <w:right w:val="single" w:sz="8" w:color="7F7F7F"/>
            </w:tcBorders>
          </w:tcPr>
          <w:p>
            <w:pPr>
              <w:spacing w:after="0"/>
              <w:rPr>
                <w:sz w:val="13"/>
                <w:szCs w:val="13"/>
                <w:color w:val="auto"/>
              </w:rPr>
            </w:pPr>
          </w:p>
        </w:tc>
        <w:tc>
          <w:tcPr>
            <w:tcW w:w="94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108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Sources</w:t>
            </w:r>
          </w:p>
        </w:tc>
        <w:tc>
          <w:tcPr>
            <w:tcW w:w="400" w:type="dxa"/>
            <w:vAlign w:val="bottom"/>
            <w:tcBorders>
              <w:right w:val="single" w:sz="8" w:color="7F7F7F"/>
            </w:tcBorders>
            <w:vMerge w:val="continue"/>
          </w:tcPr>
          <w:p>
            <w:pPr>
              <w:spacing w:after="0"/>
              <w:rPr>
                <w:sz w:val="11"/>
                <w:szCs w:val="11"/>
                <w:color w:val="auto"/>
              </w:rPr>
            </w:pPr>
          </w:p>
        </w:tc>
        <w:tc>
          <w:tcPr>
            <w:tcW w:w="1020" w:type="dxa"/>
            <w:vAlign w:val="bottom"/>
            <w:tcBorders>
              <w:right w:val="single" w:sz="8" w:color="7F7F7F"/>
            </w:tcBorders>
            <w:gridSpan w:val="2"/>
            <w:vMerge w:val="continue"/>
          </w:tcPr>
          <w:p>
            <w:pPr>
              <w:spacing w:after="0"/>
              <w:rPr>
                <w:sz w:val="11"/>
                <w:szCs w:val="11"/>
                <w:color w:val="auto"/>
              </w:rPr>
            </w:pPr>
          </w:p>
        </w:tc>
        <w:tc>
          <w:tcPr>
            <w:tcW w:w="780" w:type="dxa"/>
            <w:vAlign w:val="bottom"/>
            <w:tcBorders>
              <w:right w:val="single" w:sz="8" w:color="7F7F7F"/>
            </w:tcBorders>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20" w:type="dxa"/>
            <w:vAlign w:val="bottom"/>
            <w:tcBorders>
              <w:right w:val="single" w:sz="8" w:color="7F7F7F"/>
            </w:tcBorders>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Borders>
              <w:right w:val="single" w:sz="8" w:color="7F7F7F"/>
            </w:tcBorders>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vMerge w:val="continue"/>
          </w:tcPr>
          <w:p>
            <w:pPr>
              <w:spacing w:after="0"/>
              <w:rPr>
                <w:sz w:val="11"/>
                <w:szCs w:val="11"/>
                <w:color w:val="auto"/>
              </w:rPr>
            </w:pPr>
          </w:p>
        </w:tc>
        <w:tc>
          <w:tcPr>
            <w:tcW w:w="900" w:type="dxa"/>
            <w:vAlign w:val="bottom"/>
            <w:tcBorders>
              <w:right w:val="single" w:sz="8" w:color="7F7F7F"/>
            </w:tcBorders>
            <w:vMerge w:val="continue"/>
          </w:tcPr>
          <w:p>
            <w:pPr>
              <w:spacing w:after="0"/>
              <w:rPr>
                <w:sz w:val="11"/>
                <w:szCs w:val="11"/>
                <w:color w:val="auto"/>
              </w:rPr>
            </w:pPr>
          </w:p>
        </w:tc>
        <w:tc>
          <w:tcPr>
            <w:tcW w:w="1000" w:type="dxa"/>
            <w:vAlign w:val="bottom"/>
            <w:tcBorders>
              <w:right w:val="single" w:sz="8" w:color="7F7F7F"/>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right w:val="single" w:sz="8" w:color="7F7F7F"/>
            </w:tcBorders>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20" w:type="dxa"/>
            <w:vAlign w:val="bottom"/>
            <w:tcBorders>
              <w:right w:val="single" w:sz="8" w:color="7F7F7F"/>
            </w:tcBorders>
          </w:tcPr>
          <w:p>
            <w:pPr>
              <w:spacing w:after="0"/>
              <w:rPr>
                <w:sz w:val="11"/>
                <w:szCs w:val="11"/>
                <w:color w:val="auto"/>
              </w:rPr>
            </w:pPr>
          </w:p>
        </w:tc>
        <w:tc>
          <w:tcPr>
            <w:tcW w:w="940" w:type="dxa"/>
            <w:vAlign w:val="bottom"/>
            <w:tcBorders>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7F7F7F"/>
              <w:bottom w:val="single" w:sz="8" w:color="7F7F7F"/>
              <w:right w:val="single" w:sz="8" w:color="7F7F7F"/>
            </w:tcBorders>
            <w:vMerge w:val="continue"/>
          </w:tcPr>
          <w:p>
            <w:pPr>
              <w:spacing w:after="0"/>
              <w:rPr>
                <w:sz w:val="7"/>
                <w:szCs w:val="7"/>
                <w:color w:val="auto"/>
              </w:rPr>
            </w:pPr>
          </w:p>
        </w:tc>
        <w:tc>
          <w:tcPr>
            <w:tcW w:w="400" w:type="dxa"/>
            <w:vAlign w:val="bottom"/>
            <w:tcBorders>
              <w:bottom w:val="single" w:sz="8" w:color="7F7F7F"/>
              <w:right w:val="single" w:sz="8" w:color="7F7F7F"/>
            </w:tcBorders>
          </w:tcPr>
          <w:p>
            <w:pPr>
              <w:spacing w:after="0"/>
              <w:rPr>
                <w:sz w:val="7"/>
                <w:szCs w:val="7"/>
                <w:color w:val="auto"/>
              </w:rPr>
            </w:pPr>
          </w:p>
        </w:tc>
        <w:tc>
          <w:tcPr>
            <w:tcW w:w="580" w:type="dxa"/>
            <w:vAlign w:val="bottom"/>
            <w:tcBorders>
              <w:bottom w:val="single" w:sz="8" w:color="7F7F7F"/>
            </w:tcBorders>
          </w:tcPr>
          <w:p>
            <w:pPr>
              <w:spacing w:after="0"/>
              <w:rPr>
                <w:sz w:val="7"/>
                <w:szCs w:val="7"/>
                <w:color w:val="auto"/>
              </w:rPr>
            </w:pPr>
          </w:p>
        </w:tc>
        <w:tc>
          <w:tcPr>
            <w:tcW w:w="440" w:type="dxa"/>
            <w:vAlign w:val="bottom"/>
            <w:tcBorders>
              <w:bottom w:val="single" w:sz="8" w:color="7F7F7F"/>
              <w:right w:val="single" w:sz="8" w:color="7F7F7F"/>
            </w:tcBorders>
          </w:tcPr>
          <w:p>
            <w:pPr>
              <w:spacing w:after="0"/>
              <w:rPr>
                <w:sz w:val="7"/>
                <w:szCs w:val="7"/>
                <w:color w:val="auto"/>
              </w:rPr>
            </w:pPr>
          </w:p>
        </w:tc>
        <w:tc>
          <w:tcPr>
            <w:tcW w:w="780" w:type="dxa"/>
            <w:vAlign w:val="bottom"/>
            <w:tcBorders>
              <w:bottom w:val="single" w:sz="8" w:color="7F7F7F"/>
              <w:right w:val="single" w:sz="8" w:color="7F7F7F"/>
            </w:tcBorders>
          </w:tcPr>
          <w:p>
            <w:pPr>
              <w:spacing w:after="0"/>
              <w:rPr>
                <w:sz w:val="7"/>
                <w:szCs w:val="7"/>
                <w:color w:val="auto"/>
              </w:rPr>
            </w:pPr>
          </w:p>
        </w:tc>
        <w:tc>
          <w:tcPr>
            <w:tcW w:w="480" w:type="dxa"/>
            <w:vAlign w:val="bottom"/>
            <w:tcBorders>
              <w:bottom w:val="single" w:sz="8" w:color="7F7F7F"/>
            </w:tcBorders>
          </w:tcPr>
          <w:p>
            <w:pPr>
              <w:spacing w:after="0"/>
              <w:rPr>
                <w:sz w:val="7"/>
                <w:szCs w:val="7"/>
                <w:color w:val="auto"/>
              </w:rPr>
            </w:pPr>
          </w:p>
        </w:tc>
        <w:tc>
          <w:tcPr>
            <w:tcW w:w="80" w:type="dxa"/>
            <w:vAlign w:val="bottom"/>
            <w:tcBorders>
              <w:bottom w:val="single" w:sz="8" w:color="7F7F7F"/>
            </w:tcBorders>
          </w:tcPr>
          <w:p>
            <w:pPr>
              <w:spacing w:after="0"/>
              <w:rPr>
                <w:sz w:val="7"/>
                <w:szCs w:val="7"/>
                <w:color w:val="auto"/>
              </w:rPr>
            </w:pPr>
          </w:p>
        </w:tc>
        <w:tc>
          <w:tcPr>
            <w:tcW w:w="220" w:type="dxa"/>
            <w:vAlign w:val="bottom"/>
            <w:tcBorders>
              <w:bottom w:val="single" w:sz="8" w:color="7F7F7F"/>
              <w:right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c>
          <w:tcPr>
            <w:tcW w:w="200" w:type="dxa"/>
            <w:vAlign w:val="bottom"/>
            <w:tcBorders>
              <w:bottom w:val="single" w:sz="8" w:color="7F7F7F"/>
              <w:right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14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900" w:type="dxa"/>
            <w:vAlign w:val="bottom"/>
            <w:tcBorders>
              <w:bottom w:val="single" w:sz="8" w:color="7F7F7F"/>
              <w:right w:val="single" w:sz="8" w:color="7F7F7F"/>
            </w:tcBorders>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600" w:type="dxa"/>
            <w:vAlign w:val="bottom"/>
            <w:tcBorders>
              <w:bottom w:val="single" w:sz="8" w:color="7F7F7F"/>
              <w:right w:val="single" w:sz="8" w:color="7F7F7F"/>
            </w:tcBorders>
          </w:tcPr>
          <w:p>
            <w:pPr>
              <w:spacing w:after="0"/>
              <w:rPr>
                <w:sz w:val="7"/>
                <w:szCs w:val="7"/>
                <w:color w:val="auto"/>
              </w:rPr>
            </w:pPr>
          </w:p>
        </w:tc>
        <w:tc>
          <w:tcPr>
            <w:tcW w:w="60" w:type="dxa"/>
            <w:vAlign w:val="bottom"/>
            <w:tcBorders>
              <w:bottom w:val="single" w:sz="8" w:color="7F7F7F"/>
            </w:tcBorders>
          </w:tcPr>
          <w:p>
            <w:pPr>
              <w:spacing w:after="0"/>
              <w:rPr>
                <w:sz w:val="7"/>
                <w:szCs w:val="7"/>
                <w:color w:val="auto"/>
              </w:rPr>
            </w:pPr>
          </w:p>
        </w:tc>
        <w:tc>
          <w:tcPr>
            <w:tcW w:w="360" w:type="dxa"/>
            <w:vAlign w:val="bottom"/>
            <w:tcBorders>
              <w:bottom w:val="single" w:sz="8" w:color="7F7F7F"/>
            </w:tcBorders>
          </w:tcPr>
          <w:p>
            <w:pPr>
              <w:spacing w:after="0"/>
              <w:rPr>
                <w:sz w:val="7"/>
                <w:szCs w:val="7"/>
                <w:color w:val="auto"/>
              </w:rPr>
            </w:pPr>
          </w:p>
        </w:tc>
        <w:tc>
          <w:tcPr>
            <w:tcW w:w="500" w:type="dxa"/>
            <w:vAlign w:val="bottom"/>
            <w:tcBorders>
              <w:bottom w:val="single" w:sz="8" w:color="7F7F7F"/>
              <w:right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320" w:type="dxa"/>
            <w:vAlign w:val="bottom"/>
            <w:tcBorders>
              <w:bottom w:val="single" w:sz="8" w:color="7F7F7F"/>
              <w:right w:val="single" w:sz="8" w:color="7F7F7F"/>
            </w:tcBorders>
          </w:tcPr>
          <w:p>
            <w:pPr>
              <w:spacing w:after="0"/>
              <w:rPr>
                <w:sz w:val="7"/>
                <w:szCs w:val="7"/>
                <w:color w:val="auto"/>
              </w:rPr>
            </w:pPr>
          </w:p>
        </w:tc>
        <w:tc>
          <w:tcPr>
            <w:tcW w:w="94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7F7F7F"/>
              <w:bottom w:val="single" w:sz="8" w:color="7F7F7F"/>
              <w:right w:val="single" w:sz="8" w:color="F2F2F2"/>
            </w:tcBorders>
            <w:shd w:val="clear" w:color="auto" w:fill="F2F2F2"/>
          </w:tcPr>
          <w:p>
            <w:pPr>
              <w:spacing w:after="0"/>
              <w:rPr>
                <w:sz w:val="18"/>
                <w:szCs w:val="18"/>
                <w:color w:val="auto"/>
              </w:rPr>
            </w:pPr>
          </w:p>
        </w:tc>
        <w:tc>
          <w:tcPr>
            <w:tcW w:w="400" w:type="dxa"/>
            <w:vAlign w:val="bottom"/>
            <w:tcBorders>
              <w:bottom w:val="single" w:sz="8" w:color="7F7F7F"/>
              <w:right w:val="single" w:sz="8" w:color="F2F2F2"/>
            </w:tcBorders>
            <w:shd w:val="clear" w:color="auto" w:fill="F2F2F2"/>
          </w:tcPr>
          <w:p>
            <w:pPr>
              <w:spacing w:after="0"/>
              <w:rPr>
                <w:sz w:val="18"/>
                <w:szCs w:val="18"/>
                <w:color w:val="auto"/>
              </w:rPr>
            </w:pPr>
          </w:p>
        </w:tc>
        <w:tc>
          <w:tcPr>
            <w:tcW w:w="580" w:type="dxa"/>
            <w:vAlign w:val="bottom"/>
            <w:tcBorders>
              <w:bottom w:val="single" w:sz="8" w:color="7F7F7F"/>
              <w:right w:val="single" w:sz="8" w:color="F2F2F2"/>
            </w:tcBorders>
            <w:shd w:val="clear" w:color="auto" w:fill="F2F2F2"/>
          </w:tcPr>
          <w:p>
            <w:pPr>
              <w:spacing w:after="0"/>
              <w:rPr>
                <w:sz w:val="18"/>
                <w:szCs w:val="18"/>
                <w:color w:val="auto"/>
              </w:rPr>
            </w:pPr>
          </w:p>
        </w:tc>
        <w:tc>
          <w:tcPr>
            <w:tcW w:w="440" w:type="dxa"/>
            <w:vAlign w:val="bottom"/>
            <w:tcBorders>
              <w:bottom w:val="single" w:sz="8" w:color="7F7F7F"/>
              <w:right w:val="single" w:sz="8" w:color="F2F2F2"/>
            </w:tcBorders>
            <w:shd w:val="clear" w:color="auto" w:fill="F2F2F2"/>
          </w:tcPr>
          <w:p>
            <w:pPr>
              <w:spacing w:after="0"/>
              <w:rPr>
                <w:sz w:val="18"/>
                <w:szCs w:val="18"/>
                <w:color w:val="auto"/>
              </w:rPr>
            </w:pPr>
          </w:p>
        </w:tc>
        <w:tc>
          <w:tcPr>
            <w:tcW w:w="780" w:type="dxa"/>
            <w:vAlign w:val="bottom"/>
            <w:tcBorders>
              <w:bottom w:val="single" w:sz="8" w:color="7F7F7F"/>
              <w:right w:val="single" w:sz="8" w:color="F2F2F2"/>
            </w:tcBorders>
            <w:shd w:val="clear" w:color="auto" w:fill="F2F2F2"/>
          </w:tcPr>
          <w:p>
            <w:pPr>
              <w:spacing w:after="0"/>
              <w:rPr>
                <w:sz w:val="18"/>
                <w:szCs w:val="18"/>
                <w:color w:val="auto"/>
              </w:rPr>
            </w:pPr>
          </w:p>
        </w:tc>
        <w:tc>
          <w:tcPr>
            <w:tcW w:w="480" w:type="dxa"/>
            <w:vAlign w:val="bottom"/>
            <w:tcBorders>
              <w:bottom w:val="single" w:sz="8" w:color="7F7F7F"/>
              <w:right w:val="single" w:sz="8" w:color="F2F2F2"/>
            </w:tcBorders>
            <w:shd w:val="clear" w:color="auto" w:fill="F2F2F2"/>
          </w:tcPr>
          <w:p>
            <w:pPr>
              <w:spacing w:after="0"/>
              <w:rPr>
                <w:sz w:val="18"/>
                <w:szCs w:val="18"/>
                <w:color w:val="auto"/>
              </w:rPr>
            </w:pPr>
          </w:p>
        </w:tc>
        <w:tc>
          <w:tcPr>
            <w:tcW w:w="80" w:type="dxa"/>
            <w:vAlign w:val="bottom"/>
            <w:tcBorders>
              <w:bottom w:val="single" w:sz="8" w:color="7F7F7F"/>
            </w:tcBorders>
            <w:shd w:val="clear" w:color="auto" w:fill="F2F2F2"/>
          </w:tcPr>
          <w:p>
            <w:pPr>
              <w:spacing w:after="0"/>
              <w:rPr>
                <w:sz w:val="18"/>
                <w:szCs w:val="18"/>
                <w:color w:val="auto"/>
              </w:rPr>
            </w:pPr>
          </w:p>
        </w:tc>
        <w:tc>
          <w:tcPr>
            <w:tcW w:w="220" w:type="dxa"/>
            <w:vAlign w:val="bottom"/>
            <w:tcBorders>
              <w:bottom w:val="single" w:sz="8" w:color="7F7F7F"/>
              <w:right w:val="single" w:sz="8" w:color="F2F2F2"/>
            </w:tcBorders>
            <w:shd w:val="clear" w:color="auto" w:fill="F2F2F2"/>
          </w:tcPr>
          <w:p>
            <w:pPr>
              <w:spacing w:after="0"/>
              <w:rPr>
                <w:sz w:val="18"/>
                <w:szCs w:val="18"/>
                <w:color w:val="auto"/>
              </w:rPr>
            </w:pPr>
          </w:p>
        </w:tc>
        <w:tc>
          <w:tcPr>
            <w:tcW w:w="620" w:type="dxa"/>
            <w:vAlign w:val="bottom"/>
            <w:tcBorders>
              <w:bottom w:val="single" w:sz="8" w:color="7F7F7F"/>
            </w:tcBorders>
            <w:shd w:val="clear" w:color="auto" w:fill="F2F2F2"/>
          </w:tcPr>
          <w:p>
            <w:pPr>
              <w:spacing w:after="0"/>
              <w:rPr>
                <w:sz w:val="18"/>
                <w:szCs w:val="18"/>
                <w:color w:val="auto"/>
              </w:rPr>
            </w:pPr>
          </w:p>
        </w:tc>
        <w:tc>
          <w:tcPr>
            <w:tcW w:w="200" w:type="dxa"/>
            <w:vAlign w:val="bottom"/>
            <w:tcBorders>
              <w:bottom w:val="single" w:sz="8" w:color="7F7F7F"/>
              <w:right w:val="single" w:sz="8" w:color="F2F2F2"/>
            </w:tcBorders>
            <w:shd w:val="clear" w:color="auto" w:fill="F2F2F2"/>
          </w:tcPr>
          <w:p>
            <w:pPr>
              <w:spacing w:after="0"/>
              <w:rPr>
                <w:sz w:val="18"/>
                <w:szCs w:val="18"/>
                <w:color w:val="auto"/>
              </w:rPr>
            </w:pPr>
          </w:p>
        </w:tc>
        <w:tc>
          <w:tcPr>
            <w:tcW w:w="1620" w:type="dxa"/>
            <w:vAlign w:val="bottom"/>
            <w:tcBorders>
              <w:bottom w:val="single" w:sz="8" w:color="7F7F7F"/>
              <w:right w:val="single" w:sz="8" w:color="F2F2F2"/>
            </w:tcBorders>
            <w:gridSpan w:val="3"/>
            <w:shd w:val="clear" w:color="auto" w:fill="F2F2F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Rule 457(p)</w:t>
            </w:r>
          </w:p>
        </w:tc>
        <w:tc>
          <w:tcPr>
            <w:tcW w:w="900" w:type="dxa"/>
            <w:vAlign w:val="bottom"/>
            <w:tcBorders>
              <w:bottom w:val="single" w:sz="8" w:color="7F7F7F"/>
              <w:right w:val="single" w:sz="8" w:color="F2F2F2"/>
            </w:tcBorders>
            <w:shd w:val="clear" w:color="auto" w:fill="F2F2F2"/>
          </w:tcPr>
          <w:p>
            <w:pPr>
              <w:spacing w:after="0"/>
              <w:rPr>
                <w:sz w:val="18"/>
                <w:szCs w:val="18"/>
                <w:color w:val="auto"/>
              </w:rPr>
            </w:pPr>
          </w:p>
        </w:tc>
        <w:tc>
          <w:tcPr>
            <w:tcW w:w="400" w:type="dxa"/>
            <w:vAlign w:val="bottom"/>
            <w:tcBorders>
              <w:bottom w:val="single" w:sz="8" w:color="7F7F7F"/>
              <w:right w:val="single" w:sz="8" w:color="F2F2F2"/>
            </w:tcBorders>
            <w:shd w:val="clear" w:color="auto" w:fill="F2F2F2"/>
          </w:tcPr>
          <w:p>
            <w:pPr>
              <w:spacing w:after="0"/>
              <w:rPr>
                <w:sz w:val="18"/>
                <w:szCs w:val="18"/>
                <w:color w:val="auto"/>
              </w:rPr>
            </w:pPr>
          </w:p>
        </w:tc>
        <w:tc>
          <w:tcPr>
            <w:tcW w:w="600" w:type="dxa"/>
            <w:vAlign w:val="bottom"/>
            <w:tcBorders>
              <w:bottom w:val="single" w:sz="8" w:color="7F7F7F"/>
              <w:right w:val="single" w:sz="8" w:color="F2F2F2"/>
            </w:tcBorders>
            <w:shd w:val="clear" w:color="auto" w:fill="F2F2F2"/>
          </w:tcPr>
          <w:p>
            <w:pPr>
              <w:spacing w:after="0"/>
              <w:rPr>
                <w:sz w:val="18"/>
                <w:szCs w:val="18"/>
                <w:color w:val="auto"/>
              </w:rPr>
            </w:pPr>
          </w:p>
        </w:tc>
        <w:tc>
          <w:tcPr>
            <w:tcW w:w="60" w:type="dxa"/>
            <w:vAlign w:val="bottom"/>
            <w:tcBorders>
              <w:bottom w:val="single" w:sz="8" w:color="7F7F7F"/>
            </w:tcBorders>
            <w:shd w:val="clear" w:color="auto" w:fill="F2F2F2"/>
          </w:tcPr>
          <w:p>
            <w:pPr>
              <w:spacing w:after="0"/>
              <w:rPr>
                <w:sz w:val="18"/>
                <w:szCs w:val="18"/>
                <w:color w:val="auto"/>
              </w:rPr>
            </w:pPr>
          </w:p>
        </w:tc>
        <w:tc>
          <w:tcPr>
            <w:tcW w:w="360" w:type="dxa"/>
            <w:vAlign w:val="bottom"/>
            <w:tcBorders>
              <w:bottom w:val="single" w:sz="8" w:color="7F7F7F"/>
              <w:right w:val="single" w:sz="8" w:color="F2F2F2"/>
            </w:tcBorders>
            <w:shd w:val="clear" w:color="auto" w:fill="F2F2F2"/>
          </w:tcPr>
          <w:p>
            <w:pPr>
              <w:spacing w:after="0"/>
              <w:rPr>
                <w:sz w:val="18"/>
                <w:szCs w:val="18"/>
                <w:color w:val="auto"/>
              </w:rPr>
            </w:pPr>
          </w:p>
        </w:tc>
        <w:tc>
          <w:tcPr>
            <w:tcW w:w="500" w:type="dxa"/>
            <w:vAlign w:val="bottom"/>
            <w:tcBorders>
              <w:bottom w:val="single" w:sz="8" w:color="7F7F7F"/>
              <w:right w:val="single" w:sz="8" w:color="F2F2F2"/>
            </w:tcBorders>
            <w:shd w:val="clear" w:color="auto" w:fill="F2F2F2"/>
          </w:tcPr>
          <w:p>
            <w:pPr>
              <w:spacing w:after="0"/>
              <w:rPr>
                <w:sz w:val="18"/>
                <w:szCs w:val="18"/>
                <w:color w:val="auto"/>
              </w:rPr>
            </w:pPr>
          </w:p>
        </w:tc>
        <w:tc>
          <w:tcPr>
            <w:tcW w:w="680" w:type="dxa"/>
            <w:vAlign w:val="bottom"/>
            <w:tcBorders>
              <w:bottom w:val="single" w:sz="8" w:color="7F7F7F"/>
              <w:right w:val="single" w:sz="8" w:color="F2F2F2"/>
            </w:tcBorders>
            <w:shd w:val="clear" w:color="auto" w:fill="F2F2F2"/>
          </w:tcPr>
          <w:p>
            <w:pPr>
              <w:spacing w:after="0"/>
              <w:rPr>
                <w:sz w:val="18"/>
                <w:szCs w:val="18"/>
                <w:color w:val="auto"/>
              </w:rPr>
            </w:pPr>
          </w:p>
        </w:tc>
        <w:tc>
          <w:tcPr>
            <w:tcW w:w="320" w:type="dxa"/>
            <w:vAlign w:val="bottom"/>
            <w:tcBorders>
              <w:bottom w:val="single" w:sz="8" w:color="7F7F7F"/>
              <w:right w:val="single" w:sz="8" w:color="F2F2F2"/>
            </w:tcBorders>
            <w:shd w:val="clear" w:color="auto" w:fill="F2F2F2"/>
          </w:tcPr>
          <w:p>
            <w:pPr>
              <w:spacing w:after="0"/>
              <w:rPr>
                <w:sz w:val="18"/>
                <w:szCs w:val="18"/>
                <w:color w:val="auto"/>
              </w:rPr>
            </w:pPr>
          </w:p>
        </w:tc>
        <w:tc>
          <w:tcPr>
            <w:tcW w:w="940" w:type="dxa"/>
            <w:vAlign w:val="bottom"/>
            <w:tcBorders>
              <w:bottom w:val="single" w:sz="8" w:color="7F7F7F"/>
              <w:right w:val="single" w:sz="8" w:color="7F7F7F"/>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80" w:type="dxa"/>
            <w:vAlign w:val="bottom"/>
            <w:tcBorders>
              <w:left w:val="single" w:sz="8" w:color="7F7F7F"/>
              <w:right w:val="single" w:sz="8" w:color="7F7F7F"/>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rPr>
              <w:t>Fee Offset</w:t>
            </w:r>
          </w:p>
        </w:tc>
        <w:tc>
          <w:tcPr>
            <w:tcW w:w="400" w:type="dxa"/>
            <w:vAlign w:val="bottom"/>
            <w:tcBorders>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tcBorders>
              <w:right w:val="single" w:sz="8" w:color="7F7F7F"/>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gridSpan w:val="2"/>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Borders>
              <w:right w:val="single" w:sz="8" w:color="7F7F7F"/>
            </w:tcBorders>
          </w:tcPr>
          <w:p>
            <w:pPr>
              <w:spacing w:after="0"/>
              <w:rPr>
                <w:sz w:val="13"/>
                <w:szCs w:val="13"/>
                <w:color w:val="auto"/>
              </w:rPr>
            </w:pPr>
          </w:p>
        </w:tc>
        <w:tc>
          <w:tcPr>
            <w:tcW w:w="620" w:type="dxa"/>
            <w:vAlign w:val="bottom"/>
            <w:vMerge w:val="restart"/>
          </w:tcPr>
          <w:p>
            <w:pPr>
              <w:jc w:val="center"/>
              <w:ind w:left="103"/>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right w:val="single" w:sz="8" w:color="7F7F7F"/>
            </w:tcBorders>
          </w:tcPr>
          <w:p>
            <w:pPr>
              <w:spacing w:after="0"/>
              <w:rPr>
                <w:sz w:val="13"/>
                <w:szCs w:val="13"/>
                <w:color w:val="auto"/>
              </w:rPr>
            </w:pPr>
          </w:p>
        </w:tc>
        <w:tc>
          <w:tcPr>
            <w:tcW w:w="66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9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tcBorders>
              <w:right w:val="single" w:sz="8" w:color="7F7F7F"/>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3"/>
                <w:szCs w:val="13"/>
                <w:color w:val="auto"/>
              </w:rPr>
            </w:pPr>
          </w:p>
        </w:tc>
        <w:tc>
          <w:tcPr>
            <w:tcW w:w="860" w:type="dxa"/>
            <w:vAlign w:val="bottom"/>
            <w:tcBorders>
              <w:right w:val="single" w:sz="8" w:color="7F7F7F"/>
            </w:tcBorders>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tcBorders>
              <w:right w:val="single" w:sz="8" w:color="7F7F7F"/>
            </w:tcBorders>
          </w:tcPr>
          <w:p>
            <w:pPr>
              <w:spacing w:after="0"/>
              <w:rPr>
                <w:sz w:val="13"/>
                <w:szCs w:val="13"/>
                <w:color w:val="auto"/>
              </w:rPr>
            </w:pPr>
          </w:p>
        </w:tc>
        <w:tc>
          <w:tcPr>
            <w:tcW w:w="94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108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Claims</w:t>
            </w:r>
          </w:p>
        </w:tc>
        <w:tc>
          <w:tcPr>
            <w:tcW w:w="400" w:type="dxa"/>
            <w:vAlign w:val="bottom"/>
            <w:tcBorders>
              <w:right w:val="single" w:sz="8" w:color="7F7F7F"/>
            </w:tcBorders>
            <w:vMerge w:val="continue"/>
          </w:tcPr>
          <w:p>
            <w:pPr>
              <w:spacing w:after="0"/>
              <w:rPr>
                <w:sz w:val="11"/>
                <w:szCs w:val="11"/>
                <w:color w:val="auto"/>
              </w:rPr>
            </w:pPr>
          </w:p>
        </w:tc>
        <w:tc>
          <w:tcPr>
            <w:tcW w:w="1020" w:type="dxa"/>
            <w:vAlign w:val="bottom"/>
            <w:tcBorders>
              <w:right w:val="single" w:sz="8" w:color="7F7F7F"/>
            </w:tcBorders>
            <w:gridSpan w:val="2"/>
            <w:vMerge w:val="continue"/>
          </w:tcPr>
          <w:p>
            <w:pPr>
              <w:spacing w:after="0"/>
              <w:rPr>
                <w:sz w:val="11"/>
                <w:szCs w:val="11"/>
                <w:color w:val="auto"/>
              </w:rPr>
            </w:pPr>
          </w:p>
        </w:tc>
        <w:tc>
          <w:tcPr>
            <w:tcW w:w="780" w:type="dxa"/>
            <w:vAlign w:val="bottom"/>
            <w:tcBorders>
              <w:right w:val="single" w:sz="8" w:color="7F7F7F"/>
            </w:tcBorders>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20" w:type="dxa"/>
            <w:vAlign w:val="bottom"/>
            <w:tcBorders>
              <w:right w:val="single" w:sz="8" w:color="7F7F7F"/>
            </w:tcBorders>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Borders>
              <w:right w:val="single" w:sz="8" w:color="7F7F7F"/>
            </w:tcBorders>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vMerge w:val="continue"/>
          </w:tcPr>
          <w:p>
            <w:pPr>
              <w:spacing w:after="0"/>
              <w:rPr>
                <w:sz w:val="11"/>
                <w:szCs w:val="11"/>
                <w:color w:val="auto"/>
              </w:rPr>
            </w:pPr>
          </w:p>
        </w:tc>
        <w:tc>
          <w:tcPr>
            <w:tcW w:w="900" w:type="dxa"/>
            <w:vAlign w:val="bottom"/>
            <w:tcBorders>
              <w:right w:val="single" w:sz="8" w:color="7F7F7F"/>
            </w:tcBorders>
            <w:vMerge w:val="continue"/>
          </w:tcPr>
          <w:p>
            <w:pPr>
              <w:spacing w:after="0"/>
              <w:rPr>
                <w:sz w:val="11"/>
                <w:szCs w:val="11"/>
                <w:color w:val="auto"/>
              </w:rPr>
            </w:pPr>
          </w:p>
        </w:tc>
        <w:tc>
          <w:tcPr>
            <w:tcW w:w="1000" w:type="dxa"/>
            <w:vAlign w:val="bottom"/>
            <w:tcBorders>
              <w:right w:val="single" w:sz="8" w:color="7F7F7F"/>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right w:val="single" w:sz="8" w:color="7F7F7F"/>
            </w:tcBorders>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20" w:type="dxa"/>
            <w:vAlign w:val="bottom"/>
            <w:tcBorders>
              <w:right w:val="single" w:sz="8" w:color="7F7F7F"/>
            </w:tcBorders>
          </w:tcPr>
          <w:p>
            <w:pPr>
              <w:spacing w:after="0"/>
              <w:rPr>
                <w:sz w:val="11"/>
                <w:szCs w:val="11"/>
                <w:color w:val="auto"/>
              </w:rPr>
            </w:pPr>
          </w:p>
        </w:tc>
        <w:tc>
          <w:tcPr>
            <w:tcW w:w="940" w:type="dxa"/>
            <w:vAlign w:val="bottom"/>
            <w:tcBorders>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7F7F7F"/>
              <w:bottom w:val="single" w:sz="8" w:color="7F7F7F"/>
              <w:right w:val="single" w:sz="8" w:color="7F7F7F"/>
            </w:tcBorders>
            <w:vMerge w:val="continue"/>
          </w:tcPr>
          <w:p>
            <w:pPr>
              <w:spacing w:after="0"/>
              <w:rPr>
                <w:sz w:val="7"/>
                <w:szCs w:val="7"/>
                <w:color w:val="auto"/>
              </w:rPr>
            </w:pPr>
          </w:p>
        </w:tc>
        <w:tc>
          <w:tcPr>
            <w:tcW w:w="400" w:type="dxa"/>
            <w:vAlign w:val="bottom"/>
            <w:tcBorders>
              <w:bottom w:val="single" w:sz="8" w:color="7F7F7F"/>
              <w:right w:val="single" w:sz="8" w:color="7F7F7F"/>
            </w:tcBorders>
          </w:tcPr>
          <w:p>
            <w:pPr>
              <w:spacing w:after="0"/>
              <w:rPr>
                <w:sz w:val="7"/>
                <w:szCs w:val="7"/>
                <w:color w:val="auto"/>
              </w:rPr>
            </w:pPr>
          </w:p>
        </w:tc>
        <w:tc>
          <w:tcPr>
            <w:tcW w:w="580" w:type="dxa"/>
            <w:vAlign w:val="bottom"/>
            <w:tcBorders>
              <w:bottom w:val="single" w:sz="8" w:color="7F7F7F"/>
            </w:tcBorders>
          </w:tcPr>
          <w:p>
            <w:pPr>
              <w:spacing w:after="0"/>
              <w:rPr>
                <w:sz w:val="7"/>
                <w:szCs w:val="7"/>
                <w:color w:val="auto"/>
              </w:rPr>
            </w:pPr>
          </w:p>
        </w:tc>
        <w:tc>
          <w:tcPr>
            <w:tcW w:w="440" w:type="dxa"/>
            <w:vAlign w:val="bottom"/>
            <w:tcBorders>
              <w:bottom w:val="single" w:sz="8" w:color="7F7F7F"/>
              <w:right w:val="single" w:sz="8" w:color="7F7F7F"/>
            </w:tcBorders>
          </w:tcPr>
          <w:p>
            <w:pPr>
              <w:spacing w:after="0"/>
              <w:rPr>
                <w:sz w:val="7"/>
                <w:szCs w:val="7"/>
                <w:color w:val="auto"/>
              </w:rPr>
            </w:pPr>
          </w:p>
        </w:tc>
        <w:tc>
          <w:tcPr>
            <w:tcW w:w="780" w:type="dxa"/>
            <w:vAlign w:val="bottom"/>
            <w:tcBorders>
              <w:bottom w:val="single" w:sz="8" w:color="7F7F7F"/>
              <w:right w:val="single" w:sz="8" w:color="7F7F7F"/>
            </w:tcBorders>
          </w:tcPr>
          <w:p>
            <w:pPr>
              <w:spacing w:after="0"/>
              <w:rPr>
                <w:sz w:val="7"/>
                <w:szCs w:val="7"/>
                <w:color w:val="auto"/>
              </w:rPr>
            </w:pPr>
          </w:p>
        </w:tc>
        <w:tc>
          <w:tcPr>
            <w:tcW w:w="480" w:type="dxa"/>
            <w:vAlign w:val="bottom"/>
            <w:tcBorders>
              <w:bottom w:val="single" w:sz="8" w:color="7F7F7F"/>
            </w:tcBorders>
          </w:tcPr>
          <w:p>
            <w:pPr>
              <w:spacing w:after="0"/>
              <w:rPr>
                <w:sz w:val="7"/>
                <w:szCs w:val="7"/>
                <w:color w:val="auto"/>
              </w:rPr>
            </w:pPr>
          </w:p>
        </w:tc>
        <w:tc>
          <w:tcPr>
            <w:tcW w:w="80" w:type="dxa"/>
            <w:vAlign w:val="bottom"/>
            <w:tcBorders>
              <w:bottom w:val="single" w:sz="8" w:color="7F7F7F"/>
            </w:tcBorders>
          </w:tcPr>
          <w:p>
            <w:pPr>
              <w:spacing w:after="0"/>
              <w:rPr>
                <w:sz w:val="7"/>
                <w:szCs w:val="7"/>
                <w:color w:val="auto"/>
              </w:rPr>
            </w:pPr>
          </w:p>
        </w:tc>
        <w:tc>
          <w:tcPr>
            <w:tcW w:w="220" w:type="dxa"/>
            <w:vAlign w:val="bottom"/>
            <w:tcBorders>
              <w:bottom w:val="single" w:sz="8" w:color="7F7F7F"/>
              <w:right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c>
          <w:tcPr>
            <w:tcW w:w="200" w:type="dxa"/>
            <w:vAlign w:val="bottom"/>
            <w:tcBorders>
              <w:bottom w:val="single" w:sz="8" w:color="7F7F7F"/>
              <w:right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14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900" w:type="dxa"/>
            <w:vAlign w:val="bottom"/>
            <w:tcBorders>
              <w:bottom w:val="single" w:sz="8" w:color="7F7F7F"/>
              <w:right w:val="single" w:sz="8" w:color="7F7F7F"/>
            </w:tcBorders>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600" w:type="dxa"/>
            <w:vAlign w:val="bottom"/>
            <w:tcBorders>
              <w:bottom w:val="single" w:sz="8" w:color="7F7F7F"/>
              <w:right w:val="single" w:sz="8" w:color="7F7F7F"/>
            </w:tcBorders>
          </w:tcPr>
          <w:p>
            <w:pPr>
              <w:spacing w:after="0"/>
              <w:rPr>
                <w:sz w:val="7"/>
                <w:szCs w:val="7"/>
                <w:color w:val="auto"/>
              </w:rPr>
            </w:pPr>
          </w:p>
        </w:tc>
        <w:tc>
          <w:tcPr>
            <w:tcW w:w="60" w:type="dxa"/>
            <w:vAlign w:val="bottom"/>
            <w:tcBorders>
              <w:bottom w:val="single" w:sz="8" w:color="7F7F7F"/>
            </w:tcBorders>
          </w:tcPr>
          <w:p>
            <w:pPr>
              <w:spacing w:after="0"/>
              <w:rPr>
                <w:sz w:val="7"/>
                <w:szCs w:val="7"/>
                <w:color w:val="auto"/>
              </w:rPr>
            </w:pPr>
          </w:p>
        </w:tc>
        <w:tc>
          <w:tcPr>
            <w:tcW w:w="360" w:type="dxa"/>
            <w:vAlign w:val="bottom"/>
            <w:tcBorders>
              <w:bottom w:val="single" w:sz="8" w:color="7F7F7F"/>
            </w:tcBorders>
          </w:tcPr>
          <w:p>
            <w:pPr>
              <w:spacing w:after="0"/>
              <w:rPr>
                <w:sz w:val="7"/>
                <w:szCs w:val="7"/>
                <w:color w:val="auto"/>
              </w:rPr>
            </w:pPr>
          </w:p>
        </w:tc>
        <w:tc>
          <w:tcPr>
            <w:tcW w:w="500" w:type="dxa"/>
            <w:vAlign w:val="bottom"/>
            <w:tcBorders>
              <w:bottom w:val="single" w:sz="8" w:color="7F7F7F"/>
              <w:right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320" w:type="dxa"/>
            <w:vAlign w:val="bottom"/>
            <w:tcBorders>
              <w:bottom w:val="single" w:sz="8" w:color="7F7F7F"/>
              <w:right w:val="single" w:sz="8" w:color="7F7F7F"/>
            </w:tcBorders>
          </w:tcPr>
          <w:p>
            <w:pPr>
              <w:spacing w:after="0"/>
              <w:rPr>
                <w:sz w:val="7"/>
                <w:szCs w:val="7"/>
                <w:color w:val="auto"/>
              </w:rPr>
            </w:pPr>
          </w:p>
        </w:tc>
        <w:tc>
          <w:tcPr>
            <w:tcW w:w="94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080" w:type="dxa"/>
            <w:vAlign w:val="bottom"/>
            <w:tcBorders>
              <w:left w:val="single" w:sz="8" w:color="7F7F7F"/>
              <w:right w:val="single" w:sz="8" w:color="7F7F7F"/>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rPr>
              <w:t>Fee Offset</w:t>
            </w:r>
          </w:p>
        </w:tc>
        <w:tc>
          <w:tcPr>
            <w:tcW w:w="400" w:type="dxa"/>
            <w:vAlign w:val="bottom"/>
            <w:tcBorders>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tcBorders>
              <w:right w:val="single" w:sz="8" w:color="7F7F7F"/>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gridSpan w:val="2"/>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Borders>
              <w:right w:val="single" w:sz="8" w:color="7F7F7F"/>
            </w:tcBorders>
          </w:tcPr>
          <w:p>
            <w:pPr>
              <w:spacing w:after="0"/>
              <w:rPr>
                <w:sz w:val="13"/>
                <w:szCs w:val="13"/>
                <w:color w:val="auto"/>
              </w:rPr>
            </w:pPr>
          </w:p>
        </w:tc>
        <w:tc>
          <w:tcPr>
            <w:tcW w:w="620" w:type="dxa"/>
            <w:vAlign w:val="bottom"/>
            <w:vMerge w:val="restart"/>
          </w:tcPr>
          <w:p>
            <w:pPr>
              <w:jc w:val="center"/>
              <w:ind w:left="103"/>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right w:val="single" w:sz="8" w:color="7F7F7F"/>
            </w:tcBorders>
          </w:tcPr>
          <w:p>
            <w:pPr>
              <w:spacing w:after="0"/>
              <w:rPr>
                <w:sz w:val="13"/>
                <w:szCs w:val="13"/>
                <w:color w:val="auto"/>
              </w:rPr>
            </w:pPr>
          </w:p>
        </w:tc>
        <w:tc>
          <w:tcPr>
            <w:tcW w:w="66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right w:val="single" w:sz="8" w:color="7F7F7F"/>
            </w:tcBorders>
          </w:tcPr>
          <w:p>
            <w:pPr>
              <w:spacing w:after="0"/>
              <w:rPr>
                <w:sz w:val="13"/>
                <w:szCs w:val="13"/>
                <w:color w:val="auto"/>
              </w:rPr>
            </w:pPr>
          </w:p>
        </w:tc>
        <w:tc>
          <w:tcPr>
            <w:tcW w:w="82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90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tcBorders>
              <w:right w:val="single" w:sz="8" w:color="7F7F7F"/>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3"/>
                <w:szCs w:val="13"/>
                <w:color w:val="auto"/>
              </w:rPr>
            </w:pPr>
          </w:p>
        </w:tc>
        <w:tc>
          <w:tcPr>
            <w:tcW w:w="860" w:type="dxa"/>
            <w:vAlign w:val="bottom"/>
            <w:tcBorders>
              <w:right w:val="single" w:sz="8" w:color="7F7F7F"/>
            </w:tcBorders>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tcBorders>
              <w:right w:val="single" w:sz="8" w:color="7F7F7F"/>
            </w:tcBorders>
          </w:tcPr>
          <w:p>
            <w:pPr>
              <w:spacing w:after="0"/>
              <w:rPr>
                <w:sz w:val="13"/>
                <w:szCs w:val="13"/>
                <w:color w:val="auto"/>
              </w:rPr>
            </w:pPr>
          </w:p>
        </w:tc>
        <w:tc>
          <w:tcPr>
            <w:tcW w:w="940" w:type="dxa"/>
            <w:vAlign w:val="bottom"/>
            <w:tcBorders>
              <w:right w:val="single" w:sz="8" w:color="7F7F7F"/>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1080" w:type="dxa"/>
            <w:vAlign w:val="bottom"/>
            <w:tcBorders>
              <w:left w:val="single" w:sz="8" w:color="7F7F7F"/>
              <w:right w:val="single" w:sz="8" w:color="7F7F7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Sources</w:t>
            </w:r>
          </w:p>
        </w:tc>
        <w:tc>
          <w:tcPr>
            <w:tcW w:w="400" w:type="dxa"/>
            <w:vAlign w:val="bottom"/>
            <w:tcBorders>
              <w:right w:val="single" w:sz="8" w:color="7F7F7F"/>
            </w:tcBorders>
            <w:vMerge w:val="continue"/>
          </w:tcPr>
          <w:p>
            <w:pPr>
              <w:spacing w:after="0"/>
              <w:rPr>
                <w:sz w:val="11"/>
                <w:szCs w:val="11"/>
                <w:color w:val="auto"/>
              </w:rPr>
            </w:pPr>
          </w:p>
        </w:tc>
        <w:tc>
          <w:tcPr>
            <w:tcW w:w="1020" w:type="dxa"/>
            <w:vAlign w:val="bottom"/>
            <w:tcBorders>
              <w:right w:val="single" w:sz="8" w:color="7F7F7F"/>
            </w:tcBorders>
            <w:gridSpan w:val="2"/>
            <w:vMerge w:val="continue"/>
          </w:tcPr>
          <w:p>
            <w:pPr>
              <w:spacing w:after="0"/>
              <w:rPr>
                <w:sz w:val="11"/>
                <w:szCs w:val="11"/>
                <w:color w:val="auto"/>
              </w:rPr>
            </w:pPr>
          </w:p>
        </w:tc>
        <w:tc>
          <w:tcPr>
            <w:tcW w:w="780" w:type="dxa"/>
            <w:vAlign w:val="bottom"/>
            <w:tcBorders>
              <w:right w:val="single" w:sz="8" w:color="7F7F7F"/>
            </w:tcBorders>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20" w:type="dxa"/>
            <w:vAlign w:val="bottom"/>
            <w:tcBorders>
              <w:right w:val="single" w:sz="8" w:color="7F7F7F"/>
            </w:tcBorders>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Borders>
              <w:right w:val="single" w:sz="8" w:color="7F7F7F"/>
            </w:tcBorders>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7F7F7F"/>
            </w:tcBorders>
          </w:tcPr>
          <w:p>
            <w:pPr>
              <w:spacing w:after="0"/>
              <w:rPr>
                <w:sz w:val="11"/>
                <w:szCs w:val="11"/>
                <w:color w:val="auto"/>
              </w:rPr>
            </w:pPr>
          </w:p>
        </w:tc>
        <w:tc>
          <w:tcPr>
            <w:tcW w:w="820" w:type="dxa"/>
            <w:vAlign w:val="bottom"/>
            <w:tcBorders>
              <w:right w:val="single" w:sz="8" w:color="7F7F7F"/>
            </w:tcBorders>
            <w:vMerge w:val="continue"/>
          </w:tcPr>
          <w:p>
            <w:pPr>
              <w:spacing w:after="0"/>
              <w:rPr>
                <w:sz w:val="11"/>
                <w:szCs w:val="11"/>
                <w:color w:val="auto"/>
              </w:rPr>
            </w:pPr>
          </w:p>
        </w:tc>
        <w:tc>
          <w:tcPr>
            <w:tcW w:w="900" w:type="dxa"/>
            <w:vAlign w:val="bottom"/>
            <w:tcBorders>
              <w:right w:val="single" w:sz="8" w:color="7F7F7F"/>
            </w:tcBorders>
            <w:vMerge w:val="continue"/>
          </w:tcPr>
          <w:p>
            <w:pPr>
              <w:spacing w:after="0"/>
              <w:rPr>
                <w:sz w:val="11"/>
                <w:szCs w:val="11"/>
                <w:color w:val="auto"/>
              </w:rPr>
            </w:pPr>
          </w:p>
        </w:tc>
        <w:tc>
          <w:tcPr>
            <w:tcW w:w="1000" w:type="dxa"/>
            <w:vAlign w:val="bottom"/>
            <w:tcBorders>
              <w:right w:val="single" w:sz="8" w:color="7F7F7F"/>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right w:val="single" w:sz="8" w:color="7F7F7F"/>
            </w:tcBorders>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20" w:type="dxa"/>
            <w:vAlign w:val="bottom"/>
            <w:tcBorders>
              <w:right w:val="single" w:sz="8" w:color="7F7F7F"/>
            </w:tcBorders>
          </w:tcPr>
          <w:p>
            <w:pPr>
              <w:spacing w:after="0"/>
              <w:rPr>
                <w:sz w:val="11"/>
                <w:szCs w:val="11"/>
                <w:color w:val="auto"/>
              </w:rPr>
            </w:pPr>
          </w:p>
        </w:tc>
        <w:tc>
          <w:tcPr>
            <w:tcW w:w="940" w:type="dxa"/>
            <w:vAlign w:val="bottom"/>
            <w:tcBorders>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7F7F7F"/>
              <w:bottom w:val="single" w:sz="8" w:color="7F7F7F"/>
              <w:right w:val="single" w:sz="8" w:color="7F7F7F"/>
            </w:tcBorders>
            <w:vMerge w:val="continue"/>
          </w:tcPr>
          <w:p>
            <w:pPr>
              <w:spacing w:after="0"/>
              <w:rPr>
                <w:sz w:val="7"/>
                <w:szCs w:val="7"/>
                <w:color w:val="auto"/>
              </w:rPr>
            </w:pPr>
          </w:p>
        </w:tc>
        <w:tc>
          <w:tcPr>
            <w:tcW w:w="400" w:type="dxa"/>
            <w:vAlign w:val="bottom"/>
            <w:tcBorders>
              <w:bottom w:val="single" w:sz="8" w:color="7F7F7F"/>
              <w:right w:val="single" w:sz="8" w:color="7F7F7F"/>
            </w:tcBorders>
          </w:tcPr>
          <w:p>
            <w:pPr>
              <w:spacing w:after="0"/>
              <w:rPr>
                <w:sz w:val="7"/>
                <w:szCs w:val="7"/>
                <w:color w:val="auto"/>
              </w:rPr>
            </w:pPr>
          </w:p>
        </w:tc>
        <w:tc>
          <w:tcPr>
            <w:tcW w:w="580" w:type="dxa"/>
            <w:vAlign w:val="bottom"/>
            <w:tcBorders>
              <w:bottom w:val="single" w:sz="8" w:color="7F7F7F"/>
            </w:tcBorders>
          </w:tcPr>
          <w:p>
            <w:pPr>
              <w:spacing w:after="0"/>
              <w:rPr>
                <w:sz w:val="7"/>
                <w:szCs w:val="7"/>
                <w:color w:val="auto"/>
              </w:rPr>
            </w:pPr>
          </w:p>
        </w:tc>
        <w:tc>
          <w:tcPr>
            <w:tcW w:w="440" w:type="dxa"/>
            <w:vAlign w:val="bottom"/>
            <w:tcBorders>
              <w:bottom w:val="single" w:sz="8" w:color="7F7F7F"/>
              <w:right w:val="single" w:sz="8" w:color="7F7F7F"/>
            </w:tcBorders>
          </w:tcPr>
          <w:p>
            <w:pPr>
              <w:spacing w:after="0"/>
              <w:rPr>
                <w:sz w:val="7"/>
                <w:szCs w:val="7"/>
                <w:color w:val="auto"/>
              </w:rPr>
            </w:pPr>
          </w:p>
        </w:tc>
        <w:tc>
          <w:tcPr>
            <w:tcW w:w="780" w:type="dxa"/>
            <w:vAlign w:val="bottom"/>
            <w:tcBorders>
              <w:bottom w:val="single" w:sz="8" w:color="7F7F7F"/>
              <w:right w:val="single" w:sz="8" w:color="7F7F7F"/>
            </w:tcBorders>
          </w:tcPr>
          <w:p>
            <w:pPr>
              <w:spacing w:after="0"/>
              <w:rPr>
                <w:sz w:val="7"/>
                <w:szCs w:val="7"/>
                <w:color w:val="auto"/>
              </w:rPr>
            </w:pPr>
          </w:p>
        </w:tc>
        <w:tc>
          <w:tcPr>
            <w:tcW w:w="480" w:type="dxa"/>
            <w:vAlign w:val="bottom"/>
            <w:tcBorders>
              <w:bottom w:val="single" w:sz="8" w:color="7F7F7F"/>
            </w:tcBorders>
          </w:tcPr>
          <w:p>
            <w:pPr>
              <w:spacing w:after="0"/>
              <w:rPr>
                <w:sz w:val="7"/>
                <w:szCs w:val="7"/>
                <w:color w:val="auto"/>
              </w:rPr>
            </w:pPr>
          </w:p>
        </w:tc>
        <w:tc>
          <w:tcPr>
            <w:tcW w:w="80" w:type="dxa"/>
            <w:vAlign w:val="bottom"/>
            <w:tcBorders>
              <w:bottom w:val="single" w:sz="8" w:color="7F7F7F"/>
            </w:tcBorders>
          </w:tcPr>
          <w:p>
            <w:pPr>
              <w:spacing w:after="0"/>
              <w:rPr>
                <w:sz w:val="7"/>
                <w:szCs w:val="7"/>
                <w:color w:val="auto"/>
              </w:rPr>
            </w:pPr>
          </w:p>
        </w:tc>
        <w:tc>
          <w:tcPr>
            <w:tcW w:w="220" w:type="dxa"/>
            <w:vAlign w:val="bottom"/>
            <w:tcBorders>
              <w:bottom w:val="single" w:sz="8" w:color="7F7F7F"/>
              <w:right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c>
          <w:tcPr>
            <w:tcW w:w="200" w:type="dxa"/>
            <w:vAlign w:val="bottom"/>
            <w:tcBorders>
              <w:bottom w:val="single" w:sz="8" w:color="7F7F7F"/>
              <w:right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140" w:type="dxa"/>
            <w:vAlign w:val="bottom"/>
            <w:tcBorders>
              <w:bottom w:val="single" w:sz="8" w:color="7F7F7F"/>
              <w:right w:val="single" w:sz="8" w:color="7F7F7F"/>
            </w:tcBorders>
          </w:tcPr>
          <w:p>
            <w:pPr>
              <w:spacing w:after="0"/>
              <w:rPr>
                <w:sz w:val="7"/>
                <w:szCs w:val="7"/>
                <w:color w:val="auto"/>
              </w:rPr>
            </w:pPr>
          </w:p>
        </w:tc>
        <w:tc>
          <w:tcPr>
            <w:tcW w:w="820" w:type="dxa"/>
            <w:vAlign w:val="bottom"/>
            <w:tcBorders>
              <w:bottom w:val="single" w:sz="8" w:color="7F7F7F"/>
              <w:right w:val="single" w:sz="8" w:color="7F7F7F"/>
            </w:tcBorders>
          </w:tcPr>
          <w:p>
            <w:pPr>
              <w:spacing w:after="0"/>
              <w:rPr>
                <w:sz w:val="7"/>
                <w:szCs w:val="7"/>
                <w:color w:val="auto"/>
              </w:rPr>
            </w:pPr>
          </w:p>
        </w:tc>
        <w:tc>
          <w:tcPr>
            <w:tcW w:w="900" w:type="dxa"/>
            <w:vAlign w:val="bottom"/>
            <w:tcBorders>
              <w:bottom w:val="single" w:sz="8" w:color="7F7F7F"/>
              <w:right w:val="single" w:sz="8" w:color="7F7F7F"/>
            </w:tcBorders>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600" w:type="dxa"/>
            <w:vAlign w:val="bottom"/>
            <w:tcBorders>
              <w:bottom w:val="single" w:sz="8" w:color="7F7F7F"/>
              <w:right w:val="single" w:sz="8" w:color="7F7F7F"/>
            </w:tcBorders>
          </w:tcPr>
          <w:p>
            <w:pPr>
              <w:spacing w:after="0"/>
              <w:rPr>
                <w:sz w:val="7"/>
                <w:szCs w:val="7"/>
                <w:color w:val="auto"/>
              </w:rPr>
            </w:pPr>
          </w:p>
        </w:tc>
        <w:tc>
          <w:tcPr>
            <w:tcW w:w="60" w:type="dxa"/>
            <w:vAlign w:val="bottom"/>
            <w:tcBorders>
              <w:bottom w:val="single" w:sz="8" w:color="7F7F7F"/>
            </w:tcBorders>
          </w:tcPr>
          <w:p>
            <w:pPr>
              <w:spacing w:after="0"/>
              <w:rPr>
                <w:sz w:val="7"/>
                <w:szCs w:val="7"/>
                <w:color w:val="auto"/>
              </w:rPr>
            </w:pPr>
          </w:p>
        </w:tc>
        <w:tc>
          <w:tcPr>
            <w:tcW w:w="360" w:type="dxa"/>
            <w:vAlign w:val="bottom"/>
            <w:tcBorders>
              <w:bottom w:val="single" w:sz="8" w:color="7F7F7F"/>
            </w:tcBorders>
          </w:tcPr>
          <w:p>
            <w:pPr>
              <w:spacing w:after="0"/>
              <w:rPr>
                <w:sz w:val="7"/>
                <w:szCs w:val="7"/>
                <w:color w:val="auto"/>
              </w:rPr>
            </w:pPr>
          </w:p>
        </w:tc>
        <w:tc>
          <w:tcPr>
            <w:tcW w:w="500" w:type="dxa"/>
            <w:vAlign w:val="bottom"/>
            <w:tcBorders>
              <w:bottom w:val="single" w:sz="8" w:color="7F7F7F"/>
              <w:right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320" w:type="dxa"/>
            <w:vAlign w:val="bottom"/>
            <w:tcBorders>
              <w:bottom w:val="single" w:sz="8" w:color="7F7F7F"/>
              <w:right w:val="single" w:sz="8" w:color="7F7F7F"/>
            </w:tcBorders>
          </w:tcPr>
          <w:p>
            <w:pPr>
              <w:spacing w:after="0"/>
              <w:rPr>
                <w:sz w:val="7"/>
                <w:szCs w:val="7"/>
                <w:color w:val="auto"/>
              </w:rPr>
            </w:pPr>
          </w:p>
        </w:tc>
        <w:tc>
          <w:tcPr>
            <w:tcW w:w="94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644"/>
        </w:trPr>
        <w:tc>
          <w:tcPr>
            <w:tcW w:w="2500" w:type="dxa"/>
            <w:vAlign w:val="bottom"/>
            <w:tcBorders>
              <w:bottom w:val="single" w:sz="8" w:color="7F7F7F"/>
            </w:tcBorders>
            <w:gridSpan w:val="4"/>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480" w:type="dxa"/>
            <w:vAlign w:val="bottom"/>
            <w:tcBorders>
              <w:bottom w:val="single" w:sz="8" w:color="7F7F7F"/>
            </w:tcBorders>
          </w:tcPr>
          <w:p>
            <w:pPr>
              <w:spacing w:after="0"/>
              <w:rPr>
                <w:sz w:val="24"/>
                <w:szCs w:val="24"/>
                <w:color w:val="auto"/>
              </w:rPr>
            </w:pPr>
          </w:p>
        </w:tc>
        <w:tc>
          <w:tcPr>
            <w:tcW w:w="8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62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66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82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400" w:type="dxa"/>
            <w:vAlign w:val="bottom"/>
            <w:tcBorders>
              <w:bottom w:val="single" w:sz="8" w:color="7F7F7F"/>
            </w:tcBorders>
          </w:tcPr>
          <w:p>
            <w:pPr>
              <w:spacing w:after="0"/>
              <w:rPr>
                <w:sz w:val="24"/>
                <w:szCs w:val="24"/>
                <w:color w:val="auto"/>
              </w:rPr>
            </w:pPr>
          </w:p>
        </w:tc>
        <w:tc>
          <w:tcPr>
            <w:tcW w:w="600" w:type="dxa"/>
            <w:vAlign w:val="bottom"/>
            <w:tcBorders>
              <w:bottom w:val="single" w:sz="8" w:color="7F7F7F"/>
            </w:tcBorders>
          </w:tcPr>
          <w:p>
            <w:pPr>
              <w:spacing w:after="0"/>
              <w:rPr>
                <w:sz w:val="24"/>
                <w:szCs w:val="24"/>
                <w:color w:val="auto"/>
              </w:rPr>
            </w:pPr>
          </w:p>
        </w:tc>
        <w:tc>
          <w:tcPr>
            <w:tcW w:w="60" w:type="dxa"/>
            <w:vAlign w:val="bottom"/>
            <w:tcBorders>
              <w:bottom w:val="single" w:sz="8" w:color="7F7F7F"/>
            </w:tcBorders>
          </w:tcPr>
          <w:p>
            <w:pPr>
              <w:spacing w:after="0"/>
              <w:rPr>
                <w:sz w:val="24"/>
                <w:szCs w:val="24"/>
                <w:color w:val="auto"/>
              </w:rPr>
            </w:pPr>
          </w:p>
        </w:tc>
        <w:tc>
          <w:tcPr>
            <w:tcW w:w="360" w:type="dxa"/>
            <w:vAlign w:val="bottom"/>
            <w:tcBorders>
              <w:bottom w:val="single" w:sz="8" w:color="7F7F7F"/>
            </w:tcBorders>
          </w:tcPr>
          <w:p>
            <w:pPr>
              <w:spacing w:after="0"/>
              <w:rPr>
                <w:sz w:val="24"/>
                <w:szCs w:val="24"/>
                <w:color w:val="auto"/>
              </w:rPr>
            </w:pPr>
          </w:p>
        </w:tc>
        <w:tc>
          <w:tcPr>
            <w:tcW w:w="500" w:type="dxa"/>
            <w:vAlign w:val="bottom"/>
            <w:tcBorders>
              <w:bottom w:val="single" w:sz="8" w:color="7F7F7F"/>
            </w:tcBorders>
          </w:tcPr>
          <w:p>
            <w:pPr>
              <w:spacing w:after="0"/>
              <w:rPr>
                <w:sz w:val="24"/>
                <w:szCs w:val="24"/>
                <w:color w:val="auto"/>
              </w:rPr>
            </w:pPr>
          </w:p>
        </w:tc>
        <w:tc>
          <w:tcPr>
            <w:tcW w:w="680" w:type="dxa"/>
            <w:vAlign w:val="bottom"/>
            <w:tcBorders>
              <w:bottom w:val="single" w:sz="8" w:color="7F7F7F"/>
            </w:tcBorders>
          </w:tcPr>
          <w:p>
            <w:pPr>
              <w:spacing w:after="0"/>
              <w:rPr>
                <w:sz w:val="24"/>
                <w:szCs w:val="24"/>
                <w:color w:val="auto"/>
              </w:rPr>
            </w:pPr>
          </w:p>
        </w:tc>
        <w:tc>
          <w:tcPr>
            <w:tcW w:w="1260" w:type="dxa"/>
            <w:vAlign w:val="bottom"/>
            <w:tcBorders>
              <w:bottom w:val="single" w:sz="8" w:color="7F7F7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00" w:type="dxa"/>
            <w:vAlign w:val="bottom"/>
            <w:tcBorders>
              <w:left w:val="single" w:sz="8" w:color="7F7F7F"/>
              <w:bottom w:val="single" w:sz="8" w:color="7F7F7F"/>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Table 3: Combined Prospectuses</w:t>
            </w:r>
          </w:p>
        </w:tc>
        <w:tc>
          <w:tcPr>
            <w:tcW w:w="780" w:type="dxa"/>
            <w:vAlign w:val="bottom"/>
            <w:tcBorders>
              <w:bottom w:val="single" w:sz="8" w:color="7F7F7F"/>
            </w:tcBorders>
          </w:tcPr>
          <w:p>
            <w:pPr>
              <w:spacing w:after="0"/>
              <w:rPr>
                <w:sz w:val="20"/>
                <w:szCs w:val="20"/>
                <w:color w:val="auto"/>
              </w:rPr>
            </w:pPr>
          </w:p>
        </w:tc>
        <w:tc>
          <w:tcPr>
            <w:tcW w:w="480" w:type="dxa"/>
            <w:vAlign w:val="bottom"/>
            <w:tcBorders>
              <w:bottom w:val="single" w:sz="8" w:color="7F7F7F"/>
            </w:tcBorders>
          </w:tcPr>
          <w:p>
            <w:pPr>
              <w:spacing w:after="0"/>
              <w:rPr>
                <w:sz w:val="20"/>
                <w:szCs w:val="20"/>
                <w:color w:val="auto"/>
              </w:rPr>
            </w:pPr>
          </w:p>
        </w:tc>
        <w:tc>
          <w:tcPr>
            <w:tcW w:w="80" w:type="dxa"/>
            <w:vAlign w:val="bottom"/>
            <w:tcBorders>
              <w:bottom w:val="single" w:sz="8" w:color="7F7F7F"/>
            </w:tcBorders>
          </w:tcPr>
          <w:p>
            <w:pPr>
              <w:spacing w:after="0"/>
              <w:rPr>
                <w:sz w:val="20"/>
                <w:szCs w:val="20"/>
                <w:color w:val="auto"/>
              </w:rPr>
            </w:pPr>
          </w:p>
        </w:tc>
        <w:tc>
          <w:tcPr>
            <w:tcW w:w="220" w:type="dxa"/>
            <w:vAlign w:val="bottom"/>
            <w:tcBorders>
              <w:bottom w:val="single" w:sz="8" w:color="7F7F7F"/>
            </w:tcBorders>
          </w:tcPr>
          <w:p>
            <w:pPr>
              <w:spacing w:after="0"/>
              <w:rPr>
                <w:sz w:val="20"/>
                <w:szCs w:val="20"/>
                <w:color w:val="auto"/>
              </w:rPr>
            </w:pPr>
          </w:p>
        </w:tc>
        <w:tc>
          <w:tcPr>
            <w:tcW w:w="620" w:type="dxa"/>
            <w:vAlign w:val="bottom"/>
            <w:tcBorders>
              <w:bottom w:val="single" w:sz="8" w:color="7F7F7F"/>
            </w:tcBorders>
          </w:tcPr>
          <w:p>
            <w:pPr>
              <w:spacing w:after="0"/>
              <w:rPr>
                <w:sz w:val="20"/>
                <w:szCs w:val="20"/>
                <w:color w:val="auto"/>
              </w:rPr>
            </w:pPr>
          </w:p>
        </w:tc>
        <w:tc>
          <w:tcPr>
            <w:tcW w:w="200" w:type="dxa"/>
            <w:vAlign w:val="bottom"/>
            <w:tcBorders>
              <w:bottom w:val="single" w:sz="8" w:color="7F7F7F"/>
            </w:tcBorders>
          </w:tcPr>
          <w:p>
            <w:pPr>
              <w:spacing w:after="0"/>
              <w:rPr>
                <w:sz w:val="20"/>
                <w:szCs w:val="20"/>
                <w:color w:val="auto"/>
              </w:rPr>
            </w:pPr>
          </w:p>
        </w:tc>
        <w:tc>
          <w:tcPr>
            <w:tcW w:w="660" w:type="dxa"/>
            <w:vAlign w:val="bottom"/>
            <w:tcBorders>
              <w:bottom w:val="single" w:sz="8" w:color="7F7F7F"/>
            </w:tcBorders>
          </w:tcPr>
          <w:p>
            <w:pPr>
              <w:spacing w:after="0"/>
              <w:rPr>
                <w:sz w:val="20"/>
                <w:szCs w:val="20"/>
                <w:color w:val="auto"/>
              </w:rPr>
            </w:pPr>
          </w:p>
        </w:tc>
        <w:tc>
          <w:tcPr>
            <w:tcW w:w="140" w:type="dxa"/>
            <w:vAlign w:val="bottom"/>
            <w:tcBorders>
              <w:bottom w:val="single" w:sz="8" w:color="7F7F7F"/>
            </w:tcBorders>
          </w:tcPr>
          <w:p>
            <w:pPr>
              <w:spacing w:after="0"/>
              <w:rPr>
                <w:sz w:val="20"/>
                <w:szCs w:val="20"/>
                <w:color w:val="auto"/>
              </w:rPr>
            </w:pPr>
          </w:p>
        </w:tc>
        <w:tc>
          <w:tcPr>
            <w:tcW w:w="820" w:type="dxa"/>
            <w:vAlign w:val="bottom"/>
            <w:tcBorders>
              <w:bottom w:val="single" w:sz="8" w:color="7F7F7F"/>
            </w:tcBorders>
          </w:tcPr>
          <w:p>
            <w:pPr>
              <w:spacing w:after="0"/>
              <w:rPr>
                <w:sz w:val="20"/>
                <w:szCs w:val="20"/>
                <w:color w:val="auto"/>
              </w:rPr>
            </w:pPr>
          </w:p>
        </w:tc>
        <w:tc>
          <w:tcPr>
            <w:tcW w:w="900" w:type="dxa"/>
            <w:vAlign w:val="bottom"/>
            <w:tcBorders>
              <w:bottom w:val="single" w:sz="8" w:color="7F7F7F"/>
            </w:tcBorders>
          </w:tcPr>
          <w:p>
            <w:pPr>
              <w:spacing w:after="0"/>
              <w:rPr>
                <w:sz w:val="20"/>
                <w:szCs w:val="20"/>
                <w:color w:val="auto"/>
              </w:rPr>
            </w:pPr>
          </w:p>
        </w:tc>
        <w:tc>
          <w:tcPr>
            <w:tcW w:w="400" w:type="dxa"/>
            <w:vAlign w:val="bottom"/>
            <w:tcBorders>
              <w:bottom w:val="single" w:sz="8" w:color="7F7F7F"/>
            </w:tcBorders>
          </w:tcPr>
          <w:p>
            <w:pPr>
              <w:spacing w:after="0"/>
              <w:rPr>
                <w:sz w:val="20"/>
                <w:szCs w:val="20"/>
                <w:color w:val="auto"/>
              </w:rPr>
            </w:pPr>
          </w:p>
        </w:tc>
        <w:tc>
          <w:tcPr>
            <w:tcW w:w="600" w:type="dxa"/>
            <w:vAlign w:val="bottom"/>
            <w:tcBorders>
              <w:bottom w:val="single" w:sz="8" w:color="7F7F7F"/>
            </w:tcBorders>
          </w:tcPr>
          <w:p>
            <w:pPr>
              <w:spacing w:after="0"/>
              <w:rPr>
                <w:sz w:val="20"/>
                <w:szCs w:val="20"/>
                <w:color w:val="auto"/>
              </w:rPr>
            </w:pPr>
          </w:p>
        </w:tc>
        <w:tc>
          <w:tcPr>
            <w:tcW w:w="60" w:type="dxa"/>
            <w:vAlign w:val="bottom"/>
            <w:tcBorders>
              <w:bottom w:val="single" w:sz="8" w:color="7F7F7F"/>
            </w:tcBorders>
          </w:tcPr>
          <w:p>
            <w:pPr>
              <w:spacing w:after="0"/>
              <w:rPr>
                <w:sz w:val="20"/>
                <w:szCs w:val="20"/>
                <w:color w:val="auto"/>
              </w:rPr>
            </w:pPr>
          </w:p>
        </w:tc>
        <w:tc>
          <w:tcPr>
            <w:tcW w:w="360" w:type="dxa"/>
            <w:vAlign w:val="bottom"/>
            <w:tcBorders>
              <w:bottom w:val="single" w:sz="8" w:color="7F7F7F"/>
              <w:right w:val="single" w:sz="8" w:color="7F7F7F"/>
            </w:tcBorders>
          </w:tcPr>
          <w:p>
            <w:pPr>
              <w:spacing w:after="0"/>
              <w:rPr>
                <w:sz w:val="20"/>
                <w:szCs w:val="20"/>
                <w:color w:val="auto"/>
              </w:rPr>
            </w:pPr>
          </w:p>
        </w:tc>
        <w:tc>
          <w:tcPr>
            <w:tcW w:w="500" w:type="dxa"/>
            <w:vAlign w:val="bottom"/>
            <w:tcBorders>
              <w:bottom w:val="single" w:sz="8" w:color="7F7F7F"/>
            </w:tcBorders>
          </w:tcPr>
          <w:p>
            <w:pPr>
              <w:spacing w:after="0"/>
              <w:rPr>
                <w:sz w:val="20"/>
                <w:szCs w:val="20"/>
                <w:color w:val="auto"/>
              </w:rPr>
            </w:pPr>
          </w:p>
        </w:tc>
        <w:tc>
          <w:tcPr>
            <w:tcW w:w="680" w:type="dxa"/>
            <w:vAlign w:val="bottom"/>
            <w:tcBorders>
              <w:bottom w:val="single" w:sz="8" w:color="7F7F7F"/>
            </w:tcBorders>
          </w:tcPr>
          <w:p>
            <w:pPr>
              <w:spacing w:after="0"/>
              <w:rPr>
                <w:sz w:val="20"/>
                <w:szCs w:val="20"/>
                <w:color w:val="auto"/>
              </w:rPr>
            </w:pPr>
          </w:p>
        </w:tc>
        <w:tc>
          <w:tcPr>
            <w:tcW w:w="1260" w:type="dxa"/>
            <w:vAlign w:val="bottom"/>
            <w:tcBorders>
              <w:bottom w:val="single" w:sz="8" w:color="7F7F7F"/>
              <w:right w:val="single" w:sz="8" w:color="7F7F7F"/>
            </w:tcBorders>
            <w:gridSpan w:val="2"/>
          </w:tcPr>
          <w:p>
            <w:pPr>
              <w:jc w:val="center"/>
              <w:spacing w:after="0" w:line="184" w:lineRule="exact"/>
              <w:rPr>
                <w:sz w:val="20"/>
                <w:szCs w:val="20"/>
                <w:color w:val="auto"/>
              </w:rPr>
            </w:pPr>
            <w:r>
              <w:rPr>
                <w:rFonts w:ascii="MS PGothic" w:cs="MS PGothic" w:eastAsia="MS PGothic" w:hAnsi="MS PGothic"/>
                <w:sz w:val="16"/>
                <w:szCs w:val="16"/>
                <w:color w:val="auto"/>
                <w:w w:val="99"/>
              </w:rPr>
              <w:t>☑</w:t>
            </w:r>
            <w:r>
              <w:rPr>
                <w:rFonts w:ascii="Times New Roman" w:cs="Times New Roman" w:eastAsia="Times New Roman" w:hAnsi="Times New Roman"/>
                <w:sz w:val="16"/>
                <w:szCs w:val="16"/>
                <w:b w:val="1"/>
                <w:bCs w:val="1"/>
                <w:color w:val="auto"/>
                <w:w w:val="99"/>
              </w:rPr>
              <w:t>Not Applicable</w:t>
            </w:r>
          </w:p>
        </w:tc>
        <w:tc>
          <w:tcPr>
            <w:tcW w:w="0" w:type="dxa"/>
            <w:vAlign w:val="bottom"/>
          </w:tcPr>
          <w:p>
            <w:pPr>
              <w:spacing w:after="0"/>
              <w:rPr>
                <w:sz w:val="1"/>
                <w:szCs w:val="1"/>
                <w:color w:val="auto"/>
              </w:rPr>
            </w:pPr>
          </w:p>
        </w:tc>
      </w:tr>
      <w:tr>
        <w:trPr>
          <w:trHeight w:val="155"/>
        </w:trPr>
        <w:tc>
          <w:tcPr>
            <w:tcW w:w="1080" w:type="dxa"/>
            <w:vAlign w:val="bottom"/>
            <w:tcBorders>
              <w:left w:val="single" w:sz="8" w:color="7F7F7F"/>
              <w:right w:val="single" w:sz="8" w:color="7F7F7F"/>
            </w:tcBorders>
            <w:shd w:val="clear" w:color="auto" w:fill="DAE9F7"/>
          </w:tcPr>
          <w:p>
            <w:pPr>
              <w:spacing w:after="0"/>
              <w:rPr>
                <w:sz w:val="13"/>
                <w:szCs w:val="13"/>
                <w:color w:val="auto"/>
              </w:rPr>
            </w:pPr>
          </w:p>
        </w:tc>
        <w:tc>
          <w:tcPr>
            <w:tcW w:w="400" w:type="dxa"/>
            <w:vAlign w:val="bottom"/>
            <w:tcBorders>
              <w:right w:val="single" w:sz="8" w:color="DAE9F7"/>
            </w:tcBorders>
            <w:shd w:val="clear" w:color="auto" w:fill="DAE9F7"/>
          </w:tcPr>
          <w:p>
            <w:pPr>
              <w:spacing w:after="0"/>
              <w:rPr>
                <w:sz w:val="13"/>
                <w:szCs w:val="13"/>
                <w:color w:val="auto"/>
              </w:rPr>
            </w:pPr>
          </w:p>
        </w:tc>
        <w:tc>
          <w:tcPr>
            <w:tcW w:w="580" w:type="dxa"/>
            <w:vAlign w:val="bottom"/>
            <w:tcBorders>
              <w:right w:val="single" w:sz="8" w:color="7F7F7F"/>
            </w:tcBorders>
            <w:shd w:val="clear" w:color="auto" w:fill="DAE9F7"/>
          </w:tcPr>
          <w:p>
            <w:pPr>
              <w:spacing w:after="0"/>
              <w:rPr>
                <w:sz w:val="13"/>
                <w:szCs w:val="13"/>
                <w:color w:val="auto"/>
              </w:rPr>
            </w:pPr>
          </w:p>
        </w:tc>
        <w:tc>
          <w:tcPr>
            <w:tcW w:w="440" w:type="dxa"/>
            <w:vAlign w:val="bottom"/>
            <w:tcBorders>
              <w:right w:val="single" w:sz="8" w:color="DAE9F7"/>
            </w:tcBorders>
            <w:shd w:val="clear" w:color="auto" w:fill="DAE9F7"/>
          </w:tcPr>
          <w:p>
            <w:pPr>
              <w:spacing w:after="0"/>
              <w:rPr>
                <w:sz w:val="13"/>
                <w:szCs w:val="13"/>
                <w:color w:val="auto"/>
              </w:rPr>
            </w:pPr>
          </w:p>
        </w:tc>
        <w:tc>
          <w:tcPr>
            <w:tcW w:w="780" w:type="dxa"/>
            <w:vAlign w:val="bottom"/>
            <w:tcBorders>
              <w:right w:val="single" w:sz="8" w:color="DAE9F7"/>
            </w:tcBorders>
            <w:shd w:val="clear" w:color="auto" w:fill="DAE9F7"/>
          </w:tcPr>
          <w:p>
            <w:pPr>
              <w:spacing w:after="0"/>
              <w:rPr>
                <w:sz w:val="13"/>
                <w:szCs w:val="13"/>
                <w:color w:val="auto"/>
              </w:rPr>
            </w:pPr>
          </w:p>
        </w:tc>
        <w:tc>
          <w:tcPr>
            <w:tcW w:w="480" w:type="dxa"/>
            <w:vAlign w:val="bottom"/>
            <w:tcBorders>
              <w:right w:val="single" w:sz="8" w:color="7F7F7F"/>
            </w:tcBorders>
            <w:shd w:val="clear" w:color="auto" w:fill="DAE9F7"/>
          </w:tcPr>
          <w:p>
            <w:pPr>
              <w:spacing w:after="0"/>
              <w:rPr>
                <w:sz w:val="13"/>
                <w:szCs w:val="13"/>
                <w:color w:val="auto"/>
              </w:rPr>
            </w:pPr>
          </w:p>
        </w:tc>
        <w:tc>
          <w:tcPr>
            <w:tcW w:w="80" w:type="dxa"/>
            <w:vAlign w:val="bottom"/>
            <w:shd w:val="clear" w:color="auto" w:fill="DAE9F7"/>
          </w:tcPr>
          <w:p>
            <w:pPr>
              <w:spacing w:after="0"/>
              <w:rPr>
                <w:sz w:val="13"/>
                <w:szCs w:val="13"/>
                <w:color w:val="auto"/>
              </w:rPr>
            </w:pPr>
          </w:p>
        </w:tc>
        <w:tc>
          <w:tcPr>
            <w:tcW w:w="1700" w:type="dxa"/>
            <w:vAlign w:val="bottom"/>
            <w:tcBorders>
              <w:right w:val="single" w:sz="8" w:color="7F7F7F"/>
            </w:tcBorders>
            <w:gridSpan w:val="4"/>
            <w:vMerge w:val="restart"/>
            <w:shd w:val="clear" w:color="auto" w:fill="DAE9F7"/>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 of Securities</w:t>
            </w:r>
          </w:p>
        </w:tc>
        <w:tc>
          <w:tcPr>
            <w:tcW w:w="2260" w:type="dxa"/>
            <w:vAlign w:val="bottom"/>
            <w:tcBorders>
              <w:right w:val="single" w:sz="8" w:color="7F7F7F"/>
            </w:tcBorders>
            <w:gridSpan w:val="4"/>
            <w:shd w:val="clear" w:color="auto" w:fill="DAE9F7"/>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Maximum Aggregate Offering</w:t>
            </w:r>
          </w:p>
        </w:tc>
        <w:tc>
          <w:tcPr>
            <w:tcW w:w="600" w:type="dxa"/>
            <w:vAlign w:val="bottom"/>
            <w:tcBorders>
              <w:right w:val="single" w:sz="8" w:color="DAE9F7"/>
            </w:tcBorders>
            <w:shd w:val="clear" w:color="auto" w:fill="DAE9F7"/>
          </w:tcPr>
          <w:p>
            <w:pPr>
              <w:spacing w:after="0"/>
              <w:rPr>
                <w:sz w:val="13"/>
                <w:szCs w:val="13"/>
                <w:color w:val="auto"/>
              </w:rPr>
            </w:pPr>
          </w:p>
        </w:tc>
        <w:tc>
          <w:tcPr>
            <w:tcW w:w="60" w:type="dxa"/>
            <w:vAlign w:val="bottom"/>
            <w:shd w:val="clear" w:color="auto" w:fill="DAE9F7"/>
          </w:tcPr>
          <w:p>
            <w:pPr>
              <w:spacing w:after="0"/>
              <w:rPr>
                <w:sz w:val="13"/>
                <w:szCs w:val="13"/>
                <w:color w:val="auto"/>
              </w:rPr>
            </w:pPr>
          </w:p>
        </w:tc>
        <w:tc>
          <w:tcPr>
            <w:tcW w:w="360" w:type="dxa"/>
            <w:vAlign w:val="bottom"/>
            <w:tcBorders>
              <w:right w:val="single" w:sz="8" w:color="7F7F7F"/>
            </w:tcBorders>
            <w:shd w:val="clear" w:color="auto" w:fill="DAE9F7"/>
          </w:tcPr>
          <w:p>
            <w:pPr>
              <w:spacing w:after="0"/>
              <w:rPr>
                <w:sz w:val="13"/>
                <w:szCs w:val="13"/>
                <w:color w:val="auto"/>
              </w:rPr>
            </w:pPr>
          </w:p>
        </w:tc>
        <w:tc>
          <w:tcPr>
            <w:tcW w:w="500" w:type="dxa"/>
            <w:vAlign w:val="bottom"/>
            <w:tcBorders>
              <w:right w:val="single" w:sz="8" w:color="DAE9F7"/>
            </w:tcBorders>
            <w:shd w:val="clear" w:color="auto" w:fill="DAE9F7"/>
          </w:tcPr>
          <w:p>
            <w:pPr>
              <w:spacing w:after="0"/>
              <w:rPr>
                <w:sz w:val="13"/>
                <w:szCs w:val="13"/>
                <w:color w:val="auto"/>
              </w:rPr>
            </w:pPr>
          </w:p>
        </w:tc>
        <w:tc>
          <w:tcPr>
            <w:tcW w:w="680" w:type="dxa"/>
            <w:vAlign w:val="bottom"/>
            <w:tcBorders>
              <w:right w:val="single" w:sz="8" w:color="7F7F7F"/>
            </w:tcBorders>
            <w:shd w:val="clear" w:color="auto" w:fill="DAE9F7"/>
          </w:tcPr>
          <w:p>
            <w:pPr>
              <w:spacing w:after="0"/>
              <w:rPr>
                <w:sz w:val="13"/>
                <w:szCs w:val="13"/>
                <w:color w:val="auto"/>
              </w:rPr>
            </w:pPr>
          </w:p>
        </w:tc>
        <w:tc>
          <w:tcPr>
            <w:tcW w:w="1260" w:type="dxa"/>
            <w:vAlign w:val="bottom"/>
            <w:tcBorders>
              <w:right w:val="single" w:sz="8" w:color="7F7F7F"/>
            </w:tcBorders>
            <w:gridSpan w:val="2"/>
            <w:vMerge w:val="restart"/>
            <w:shd w:val="clear" w:color="auto" w:fill="DAE9F7"/>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 Effective</w:t>
            </w:r>
          </w:p>
        </w:tc>
        <w:tc>
          <w:tcPr>
            <w:tcW w:w="0" w:type="dxa"/>
            <w:vAlign w:val="bottom"/>
          </w:tcPr>
          <w:p>
            <w:pPr>
              <w:spacing w:after="0"/>
              <w:rPr>
                <w:sz w:val="1"/>
                <w:szCs w:val="1"/>
                <w:color w:val="auto"/>
              </w:rPr>
            </w:pPr>
          </w:p>
        </w:tc>
      </w:tr>
      <w:tr>
        <w:trPr>
          <w:trHeight w:val="81"/>
        </w:trPr>
        <w:tc>
          <w:tcPr>
            <w:tcW w:w="1080" w:type="dxa"/>
            <w:vAlign w:val="bottom"/>
            <w:tcBorders>
              <w:left w:val="single" w:sz="8" w:color="7F7F7F"/>
              <w:right w:val="single" w:sz="8" w:color="7F7F7F"/>
            </w:tcBorders>
            <w:shd w:val="clear" w:color="auto" w:fill="DAE9F7"/>
          </w:tcPr>
          <w:p>
            <w:pPr>
              <w:spacing w:after="0"/>
              <w:rPr>
                <w:sz w:val="7"/>
                <w:szCs w:val="7"/>
                <w:color w:val="auto"/>
              </w:rPr>
            </w:pPr>
          </w:p>
        </w:tc>
        <w:tc>
          <w:tcPr>
            <w:tcW w:w="980" w:type="dxa"/>
            <w:vAlign w:val="bottom"/>
            <w:tcBorders>
              <w:right w:val="single" w:sz="8" w:color="7F7F7F"/>
            </w:tcBorders>
            <w:gridSpan w:val="2"/>
            <w:vMerge w:val="restart"/>
            <w:shd w:val="clear" w:color="auto" w:fill="DAE9F7"/>
          </w:tcPr>
          <w:p>
            <w:pPr>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Security Type</w:t>
            </w:r>
          </w:p>
        </w:tc>
        <w:tc>
          <w:tcPr>
            <w:tcW w:w="1700" w:type="dxa"/>
            <w:vAlign w:val="bottom"/>
            <w:tcBorders>
              <w:right w:val="single" w:sz="8" w:color="7F7F7F"/>
            </w:tcBorders>
            <w:gridSpan w:val="3"/>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Security Class Title</w:t>
            </w:r>
          </w:p>
        </w:tc>
        <w:tc>
          <w:tcPr>
            <w:tcW w:w="80" w:type="dxa"/>
            <w:vAlign w:val="bottom"/>
            <w:shd w:val="clear" w:color="auto" w:fill="DAE9F7"/>
          </w:tcPr>
          <w:p>
            <w:pPr>
              <w:spacing w:after="0"/>
              <w:rPr>
                <w:sz w:val="7"/>
                <w:szCs w:val="7"/>
                <w:color w:val="auto"/>
              </w:rPr>
            </w:pPr>
          </w:p>
        </w:tc>
        <w:tc>
          <w:tcPr>
            <w:tcW w:w="1700" w:type="dxa"/>
            <w:vAlign w:val="bottom"/>
            <w:tcBorders>
              <w:right w:val="single" w:sz="8" w:color="7F7F7F"/>
            </w:tcBorders>
            <w:gridSpan w:val="4"/>
            <w:vMerge w:val="continue"/>
            <w:shd w:val="clear" w:color="auto" w:fill="DAE9F7"/>
          </w:tcPr>
          <w:p>
            <w:pPr>
              <w:spacing w:after="0"/>
              <w:rPr>
                <w:sz w:val="7"/>
                <w:szCs w:val="7"/>
                <w:color w:val="auto"/>
              </w:rPr>
            </w:pPr>
          </w:p>
        </w:tc>
        <w:tc>
          <w:tcPr>
            <w:tcW w:w="140" w:type="dxa"/>
            <w:vAlign w:val="bottom"/>
            <w:tcBorders>
              <w:right w:val="single" w:sz="8" w:color="DAE9F7"/>
            </w:tcBorders>
            <w:shd w:val="clear" w:color="auto" w:fill="DAE9F7"/>
          </w:tcPr>
          <w:p>
            <w:pPr>
              <w:spacing w:after="0"/>
              <w:rPr>
                <w:sz w:val="7"/>
                <w:szCs w:val="7"/>
                <w:color w:val="auto"/>
              </w:rPr>
            </w:pPr>
          </w:p>
        </w:tc>
        <w:tc>
          <w:tcPr>
            <w:tcW w:w="2120" w:type="dxa"/>
            <w:vAlign w:val="bottom"/>
            <w:tcBorders>
              <w:right w:val="single" w:sz="8" w:color="7F7F7F"/>
            </w:tcBorders>
            <w:gridSpan w:val="3"/>
            <w:vMerge w:val="restart"/>
            <w:shd w:val="clear" w:color="auto" w:fill="DAE9F7"/>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Price of Securities Previously</w:t>
            </w:r>
          </w:p>
        </w:tc>
        <w:tc>
          <w:tcPr>
            <w:tcW w:w="1020" w:type="dxa"/>
            <w:vAlign w:val="bottom"/>
            <w:tcBorders>
              <w:right w:val="single" w:sz="8" w:color="7F7F7F"/>
            </w:tcBorders>
            <w:gridSpan w:val="3"/>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Form Type</w:t>
            </w:r>
          </w:p>
        </w:tc>
        <w:tc>
          <w:tcPr>
            <w:tcW w:w="1180" w:type="dxa"/>
            <w:vAlign w:val="bottom"/>
            <w:tcBorders>
              <w:right w:val="single" w:sz="8" w:color="7F7F7F"/>
            </w:tcBorders>
            <w:gridSpan w:val="2"/>
            <w:vMerge w:val="restart"/>
            <w:shd w:val="clear" w:color="auto" w:fill="DAE9F7"/>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File Number</w:t>
            </w:r>
          </w:p>
        </w:tc>
        <w:tc>
          <w:tcPr>
            <w:tcW w:w="1260" w:type="dxa"/>
            <w:vAlign w:val="bottom"/>
            <w:tcBorders>
              <w:right w:val="single" w:sz="8" w:color="7F7F7F"/>
            </w:tcBorders>
            <w:gridSpan w:val="2"/>
            <w:vMerge w:val="continue"/>
            <w:shd w:val="clear" w:color="auto" w:fill="DAE9F7"/>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7F7F7F"/>
              <w:right w:val="single" w:sz="8" w:color="7F7F7F"/>
            </w:tcBorders>
            <w:shd w:val="clear" w:color="auto" w:fill="DAE9F7"/>
          </w:tcPr>
          <w:p>
            <w:pPr>
              <w:spacing w:after="0"/>
              <w:rPr>
                <w:sz w:val="7"/>
                <w:szCs w:val="7"/>
                <w:color w:val="auto"/>
              </w:rPr>
            </w:pPr>
          </w:p>
        </w:tc>
        <w:tc>
          <w:tcPr>
            <w:tcW w:w="980" w:type="dxa"/>
            <w:vAlign w:val="bottom"/>
            <w:tcBorders>
              <w:right w:val="single" w:sz="8" w:color="7F7F7F"/>
            </w:tcBorders>
            <w:gridSpan w:val="2"/>
            <w:vMerge w:val="continue"/>
            <w:shd w:val="clear" w:color="auto" w:fill="DAE9F7"/>
          </w:tcPr>
          <w:p>
            <w:pPr>
              <w:spacing w:after="0"/>
              <w:rPr>
                <w:sz w:val="7"/>
                <w:szCs w:val="7"/>
                <w:color w:val="auto"/>
              </w:rPr>
            </w:pPr>
          </w:p>
        </w:tc>
        <w:tc>
          <w:tcPr>
            <w:tcW w:w="1700" w:type="dxa"/>
            <w:vAlign w:val="bottom"/>
            <w:tcBorders>
              <w:right w:val="single" w:sz="8" w:color="7F7F7F"/>
            </w:tcBorders>
            <w:gridSpan w:val="3"/>
            <w:vMerge w:val="continue"/>
            <w:shd w:val="clear" w:color="auto" w:fill="DAE9F7"/>
          </w:tcPr>
          <w:p>
            <w:pPr>
              <w:spacing w:after="0"/>
              <w:rPr>
                <w:sz w:val="7"/>
                <w:szCs w:val="7"/>
                <w:color w:val="auto"/>
              </w:rPr>
            </w:pPr>
          </w:p>
        </w:tc>
        <w:tc>
          <w:tcPr>
            <w:tcW w:w="80" w:type="dxa"/>
            <w:vAlign w:val="bottom"/>
            <w:shd w:val="clear" w:color="auto" w:fill="DAE9F7"/>
          </w:tcPr>
          <w:p>
            <w:pPr>
              <w:spacing w:after="0"/>
              <w:rPr>
                <w:sz w:val="7"/>
                <w:szCs w:val="7"/>
                <w:color w:val="auto"/>
              </w:rPr>
            </w:pPr>
          </w:p>
        </w:tc>
        <w:tc>
          <w:tcPr>
            <w:tcW w:w="1700" w:type="dxa"/>
            <w:vAlign w:val="bottom"/>
            <w:tcBorders>
              <w:right w:val="single" w:sz="8" w:color="7F7F7F"/>
            </w:tcBorders>
            <w:gridSpan w:val="4"/>
            <w:vMerge w:val="restart"/>
            <w:shd w:val="clear" w:color="auto" w:fill="DAE9F7"/>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Previously Registered</w:t>
            </w:r>
          </w:p>
        </w:tc>
        <w:tc>
          <w:tcPr>
            <w:tcW w:w="140" w:type="dxa"/>
            <w:vAlign w:val="bottom"/>
            <w:tcBorders>
              <w:right w:val="single" w:sz="8" w:color="DAE9F7"/>
            </w:tcBorders>
            <w:shd w:val="clear" w:color="auto" w:fill="DAE9F7"/>
          </w:tcPr>
          <w:p>
            <w:pPr>
              <w:spacing w:after="0"/>
              <w:rPr>
                <w:sz w:val="7"/>
                <w:szCs w:val="7"/>
                <w:color w:val="auto"/>
              </w:rPr>
            </w:pPr>
          </w:p>
        </w:tc>
        <w:tc>
          <w:tcPr>
            <w:tcW w:w="2120" w:type="dxa"/>
            <w:vAlign w:val="bottom"/>
            <w:tcBorders>
              <w:right w:val="single" w:sz="8" w:color="7F7F7F"/>
            </w:tcBorders>
            <w:gridSpan w:val="3"/>
            <w:vMerge w:val="continue"/>
            <w:shd w:val="clear" w:color="auto" w:fill="DAE9F7"/>
          </w:tcPr>
          <w:p>
            <w:pPr>
              <w:spacing w:after="0"/>
              <w:rPr>
                <w:sz w:val="7"/>
                <w:szCs w:val="7"/>
                <w:color w:val="auto"/>
              </w:rPr>
            </w:pPr>
          </w:p>
        </w:tc>
        <w:tc>
          <w:tcPr>
            <w:tcW w:w="1020" w:type="dxa"/>
            <w:vAlign w:val="bottom"/>
            <w:tcBorders>
              <w:right w:val="single" w:sz="8" w:color="7F7F7F"/>
            </w:tcBorders>
            <w:gridSpan w:val="3"/>
            <w:vMerge w:val="continue"/>
            <w:shd w:val="clear" w:color="auto" w:fill="DAE9F7"/>
          </w:tcPr>
          <w:p>
            <w:pPr>
              <w:spacing w:after="0"/>
              <w:rPr>
                <w:sz w:val="7"/>
                <w:szCs w:val="7"/>
                <w:color w:val="auto"/>
              </w:rPr>
            </w:pPr>
          </w:p>
        </w:tc>
        <w:tc>
          <w:tcPr>
            <w:tcW w:w="1180" w:type="dxa"/>
            <w:vAlign w:val="bottom"/>
            <w:tcBorders>
              <w:right w:val="single" w:sz="8" w:color="7F7F7F"/>
            </w:tcBorders>
            <w:gridSpan w:val="2"/>
            <w:vMerge w:val="continue"/>
            <w:shd w:val="clear" w:color="auto" w:fill="DAE9F7"/>
          </w:tcPr>
          <w:p>
            <w:pPr>
              <w:spacing w:after="0"/>
              <w:rPr>
                <w:sz w:val="7"/>
                <w:szCs w:val="7"/>
                <w:color w:val="auto"/>
              </w:rPr>
            </w:pPr>
          </w:p>
        </w:tc>
        <w:tc>
          <w:tcPr>
            <w:tcW w:w="320" w:type="dxa"/>
            <w:vAlign w:val="bottom"/>
            <w:tcBorders>
              <w:right w:val="single" w:sz="8" w:color="DAE9F7"/>
            </w:tcBorders>
            <w:shd w:val="clear" w:color="auto" w:fill="DAE9F7"/>
          </w:tcPr>
          <w:p>
            <w:pPr>
              <w:spacing w:after="0"/>
              <w:rPr>
                <w:sz w:val="7"/>
                <w:szCs w:val="7"/>
                <w:color w:val="auto"/>
              </w:rPr>
            </w:pPr>
          </w:p>
        </w:tc>
        <w:tc>
          <w:tcPr>
            <w:tcW w:w="940" w:type="dxa"/>
            <w:vAlign w:val="bottom"/>
            <w:tcBorders>
              <w:right w:val="single" w:sz="8" w:color="7F7F7F"/>
            </w:tcBorders>
            <w:vMerge w:val="restart"/>
            <w:shd w:val="clear" w:color="auto" w:fill="DAE9F7"/>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31"/>
        </w:trPr>
        <w:tc>
          <w:tcPr>
            <w:tcW w:w="1080" w:type="dxa"/>
            <w:vAlign w:val="bottom"/>
            <w:tcBorders>
              <w:left w:val="single" w:sz="8" w:color="7F7F7F"/>
              <w:right w:val="single" w:sz="8" w:color="7F7F7F"/>
            </w:tcBorders>
            <w:shd w:val="clear" w:color="auto" w:fill="DAE9F7"/>
          </w:tcPr>
          <w:p>
            <w:pPr>
              <w:spacing w:after="0"/>
              <w:rPr>
                <w:sz w:val="11"/>
                <w:szCs w:val="11"/>
                <w:color w:val="auto"/>
              </w:rPr>
            </w:pPr>
          </w:p>
        </w:tc>
        <w:tc>
          <w:tcPr>
            <w:tcW w:w="400" w:type="dxa"/>
            <w:vAlign w:val="bottom"/>
            <w:tcBorders>
              <w:right w:val="single" w:sz="8" w:color="DAE9F7"/>
            </w:tcBorders>
            <w:shd w:val="clear" w:color="auto" w:fill="DAE9F7"/>
          </w:tcPr>
          <w:p>
            <w:pPr>
              <w:spacing w:after="0"/>
              <w:rPr>
                <w:sz w:val="11"/>
                <w:szCs w:val="11"/>
                <w:color w:val="auto"/>
              </w:rPr>
            </w:pPr>
          </w:p>
        </w:tc>
        <w:tc>
          <w:tcPr>
            <w:tcW w:w="580" w:type="dxa"/>
            <w:vAlign w:val="bottom"/>
            <w:tcBorders>
              <w:right w:val="single" w:sz="8" w:color="7F7F7F"/>
            </w:tcBorders>
            <w:shd w:val="clear" w:color="auto" w:fill="DAE9F7"/>
          </w:tcPr>
          <w:p>
            <w:pPr>
              <w:spacing w:after="0"/>
              <w:rPr>
                <w:sz w:val="11"/>
                <w:szCs w:val="11"/>
                <w:color w:val="auto"/>
              </w:rPr>
            </w:pPr>
          </w:p>
        </w:tc>
        <w:tc>
          <w:tcPr>
            <w:tcW w:w="440" w:type="dxa"/>
            <w:vAlign w:val="bottom"/>
            <w:tcBorders>
              <w:right w:val="single" w:sz="8" w:color="DAE9F7"/>
            </w:tcBorders>
            <w:shd w:val="clear" w:color="auto" w:fill="DAE9F7"/>
          </w:tcPr>
          <w:p>
            <w:pPr>
              <w:spacing w:after="0"/>
              <w:rPr>
                <w:sz w:val="11"/>
                <w:szCs w:val="11"/>
                <w:color w:val="auto"/>
              </w:rPr>
            </w:pPr>
          </w:p>
        </w:tc>
        <w:tc>
          <w:tcPr>
            <w:tcW w:w="780" w:type="dxa"/>
            <w:vAlign w:val="bottom"/>
            <w:tcBorders>
              <w:right w:val="single" w:sz="8" w:color="DAE9F7"/>
            </w:tcBorders>
            <w:shd w:val="clear" w:color="auto" w:fill="DAE9F7"/>
          </w:tcPr>
          <w:p>
            <w:pPr>
              <w:spacing w:after="0"/>
              <w:rPr>
                <w:sz w:val="11"/>
                <w:szCs w:val="11"/>
                <w:color w:val="auto"/>
              </w:rPr>
            </w:pPr>
          </w:p>
        </w:tc>
        <w:tc>
          <w:tcPr>
            <w:tcW w:w="480" w:type="dxa"/>
            <w:vAlign w:val="bottom"/>
            <w:tcBorders>
              <w:right w:val="single" w:sz="8" w:color="7F7F7F"/>
            </w:tcBorders>
            <w:shd w:val="clear" w:color="auto" w:fill="DAE9F7"/>
          </w:tcPr>
          <w:p>
            <w:pPr>
              <w:spacing w:after="0"/>
              <w:rPr>
                <w:sz w:val="11"/>
                <w:szCs w:val="11"/>
                <w:color w:val="auto"/>
              </w:rPr>
            </w:pPr>
          </w:p>
        </w:tc>
        <w:tc>
          <w:tcPr>
            <w:tcW w:w="80" w:type="dxa"/>
            <w:vAlign w:val="bottom"/>
            <w:shd w:val="clear" w:color="auto" w:fill="DAE9F7"/>
          </w:tcPr>
          <w:p>
            <w:pPr>
              <w:spacing w:after="0"/>
              <w:rPr>
                <w:sz w:val="11"/>
                <w:szCs w:val="11"/>
                <w:color w:val="auto"/>
              </w:rPr>
            </w:pPr>
          </w:p>
        </w:tc>
        <w:tc>
          <w:tcPr>
            <w:tcW w:w="1700" w:type="dxa"/>
            <w:vAlign w:val="bottom"/>
            <w:tcBorders>
              <w:right w:val="single" w:sz="8" w:color="7F7F7F"/>
            </w:tcBorders>
            <w:gridSpan w:val="4"/>
            <w:vMerge w:val="continue"/>
            <w:shd w:val="clear" w:color="auto" w:fill="DAE9F7"/>
          </w:tcPr>
          <w:p>
            <w:pPr>
              <w:spacing w:after="0"/>
              <w:rPr>
                <w:sz w:val="11"/>
                <w:szCs w:val="11"/>
                <w:color w:val="auto"/>
              </w:rPr>
            </w:pPr>
          </w:p>
        </w:tc>
        <w:tc>
          <w:tcPr>
            <w:tcW w:w="140" w:type="dxa"/>
            <w:vAlign w:val="bottom"/>
            <w:tcBorders>
              <w:right w:val="single" w:sz="8" w:color="DAE9F7"/>
            </w:tcBorders>
            <w:shd w:val="clear" w:color="auto" w:fill="DAE9F7"/>
          </w:tcPr>
          <w:p>
            <w:pPr>
              <w:spacing w:after="0"/>
              <w:rPr>
                <w:sz w:val="11"/>
                <w:szCs w:val="11"/>
                <w:color w:val="auto"/>
              </w:rPr>
            </w:pPr>
          </w:p>
        </w:tc>
        <w:tc>
          <w:tcPr>
            <w:tcW w:w="1720" w:type="dxa"/>
            <w:vAlign w:val="bottom"/>
            <w:tcBorders>
              <w:right w:val="single" w:sz="8" w:color="DAE9F7"/>
            </w:tcBorders>
            <w:gridSpan w:val="2"/>
            <w:vMerge w:val="restart"/>
            <w:shd w:val="clear" w:color="auto" w:fill="DAE9F7"/>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400" w:type="dxa"/>
            <w:vAlign w:val="bottom"/>
            <w:tcBorders>
              <w:right w:val="single" w:sz="8" w:color="7F7F7F"/>
            </w:tcBorders>
            <w:shd w:val="clear" w:color="auto" w:fill="DAE9F7"/>
          </w:tcPr>
          <w:p>
            <w:pPr>
              <w:spacing w:after="0"/>
              <w:rPr>
                <w:sz w:val="11"/>
                <w:szCs w:val="11"/>
                <w:color w:val="auto"/>
              </w:rPr>
            </w:pPr>
          </w:p>
        </w:tc>
        <w:tc>
          <w:tcPr>
            <w:tcW w:w="600" w:type="dxa"/>
            <w:vAlign w:val="bottom"/>
            <w:tcBorders>
              <w:right w:val="single" w:sz="8" w:color="DAE9F7"/>
            </w:tcBorders>
            <w:shd w:val="clear" w:color="auto" w:fill="DAE9F7"/>
          </w:tcPr>
          <w:p>
            <w:pPr>
              <w:spacing w:after="0"/>
              <w:rPr>
                <w:sz w:val="11"/>
                <w:szCs w:val="11"/>
                <w:color w:val="auto"/>
              </w:rPr>
            </w:pPr>
          </w:p>
        </w:tc>
        <w:tc>
          <w:tcPr>
            <w:tcW w:w="60" w:type="dxa"/>
            <w:vAlign w:val="bottom"/>
            <w:shd w:val="clear" w:color="auto" w:fill="DAE9F7"/>
          </w:tcPr>
          <w:p>
            <w:pPr>
              <w:spacing w:after="0"/>
              <w:rPr>
                <w:sz w:val="11"/>
                <w:szCs w:val="11"/>
                <w:color w:val="auto"/>
              </w:rPr>
            </w:pPr>
          </w:p>
        </w:tc>
        <w:tc>
          <w:tcPr>
            <w:tcW w:w="360" w:type="dxa"/>
            <w:vAlign w:val="bottom"/>
            <w:tcBorders>
              <w:right w:val="single" w:sz="8" w:color="7F7F7F"/>
            </w:tcBorders>
            <w:shd w:val="clear" w:color="auto" w:fill="DAE9F7"/>
          </w:tcPr>
          <w:p>
            <w:pPr>
              <w:spacing w:after="0"/>
              <w:rPr>
                <w:sz w:val="11"/>
                <w:szCs w:val="11"/>
                <w:color w:val="auto"/>
              </w:rPr>
            </w:pPr>
          </w:p>
        </w:tc>
        <w:tc>
          <w:tcPr>
            <w:tcW w:w="500" w:type="dxa"/>
            <w:vAlign w:val="bottom"/>
            <w:tcBorders>
              <w:right w:val="single" w:sz="8" w:color="DAE9F7"/>
            </w:tcBorders>
            <w:shd w:val="clear" w:color="auto" w:fill="DAE9F7"/>
          </w:tcPr>
          <w:p>
            <w:pPr>
              <w:spacing w:after="0"/>
              <w:rPr>
                <w:sz w:val="11"/>
                <w:szCs w:val="11"/>
                <w:color w:val="auto"/>
              </w:rPr>
            </w:pPr>
          </w:p>
        </w:tc>
        <w:tc>
          <w:tcPr>
            <w:tcW w:w="680" w:type="dxa"/>
            <w:vAlign w:val="bottom"/>
            <w:tcBorders>
              <w:right w:val="single" w:sz="8" w:color="7F7F7F"/>
            </w:tcBorders>
            <w:shd w:val="clear" w:color="auto" w:fill="DAE9F7"/>
          </w:tcPr>
          <w:p>
            <w:pPr>
              <w:spacing w:after="0"/>
              <w:rPr>
                <w:sz w:val="11"/>
                <w:szCs w:val="11"/>
                <w:color w:val="auto"/>
              </w:rPr>
            </w:pPr>
          </w:p>
        </w:tc>
        <w:tc>
          <w:tcPr>
            <w:tcW w:w="320" w:type="dxa"/>
            <w:vAlign w:val="bottom"/>
            <w:tcBorders>
              <w:right w:val="single" w:sz="8" w:color="DAE9F7"/>
            </w:tcBorders>
            <w:shd w:val="clear" w:color="auto" w:fill="DAE9F7"/>
          </w:tcPr>
          <w:p>
            <w:pPr>
              <w:spacing w:after="0"/>
              <w:rPr>
                <w:sz w:val="11"/>
                <w:szCs w:val="11"/>
                <w:color w:val="auto"/>
              </w:rPr>
            </w:pPr>
          </w:p>
        </w:tc>
        <w:tc>
          <w:tcPr>
            <w:tcW w:w="940" w:type="dxa"/>
            <w:vAlign w:val="bottom"/>
            <w:tcBorders>
              <w:right w:val="single" w:sz="8" w:color="7F7F7F"/>
            </w:tcBorders>
            <w:vMerge w:val="continue"/>
            <w:shd w:val="clear" w:color="auto" w:fill="DAE9F7"/>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80" w:type="dxa"/>
            <w:vAlign w:val="bottom"/>
            <w:tcBorders>
              <w:left w:val="single" w:sz="8" w:color="7F7F7F"/>
              <w:bottom w:val="single" w:sz="8" w:color="7F7F7F"/>
              <w:right w:val="single" w:sz="8" w:color="7F7F7F"/>
            </w:tcBorders>
            <w:shd w:val="clear" w:color="auto" w:fill="DAE9F7"/>
          </w:tcPr>
          <w:p>
            <w:pPr>
              <w:spacing w:after="0"/>
              <w:rPr>
                <w:sz w:val="7"/>
                <w:szCs w:val="7"/>
                <w:color w:val="auto"/>
              </w:rPr>
            </w:pPr>
          </w:p>
        </w:tc>
        <w:tc>
          <w:tcPr>
            <w:tcW w:w="400" w:type="dxa"/>
            <w:vAlign w:val="bottom"/>
            <w:tcBorders>
              <w:bottom w:val="single" w:sz="8" w:color="7F7F7F"/>
              <w:right w:val="single" w:sz="8" w:color="DAE9F7"/>
            </w:tcBorders>
            <w:shd w:val="clear" w:color="auto" w:fill="DAE9F7"/>
          </w:tcPr>
          <w:p>
            <w:pPr>
              <w:spacing w:after="0"/>
              <w:rPr>
                <w:sz w:val="7"/>
                <w:szCs w:val="7"/>
                <w:color w:val="auto"/>
              </w:rPr>
            </w:pPr>
          </w:p>
        </w:tc>
        <w:tc>
          <w:tcPr>
            <w:tcW w:w="580" w:type="dxa"/>
            <w:vAlign w:val="bottom"/>
            <w:tcBorders>
              <w:bottom w:val="single" w:sz="8" w:color="7F7F7F"/>
              <w:right w:val="single" w:sz="8" w:color="7F7F7F"/>
            </w:tcBorders>
            <w:shd w:val="clear" w:color="auto" w:fill="DAE9F7"/>
          </w:tcPr>
          <w:p>
            <w:pPr>
              <w:spacing w:after="0"/>
              <w:rPr>
                <w:sz w:val="7"/>
                <w:szCs w:val="7"/>
                <w:color w:val="auto"/>
              </w:rPr>
            </w:pPr>
          </w:p>
        </w:tc>
        <w:tc>
          <w:tcPr>
            <w:tcW w:w="440" w:type="dxa"/>
            <w:vAlign w:val="bottom"/>
            <w:tcBorders>
              <w:bottom w:val="single" w:sz="8" w:color="7F7F7F"/>
              <w:right w:val="single" w:sz="8" w:color="DAE9F7"/>
            </w:tcBorders>
            <w:shd w:val="clear" w:color="auto" w:fill="DAE9F7"/>
          </w:tcPr>
          <w:p>
            <w:pPr>
              <w:spacing w:after="0"/>
              <w:rPr>
                <w:sz w:val="7"/>
                <w:szCs w:val="7"/>
                <w:color w:val="auto"/>
              </w:rPr>
            </w:pPr>
          </w:p>
        </w:tc>
        <w:tc>
          <w:tcPr>
            <w:tcW w:w="780" w:type="dxa"/>
            <w:vAlign w:val="bottom"/>
            <w:tcBorders>
              <w:bottom w:val="single" w:sz="8" w:color="7F7F7F"/>
              <w:right w:val="single" w:sz="8" w:color="DAE9F7"/>
            </w:tcBorders>
            <w:shd w:val="clear" w:color="auto" w:fill="DAE9F7"/>
          </w:tcPr>
          <w:p>
            <w:pPr>
              <w:spacing w:after="0"/>
              <w:rPr>
                <w:sz w:val="7"/>
                <w:szCs w:val="7"/>
                <w:color w:val="auto"/>
              </w:rPr>
            </w:pPr>
          </w:p>
        </w:tc>
        <w:tc>
          <w:tcPr>
            <w:tcW w:w="480" w:type="dxa"/>
            <w:vAlign w:val="bottom"/>
            <w:tcBorders>
              <w:bottom w:val="single" w:sz="8" w:color="7F7F7F"/>
              <w:right w:val="single" w:sz="8" w:color="7F7F7F"/>
            </w:tcBorders>
            <w:shd w:val="clear" w:color="auto" w:fill="DAE9F7"/>
          </w:tcPr>
          <w:p>
            <w:pPr>
              <w:spacing w:after="0"/>
              <w:rPr>
                <w:sz w:val="7"/>
                <w:szCs w:val="7"/>
                <w:color w:val="auto"/>
              </w:rPr>
            </w:pPr>
          </w:p>
        </w:tc>
        <w:tc>
          <w:tcPr>
            <w:tcW w:w="80" w:type="dxa"/>
            <w:vAlign w:val="bottom"/>
            <w:tcBorders>
              <w:bottom w:val="single" w:sz="8" w:color="7F7F7F"/>
            </w:tcBorders>
            <w:shd w:val="clear" w:color="auto" w:fill="DAE9F7"/>
          </w:tcPr>
          <w:p>
            <w:pPr>
              <w:spacing w:after="0"/>
              <w:rPr>
                <w:sz w:val="7"/>
                <w:szCs w:val="7"/>
                <w:color w:val="auto"/>
              </w:rPr>
            </w:pPr>
          </w:p>
        </w:tc>
        <w:tc>
          <w:tcPr>
            <w:tcW w:w="220" w:type="dxa"/>
            <w:vAlign w:val="bottom"/>
            <w:tcBorders>
              <w:bottom w:val="single" w:sz="8" w:color="7F7F7F"/>
              <w:right w:val="single" w:sz="8" w:color="DAE9F7"/>
            </w:tcBorders>
            <w:shd w:val="clear" w:color="auto" w:fill="DAE9F7"/>
          </w:tcPr>
          <w:p>
            <w:pPr>
              <w:spacing w:after="0"/>
              <w:rPr>
                <w:sz w:val="7"/>
                <w:szCs w:val="7"/>
                <w:color w:val="auto"/>
              </w:rPr>
            </w:pPr>
          </w:p>
        </w:tc>
        <w:tc>
          <w:tcPr>
            <w:tcW w:w="620" w:type="dxa"/>
            <w:vAlign w:val="bottom"/>
            <w:tcBorders>
              <w:bottom w:val="single" w:sz="8" w:color="7F7F7F"/>
            </w:tcBorders>
            <w:shd w:val="clear" w:color="auto" w:fill="DAE9F7"/>
          </w:tcPr>
          <w:p>
            <w:pPr>
              <w:spacing w:after="0"/>
              <w:rPr>
                <w:sz w:val="7"/>
                <w:szCs w:val="7"/>
                <w:color w:val="auto"/>
              </w:rPr>
            </w:pPr>
          </w:p>
        </w:tc>
        <w:tc>
          <w:tcPr>
            <w:tcW w:w="200" w:type="dxa"/>
            <w:vAlign w:val="bottom"/>
            <w:tcBorders>
              <w:bottom w:val="single" w:sz="8" w:color="7F7F7F"/>
              <w:right w:val="single" w:sz="8" w:color="DAE9F7"/>
            </w:tcBorders>
            <w:shd w:val="clear" w:color="auto" w:fill="DAE9F7"/>
          </w:tcPr>
          <w:p>
            <w:pPr>
              <w:spacing w:after="0"/>
              <w:rPr>
                <w:sz w:val="7"/>
                <w:szCs w:val="7"/>
                <w:color w:val="auto"/>
              </w:rPr>
            </w:pPr>
          </w:p>
        </w:tc>
        <w:tc>
          <w:tcPr>
            <w:tcW w:w="660" w:type="dxa"/>
            <w:vAlign w:val="bottom"/>
            <w:tcBorders>
              <w:bottom w:val="single" w:sz="8" w:color="7F7F7F"/>
              <w:right w:val="single" w:sz="8" w:color="7F7F7F"/>
            </w:tcBorders>
            <w:shd w:val="clear" w:color="auto" w:fill="DAE9F7"/>
          </w:tcPr>
          <w:p>
            <w:pPr>
              <w:spacing w:after="0"/>
              <w:rPr>
                <w:sz w:val="7"/>
                <w:szCs w:val="7"/>
                <w:color w:val="auto"/>
              </w:rPr>
            </w:pPr>
          </w:p>
        </w:tc>
        <w:tc>
          <w:tcPr>
            <w:tcW w:w="140" w:type="dxa"/>
            <w:vAlign w:val="bottom"/>
            <w:tcBorders>
              <w:bottom w:val="single" w:sz="8" w:color="7F7F7F"/>
              <w:right w:val="single" w:sz="8" w:color="DAE9F7"/>
            </w:tcBorders>
            <w:shd w:val="clear" w:color="auto" w:fill="DAE9F7"/>
          </w:tcPr>
          <w:p>
            <w:pPr>
              <w:spacing w:after="0"/>
              <w:rPr>
                <w:sz w:val="7"/>
                <w:szCs w:val="7"/>
                <w:color w:val="auto"/>
              </w:rPr>
            </w:pPr>
          </w:p>
        </w:tc>
        <w:tc>
          <w:tcPr>
            <w:tcW w:w="1720" w:type="dxa"/>
            <w:vAlign w:val="bottom"/>
            <w:tcBorders>
              <w:bottom w:val="single" w:sz="8" w:color="7F7F7F"/>
              <w:right w:val="single" w:sz="8" w:color="DAE9F7"/>
            </w:tcBorders>
            <w:gridSpan w:val="2"/>
            <w:vMerge w:val="continue"/>
            <w:shd w:val="clear" w:color="auto" w:fill="DAE9F7"/>
          </w:tcPr>
          <w:p>
            <w:pPr>
              <w:spacing w:after="0"/>
              <w:rPr>
                <w:sz w:val="7"/>
                <w:szCs w:val="7"/>
                <w:color w:val="auto"/>
              </w:rPr>
            </w:pPr>
          </w:p>
        </w:tc>
        <w:tc>
          <w:tcPr>
            <w:tcW w:w="400" w:type="dxa"/>
            <w:vAlign w:val="bottom"/>
            <w:tcBorders>
              <w:bottom w:val="single" w:sz="8" w:color="7F7F7F"/>
              <w:right w:val="single" w:sz="8" w:color="7F7F7F"/>
            </w:tcBorders>
            <w:shd w:val="clear" w:color="auto" w:fill="DAE9F7"/>
          </w:tcPr>
          <w:p>
            <w:pPr>
              <w:spacing w:after="0"/>
              <w:rPr>
                <w:sz w:val="7"/>
                <w:szCs w:val="7"/>
                <w:color w:val="auto"/>
              </w:rPr>
            </w:pPr>
          </w:p>
        </w:tc>
        <w:tc>
          <w:tcPr>
            <w:tcW w:w="600" w:type="dxa"/>
            <w:vAlign w:val="bottom"/>
            <w:tcBorders>
              <w:bottom w:val="single" w:sz="8" w:color="7F7F7F"/>
              <w:right w:val="single" w:sz="8" w:color="DAE9F7"/>
            </w:tcBorders>
            <w:shd w:val="clear" w:color="auto" w:fill="DAE9F7"/>
          </w:tcPr>
          <w:p>
            <w:pPr>
              <w:spacing w:after="0"/>
              <w:rPr>
                <w:sz w:val="7"/>
                <w:szCs w:val="7"/>
                <w:color w:val="auto"/>
              </w:rPr>
            </w:pPr>
          </w:p>
        </w:tc>
        <w:tc>
          <w:tcPr>
            <w:tcW w:w="60" w:type="dxa"/>
            <w:vAlign w:val="bottom"/>
            <w:tcBorders>
              <w:bottom w:val="single" w:sz="8" w:color="7F7F7F"/>
            </w:tcBorders>
            <w:shd w:val="clear" w:color="auto" w:fill="DAE9F7"/>
          </w:tcPr>
          <w:p>
            <w:pPr>
              <w:spacing w:after="0"/>
              <w:rPr>
                <w:sz w:val="7"/>
                <w:szCs w:val="7"/>
                <w:color w:val="auto"/>
              </w:rPr>
            </w:pPr>
          </w:p>
        </w:tc>
        <w:tc>
          <w:tcPr>
            <w:tcW w:w="360" w:type="dxa"/>
            <w:vAlign w:val="bottom"/>
            <w:tcBorders>
              <w:bottom w:val="single" w:sz="8" w:color="7F7F7F"/>
              <w:right w:val="single" w:sz="8" w:color="7F7F7F"/>
            </w:tcBorders>
            <w:shd w:val="clear" w:color="auto" w:fill="DAE9F7"/>
          </w:tcPr>
          <w:p>
            <w:pPr>
              <w:spacing w:after="0"/>
              <w:rPr>
                <w:sz w:val="7"/>
                <w:szCs w:val="7"/>
                <w:color w:val="auto"/>
              </w:rPr>
            </w:pPr>
          </w:p>
        </w:tc>
        <w:tc>
          <w:tcPr>
            <w:tcW w:w="500" w:type="dxa"/>
            <w:vAlign w:val="bottom"/>
            <w:tcBorders>
              <w:bottom w:val="single" w:sz="8" w:color="7F7F7F"/>
              <w:right w:val="single" w:sz="8" w:color="DAE9F7"/>
            </w:tcBorders>
            <w:shd w:val="clear" w:color="auto" w:fill="DAE9F7"/>
          </w:tcPr>
          <w:p>
            <w:pPr>
              <w:spacing w:after="0"/>
              <w:rPr>
                <w:sz w:val="7"/>
                <w:szCs w:val="7"/>
                <w:color w:val="auto"/>
              </w:rPr>
            </w:pPr>
          </w:p>
        </w:tc>
        <w:tc>
          <w:tcPr>
            <w:tcW w:w="680" w:type="dxa"/>
            <w:vAlign w:val="bottom"/>
            <w:tcBorders>
              <w:bottom w:val="single" w:sz="8" w:color="7F7F7F"/>
              <w:right w:val="single" w:sz="8" w:color="7F7F7F"/>
            </w:tcBorders>
            <w:shd w:val="clear" w:color="auto" w:fill="DAE9F7"/>
          </w:tcPr>
          <w:p>
            <w:pPr>
              <w:spacing w:after="0"/>
              <w:rPr>
                <w:sz w:val="7"/>
                <w:szCs w:val="7"/>
                <w:color w:val="auto"/>
              </w:rPr>
            </w:pPr>
          </w:p>
        </w:tc>
        <w:tc>
          <w:tcPr>
            <w:tcW w:w="320" w:type="dxa"/>
            <w:vAlign w:val="bottom"/>
            <w:tcBorders>
              <w:bottom w:val="single" w:sz="8" w:color="7F7F7F"/>
              <w:right w:val="single" w:sz="8" w:color="DAE9F7"/>
            </w:tcBorders>
            <w:shd w:val="clear" w:color="auto" w:fill="DAE9F7"/>
          </w:tcPr>
          <w:p>
            <w:pPr>
              <w:spacing w:after="0"/>
              <w:rPr>
                <w:sz w:val="7"/>
                <w:szCs w:val="7"/>
                <w:color w:val="auto"/>
              </w:rPr>
            </w:pPr>
          </w:p>
        </w:tc>
        <w:tc>
          <w:tcPr>
            <w:tcW w:w="940" w:type="dxa"/>
            <w:vAlign w:val="bottom"/>
            <w:tcBorders>
              <w:bottom w:val="single" w:sz="8" w:color="7F7F7F"/>
              <w:right w:val="single" w:sz="8" w:color="7F7F7F"/>
            </w:tcBorders>
            <w:shd w:val="clear" w:color="auto" w:fill="DAE9F7"/>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80" w:type="dxa"/>
            <w:vAlign w:val="bottom"/>
            <w:tcBorders>
              <w:left w:val="single" w:sz="8" w:color="7F7F7F"/>
              <w:bottom w:val="single" w:sz="8" w:color="7F7F7F"/>
              <w:right w:val="single" w:sz="8" w:color="7F7F7F"/>
            </w:tcBorders>
          </w:tcPr>
          <w:p>
            <w:pPr>
              <w:ind w:left="38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tcBorders>
              <w:bottom w:val="single" w:sz="8" w:color="7F7F7F"/>
              <w:right w:val="single" w:sz="8" w:color="7F7F7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480" w:type="dxa"/>
            <w:vAlign w:val="bottom"/>
            <w:tcBorders>
              <w:bottom w:val="single" w:sz="8" w:color="7F7F7F"/>
              <w:right w:val="single" w:sz="8" w:color="7F7F7F"/>
            </w:tcBorders>
          </w:tcPr>
          <w:p>
            <w:pPr>
              <w:spacing w:after="0"/>
              <w:rPr>
                <w:sz w:val="18"/>
                <w:szCs w:val="18"/>
                <w:color w:val="auto"/>
              </w:rPr>
            </w:pPr>
          </w:p>
        </w:tc>
        <w:tc>
          <w:tcPr>
            <w:tcW w:w="80" w:type="dxa"/>
            <w:vAlign w:val="bottom"/>
            <w:tcBorders>
              <w:bottom w:val="single" w:sz="8" w:color="7F7F7F"/>
            </w:tcBorders>
          </w:tcPr>
          <w:p>
            <w:pPr>
              <w:spacing w:after="0"/>
              <w:rPr>
                <w:sz w:val="18"/>
                <w:szCs w:val="18"/>
                <w:color w:val="auto"/>
              </w:rPr>
            </w:pPr>
          </w:p>
        </w:tc>
        <w:tc>
          <w:tcPr>
            <w:tcW w:w="220" w:type="dxa"/>
            <w:vAlign w:val="bottom"/>
            <w:tcBorders>
              <w:bottom w:val="single" w:sz="8" w:color="7F7F7F"/>
            </w:tcBorders>
          </w:tcPr>
          <w:p>
            <w:pPr>
              <w:spacing w:after="0"/>
              <w:rPr>
                <w:sz w:val="18"/>
                <w:szCs w:val="18"/>
                <w:color w:val="auto"/>
              </w:rPr>
            </w:pPr>
          </w:p>
        </w:tc>
        <w:tc>
          <w:tcPr>
            <w:tcW w:w="1480" w:type="dxa"/>
            <w:vAlign w:val="bottom"/>
            <w:tcBorders>
              <w:bottom w:val="single" w:sz="8" w:color="7F7F7F"/>
              <w:right w:val="single" w:sz="8" w:color="7F7F7F"/>
            </w:tcBorders>
            <w:gridSpan w:val="3"/>
          </w:tcPr>
          <w:p>
            <w:pPr>
              <w:jc w:val="center"/>
              <w:ind w:right="23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bottom w:val="single" w:sz="8" w:color="7F7F7F"/>
            </w:tcBorders>
          </w:tcPr>
          <w:p>
            <w:pPr>
              <w:spacing w:after="0"/>
              <w:rPr>
                <w:sz w:val="18"/>
                <w:szCs w:val="18"/>
                <w:color w:val="auto"/>
              </w:rPr>
            </w:pPr>
          </w:p>
        </w:tc>
        <w:tc>
          <w:tcPr>
            <w:tcW w:w="82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center"/>
              <w:ind w:right="49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Borders>
              <w:bottom w:val="single" w:sz="8" w:color="7F7F7F"/>
              <w:right w:val="single" w:sz="8" w:color="7F7F7F"/>
            </w:tcBorders>
          </w:tcPr>
          <w:p>
            <w:pPr>
              <w:spacing w:after="0"/>
              <w:rPr>
                <w:sz w:val="18"/>
                <w:szCs w:val="18"/>
                <w:color w:val="auto"/>
              </w:rPr>
            </w:pPr>
          </w:p>
        </w:tc>
        <w:tc>
          <w:tcPr>
            <w:tcW w:w="660" w:type="dxa"/>
            <w:vAlign w:val="bottom"/>
            <w:tcBorders>
              <w:bottom w:val="single" w:sz="8" w:color="7F7F7F"/>
            </w:tcBorders>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Borders>
              <w:bottom w:val="single" w:sz="8" w:color="7F7F7F"/>
              <w:right w:val="single" w:sz="8" w:color="7F7F7F"/>
            </w:tcBorders>
          </w:tcPr>
          <w:p>
            <w:pPr>
              <w:spacing w:after="0"/>
              <w:rPr>
                <w:sz w:val="18"/>
                <w:szCs w:val="18"/>
                <w:color w:val="auto"/>
              </w:rPr>
            </w:pPr>
          </w:p>
        </w:tc>
        <w:tc>
          <w:tcPr>
            <w:tcW w:w="50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right w:val="single" w:sz="8" w:color="7F7F7F"/>
            </w:tcBorders>
          </w:tcPr>
          <w:p>
            <w:pPr>
              <w:jc w:val="center"/>
              <w:ind w:right="379"/>
              <w:spacing w:after="0"/>
              <w:rPr>
                <w:sz w:val="20"/>
                <w:szCs w:val="20"/>
                <w:color w:val="auto"/>
              </w:rPr>
            </w:pPr>
            <w:r>
              <w:rPr>
                <w:rFonts w:ascii="Times New Roman" w:cs="Times New Roman" w:eastAsia="Times New Roman" w:hAnsi="Times New Roman"/>
                <w:sz w:val="16"/>
                <w:szCs w:val="16"/>
                <w:color w:val="auto"/>
                <w:w w:val="79"/>
              </w:rPr>
              <w:t>N/A</w:t>
            </w:r>
          </w:p>
        </w:tc>
        <w:tc>
          <w:tcPr>
            <w:tcW w:w="32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right w:val="single" w:sz="8" w:color="7F7F7F"/>
            </w:tcBorders>
          </w:tcPr>
          <w:p>
            <w:pPr>
              <w:jc w:val="center"/>
              <w:ind w:right="2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165"/>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2463800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754380</wp:posOffset>
            </wp:positionV>
            <wp:extent cx="1165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INDENTURE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21590</wp:posOffset>
            </wp:positionV>
            <wp:extent cx="1165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 BANK TRUST COMPANY, NATIONAL ASSOCIATION</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711835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tbl>
      <w:tblPr>
        <w:tblLayout w:type="fixed"/>
        <w:tblInd w:w="560" w:type="dxa"/>
        <w:tblCellMar>
          <w:top w:w="0" w:type="dxa"/>
          <w:left w:w="0" w:type="dxa"/>
          <w:bottom w:w="0" w:type="dxa"/>
          <w:right w:w="0" w:type="dxa"/>
        </w:tblCellMar>
      </w:tblPr>
      <w:tr>
        <w:trPr>
          <w:trHeight w:val="230"/>
        </w:trPr>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TRUST INDENTURE ACT CROSS-REFERENCE TABLE*</w:t>
            </w:r>
          </w:p>
        </w:tc>
      </w:tr>
      <w:tr>
        <w:trPr>
          <w:trHeight w:val="20"/>
        </w:trPr>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6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Trust Indenture Act Section</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Indenture Section</w:t>
            </w:r>
          </w:p>
        </w:tc>
      </w:tr>
      <w:tr>
        <w:trPr>
          <w:trHeight w:val="296"/>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310(a)(1)</w:t>
            </w:r>
          </w:p>
        </w:tc>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7.09</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(a)(2)</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7.09</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(a)(3)</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N.A.</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(a)(4)</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N.A.</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(a)(5)</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7.09</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w:t>
            </w:r>
          </w:p>
        </w:tc>
        <w:tc>
          <w:tcPr>
            <w:tcW w:w="6440" w:type="dxa"/>
            <w:vAlign w:val="bottom"/>
            <w:gridSpan w:val="2"/>
          </w:tcPr>
          <w:p>
            <w:pPr>
              <w:jc w:val="center"/>
              <w:ind w:left="4941"/>
              <w:spacing w:after="0"/>
              <w:rPr>
                <w:sz w:val="20"/>
                <w:szCs w:val="20"/>
                <w:color w:val="auto"/>
              </w:rPr>
            </w:pPr>
            <w:r>
              <w:rPr>
                <w:rFonts w:ascii="Times New Roman" w:cs="Times New Roman" w:eastAsia="Times New Roman" w:hAnsi="Times New Roman"/>
                <w:sz w:val="20"/>
                <w:szCs w:val="20"/>
                <w:color w:val="auto"/>
                <w:w w:val="99"/>
              </w:rPr>
              <w:t>7.09, 7.10, 7.12</w:t>
            </w:r>
          </w:p>
        </w:tc>
        <w:tc>
          <w:tcPr>
            <w:tcW w:w="40" w:type="dxa"/>
            <w:vAlign w:val="bottom"/>
          </w:tcPr>
          <w:p>
            <w:pPr>
              <w:spacing w:after="0"/>
              <w:rPr>
                <w:sz w:val="24"/>
                <w:szCs w:val="24"/>
                <w:color w:val="auto"/>
              </w:rPr>
            </w:pPr>
          </w:p>
        </w:tc>
      </w:tr>
      <w:tr>
        <w:trPr>
          <w:trHeight w:val="297"/>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280" w:type="dxa"/>
            <w:vAlign w:val="bottom"/>
          </w:tcPr>
          <w:p>
            <w:pPr>
              <w:spacing w:after="0"/>
              <w:rPr>
                <w:sz w:val="24"/>
                <w:szCs w:val="24"/>
                <w:color w:val="auto"/>
              </w:rPr>
            </w:pP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7.14</w:t>
            </w:r>
          </w:p>
        </w:tc>
        <w:tc>
          <w:tcPr>
            <w:tcW w:w="40" w:type="dxa"/>
            <w:vAlign w:val="bottom"/>
          </w:tcPr>
          <w:p>
            <w:pPr>
              <w:spacing w:after="0"/>
              <w:rPr>
                <w:sz w:val="24"/>
                <w:szCs w:val="24"/>
                <w:color w:val="auto"/>
              </w:rPr>
            </w:pPr>
          </w:p>
        </w:tc>
      </w:tr>
      <w:tr>
        <w:trPr>
          <w:trHeight w:val="297"/>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312(a)</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8.01</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1.06</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1.06</w:t>
            </w:r>
          </w:p>
        </w:tc>
        <w:tc>
          <w:tcPr>
            <w:tcW w:w="40" w:type="dxa"/>
            <w:vAlign w:val="bottom"/>
          </w:tcPr>
          <w:p>
            <w:pPr>
              <w:spacing w:after="0"/>
              <w:rPr>
                <w:sz w:val="24"/>
                <w:szCs w:val="24"/>
                <w:color w:val="auto"/>
              </w:rPr>
            </w:pPr>
          </w:p>
        </w:tc>
      </w:tr>
      <w:tr>
        <w:trPr>
          <w:trHeight w:val="297"/>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313(a)</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8.02(a), (b)</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(b)(1)</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N.A.</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(b)(2)</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8.02(a), (b)</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w:t>
            </w:r>
          </w:p>
        </w:tc>
        <w:tc>
          <w:tcPr>
            <w:tcW w:w="5060" w:type="dxa"/>
            <w:vAlign w:val="bottom"/>
          </w:tcPr>
          <w:p>
            <w:pPr>
              <w:spacing w:after="0"/>
              <w:rPr>
                <w:sz w:val="24"/>
                <w:szCs w:val="24"/>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8.02(c)</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w:t>
            </w:r>
          </w:p>
        </w:tc>
        <w:tc>
          <w:tcPr>
            <w:tcW w:w="5060" w:type="dxa"/>
            <w:vAlign w:val="bottom"/>
          </w:tcPr>
          <w:p>
            <w:pPr>
              <w:spacing w:after="0"/>
              <w:rPr>
                <w:sz w:val="24"/>
                <w:szCs w:val="24"/>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8.02(c)</w:t>
            </w:r>
          </w:p>
        </w:tc>
      </w:tr>
      <w:tr>
        <w:trPr>
          <w:trHeight w:val="297"/>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314(a)</w:t>
            </w:r>
            <w:r>
              <w:rPr>
                <w:rFonts w:ascii="Times New Roman" w:cs="Times New Roman" w:eastAsia="Times New Roman" w:hAnsi="Times New Roman"/>
                <w:sz w:val="17"/>
                <w:szCs w:val="17"/>
                <w:color w:val="auto"/>
              </w:rPr>
              <w:t>(1)-(3)</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8.03</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(a)(4)</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5.06</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N.A.</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(c)(1)</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1.03</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(c)(2)</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1.03</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(c)(3)</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N.A.</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N.A.</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1.03</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N.A.</w:t>
            </w:r>
          </w:p>
        </w:tc>
      </w:tr>
      <w:tr>
        <w:trPr>
          <w:trHeight w:val="297"/>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315(a)</w:t>
            </w:r>
          </w:p>
        </w:tc>
        <w:tc>
          <w:tcPr>
            <w:tcW w:w="5060" w:type="dxa"/>
            <w:vAlign w:val="bottom"/>
          </w:tcPr>
          <w:p>
            <w:pPr>
              <w:spacing w:after="0"/>
              <w:rPr>
                <w:sz w:val="24"/>
                <w:szCs w:val="24"/>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7.01(a)</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7.02</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7.01(b)</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w:t>
            </w:r>
          </w:p>
        </w:tc>
        <w:tc>
          <w:tcPr>
            <w:tcW w:w="5060" w:type="dxa"/>
            <w:vAlign w:val="bottom"/>
          </w:tcPr>
          <w:p>
            <w:pPr>
              <w:spacing w:after="0"/>
              <w:rPr>
                <w:sz w:val="24"/>
                <w:szCs w:val="24"/>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7.01(a), (c)</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6.08</w:t>
            </w:r>
          </w:p>
        </w:tc>
        <w:tc>
          <w:tcPr>
            <w:tcW w:w="40" w:type="dxa"/>
            <w:vAlign w:val="bottom"/>
          </w:tcPr>
          <w:p>
            <w:pPr>
              <w:spacing w:after="0"/>
              <w:rPr>
                <w:sz w:val="24"/>
                <w:szCs w:val="24"/>
                <w:color w:val="auto"/>
              </w:rPr>
            </w:pPr>
          </w:p>
        </w:tc>
      </w:tr>
      <w:tr>
        <w:trPr>
          <w:trHeight w:val="237"/>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316(a) (last sentence)</w:t>
            </w:r>
          </w:p>
        </w:tc>
        <w:tc>
          <w:tcPr>
            <w:tcW w:w="6480" w:type="dxa"/>
            <w:vAlign w:val="bottom"/>
            <w:gridSpan w:val="3"/>
          </w:tcPr>
          <w:p>
            <w:pPr>
              <w:jc w:val="center"/>
              <w:ind w:left="4901"/>
              <w:spacing w:after="0"/>
              <w:rPr>
                <w:sz w:val="20"/>
                <w:szCs w:val="20"/>
                <w:color w:val="auto"/>
              </w:rPr>
            </w:pPr>
            <w:r>
              <w:rPr>
                <w:rFonts w:ascii="Times New Roman" w:cs="Times New Roman" w:eastAsia="Times New Roman" w:hAnsi="Times New Roman"/>
                <w:sz w:val="20"/>
                <w:szCs w:val="20"/>
                <w:color w:val="auto"/>
                <w:w w:val="98"/>
              </w:rPr>
              <w:t>1.01 (Definition of</w:t>
            </w:r>
          </w:p>
        </w:tc>
      </w:tr>
      <w:tr>
        <w:trPr>
          <w:trHeight w:val="234"/>
        </w:trPr>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“Outstanding”)</w:t>
            </w:r>
          </w:p>
        </w:tc>
      </w:tr>
      <w:tr>
        <w:trPr>
          <w:trHeight w:val="272"/>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(a)(1)</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6.07</w:t>
            </w:r>
          </w:p>
        </w:tc>
        <w:tc>
          <w:tcPr>
            <w:tcW w:w="40" w:type="dxa"/>
            <w:vAlign w:val="bottom"/>
          </w:tcPr>
          <w:p>
            <w:pPr>
              <w:spacing w:after="0"/>
              <w:rPr>
                <w:sz w:val="23"/>
                <w:szCs w:val="23"/>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(a)(2)</w:t>
            </w:r>
          </w:p>
        </w:tc>
        <w:tc>
          <w:tcPr>
            <w:tcW w:w="506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N.A.</w:t>
            </w: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w:t>
            </w:r>
          </w:p>
        </w:tc>
        <w:tc>
          <w:tcPr>
            <w:tcW w:w="6440" w:type="dxa"/>
            <w:vAlign w:val="bottom"/>
            <w:gridSpan w:val="2"/>
          </w:tcPr>
          <w:p>
            <w:pPr>
              <w:jc w:val="center"/>
              <w:ind w:left="4941"/>
              <w:spacing w:after="0"/>
              <w:rPr>
                <w:sz w:val="20"/>
                <w:szCs w:val="20"/>
                <w:color w:val="auto"/>
              </w:rPr>
            </w:pPr>
            <w:r>
              <w:rPr>
                <w:rFonts w:ascii="Times New Roman" w:cs="Times New Roman" w:eastAsia="Times New Roman" w:hAnsi="Times New Roman"/>
                <w:sz w:val="20"/>
                <w:szCs w:val="20"/>
                <w:color w:val="auto"/>
                <w:w w:val="97"/>
              </w:rPr>
              <w:t>6.05, 11.02</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9.02</w:t>
            </w:r>
          </w:p>
        </w:tc>
        <w:tc>
          <w:tcPr>
            <w:tcW w:w="40" w:type="dxa"/>
            <w:vAlign w:val="bottom"/>
          </w:tcPr>
          <w:p>
            <w:pPr>
              <w:spacing w:after="0"/>
              <w:rPr>
                <w:sz w:val="24"/>
                <w:szCs w:val="24"/>
                <w:color w:val="auto"/>
              </w:rPr>
            </w:pPr>
          </w:p>
        </w:tc>
      </w:tr>
      <w:tr>
        <w:trPr>
          <w:trHeight w:val="297"/>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317(a)</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6.03</w:t>
            </w:r>
          </w:p>
        </w:tc>
        <w:tc>
          <w:tcPr>
            <w:tcW w:w="40" w:type="dxa"/>
            <w:vAlign w:val="bottom"/>
          </w:tcPr>
          <w:p>
            <w:pPr>
              <w:spacing w:after="0"/>
              <w:rPr>
                <w:sz w:val="24"/>
                <w:szCs w:val="24"/>
                <w:color w:val="auto"/>
              </w:rPr>
            </w:pPr>
          </w:p>
        </w:tc>
      </w:tr>
      <w:tr>
        <w:trPr>
          <w:trHeight w:val="29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5.05</w:t>
            </w:r>
          </w:p>
        </w:tc>
        <w:tc>
          <w:tcPr>
            <w:tcW w:w="40" w:type="dxa"/>
            <w:vAlign w:val="bottom"/>
          </w:tcPr>
          <w:p>
            <w:pPr>
              <w:spacing w:after="0"/>
              <w:rPr>
                <w:sz w:val="24"/>
                <w:szCs w:val="24"/>
                <w:color w:val="auto"/>
              </w:rPr>
            </w:pPr>
          </w:p>
        </w:tc>
      </w:tr>
      <w:tr>
        <w:trPr>
          <w:trHeight w:val="297"/>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318(a)</w:t>
            </w:r>
          </w:p>
        </w:tc>
        <w:tc>
          <w:tcPr>
            <w:tcW w:w="6440" w:type="dxa"/>
            <w:vAlign w:val="bottom"/>
            <w:gridSpan w:val="2"/>
          </w:tcPr>
          <w:p>
            <w:pPr>
              <w:jc w:val="center"/>
              <w:ind w:left="4961"/>
              <w:spacing w:after="0"/>
              <w:rPr>
                <w:sz w:val="20"/>
                <w:szCs w:val="20"/>
                <w:color w:val="auto"/>
              </w:rPr>
            </w:pPr>
            <w:r>
              <w:rPr>
                <w:rFonts w:ascii="Times New Roman" w:cs="Times New Roman" w:eastAsia="Times New Roman" w:hAnsi="Times New Roman"/>
                <w:sz w:val="20"/>
                <w:szCs w:val="20"/>
                <w:color w:val="auto"/>
                <w:w w:val="97"/>
              </w:rPr>
              <w:t>1.08</w:t>
            </w:r>
          </w:p>
        </w:tc>
        <w:tc>
          <w:tcPr>
            <w:tcW w:w="4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 means not applicable.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This Cross-Reference Table shall not, for any purpose, be deemed to be a part of this Indenture.</w:t>
      </w:r>
    </w:p>
    <w:p>
      <w:pPr>
        <w:sectPr>
          <w:pgSz w:w="11900" w:h="16838" w:orient="portrait"/>
          <w:cols w:equalWidth="0" w:num="1">
            <w:col w:w="10139"/>
          </w:cols>
          <w:pgMar w:left="320" w:top="1395" w:right="1440" w:bottom="10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39"/>
          </w:cols>
          <w:pgMar w:left="320" w:top="1395" w:right="1440" w:bottom="1023"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80" w:type="dxa"/>
            <w:vAlign w:val="bottom"/>
            <w:gridSpan w:val="3"/>
          </w:tcPr>
          <w:p>
            <w:pPr>
              <w:ind w:left="34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0"/>
        </w:trPr>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281"/>
        </w:trPr>
        <w:tc>
          <w:tcPr>
            <w:tcW w:w="8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  DEFINITIONS AND OTHER PROVISIONS OF GENERAL APPLICATION</w:t>
            </w:r>
          </w:p>
        </w:tc>
        <w:tc>
          <w:tcPr>
            <w:tcW w:w="16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1.01</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Definitions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1.02</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Other Definitions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1.03</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Compliance Certificates and Opinions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1.04</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Documents Delivered to Trustee</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1.05</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Notices to the Trustee, the Company and Holders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1.06</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Communications with Holders; Waiver of Notice</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1.07</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Incorporation by Reference of the Trust Indenture Act</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1.08</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Trust Indenture Act Controls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1.09</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Separability Clause</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1.10</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Benefits of Indenture</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7"/>
        </w:trPr>
        <w:tc>
          <w:tcPr>
            <w:tcW w:w="320" w:type="dxa"/>
            <w:vAlign w:val="bottom"/>
          </w:tcPr>
          <w:p>
            <w:pPr>
              <w:spacing w:after="0"/>
              <w:rPr>
                <w:sz w:val="22"/>
                <w:szCs w:val="22"/>
                <w:color w:val="auto"/>
              </w:rPr>
            </w:pPr>
          </w:p>
        </w:tc>
        <w:tc>
          <w:tcPr>
            <w:tcW w:w="796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1.11  Governing Law; Submission to Jurisdiction; Jury Trial Waiver</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1.12</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Legal Holidays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1.13</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Electronic Signatures and Counterparts.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1.14</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No Adverse Interpretation of Other Agreements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1.15</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Rules of Construction</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1.16</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U.S.A. PATRIOT Act</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79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SECURITY FORMS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2.01</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Forms Generally</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2.02</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Trustee’s Certificate of Authentication</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2.03</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Forms of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2.04</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Book-Entry Provisions for Global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III.</w:t>
            </w:r>
          </w:p>
        </w:tc>
        <w:tc>
          <w:tcPr>
            <w:tcW w:w="7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THE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3.01</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Amount Unlimited; Issuable in Series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3.02</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Denominations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3.03</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Execution, Authentication, Delivery and Dating</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3.04</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Temporary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3.05</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Registration; Registration of Transfer and Exchange</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3.06</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Mutilated, Destroyed, Lost and Stolen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3.07</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Payment of Interest; Interest Rights Preserved</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3.08</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Persons Deemed Owners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3.09</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Cancellation</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3.10</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Computation of Interest; Calculations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320" w:type="dxa"/>
            <w:vAlign w:val="bottom"/>
          </w:tcPr>
          <w:p>
            <w:pPr>
              <w:spacing w:after="0"/>
              <w:rPr>
                <w:sz w:val="22"/>
                <w:szCs w:val="22"/>
                <w:color w:val="auto"/>
              </w:rPr>
            </w:pPr>
          </w:p>
        </w:tc>
        <w:tc>
          <w:tcPr>
            <w:tcW w:w="796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3.11  CUSIP Numbers, ISINs and Common Code Numbers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IV.</w:t>
            </w:r>
          </w:p>
        </w:tc>
        <w:tc>
          <w:tcPr>
            <w:tcW w:w="7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REDEMPTION OF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4.01</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Applicability of Right of Redemption</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4.02</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Election to Redeem; Notice of Redemption; Partial Redemption</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4.03</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Payment of Securities Called for Redemption</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4.04</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Deposit of Funds for Redemption of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4.05</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Mandatory Redemption</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4.06</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Other Transactions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V.</w:t>
            </w:r>
          </w:p>
        </w:tc>
        <w:tc>
          <w:tcPr>
            <w:tcW w:w="79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PARTICULAR COVENANTS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8"/>
        </w:trPr>
        <w:tc>
          <w:tcPr>
            <w:tcW w:w="320" w:type="dxa"/>
            <w:vAlign w:val="bottom"/>
          </w:tcPr>
          <w:p>
            <w:pPr>
              <w:spacing w:after="0"/>
              <w:rPr>
                <w:sz w:val="22"/>
                <w:szCs w:val="2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5.01</w:t>
            </w: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Payments of Principal, Premium, if any, and Interest, if any</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r>
    </w:tbl>
    <w:p>
      <w:pPr>
        <w:spacing w:after="0" w:line="200" w:lineRule="exact"/>
        <w:rPr>
          <w:sz w:val="20"/>
          <w:szCs w:val="20"/>
          <w:color w:val="auto"/>
        </w:rPr>
      </w:pPr>
    </w:p>
    <w:p>
      <w:pPr>
        <w:sectPr>
          <w:pgSz w:w="11900" w:h="16838" w:orient="portrait"/>
          <w:cols w:equalWidth="0" w:num="1">
            <w:col w:w="10560"/>
          </w:cols>
          <w:pgMar w:left="340" w:top="139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0560"/>
          </w:cols>
          <w:pgMar w:left="340" w:top="1395" w:right="999" w:bottom="1440" w:gutter="0" w:footer="0" w:header="0"/>
          <w:type w:val="continuous"/>
        </w:sectPr>
      </w:pPr>
    </w:p>
    <w:bookmarkStart w:id="43" w:name="page44"/>
    <w:bookmarkEnd w:id="4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5.02</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Office or Agency for Certain Purposes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5.03</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Waiver of Certain Covenants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5.04</w:t>
            </w:r>
          </w:p>
        </w:tc>
        <w:tc>
          <w:tcPr>
            <w:tcW w:w="7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Appointments to Fill Vacancies in Trustee’s Office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5.05</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Provisions as to Paying Agent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5.06</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Statement by Officers as to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6"/>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VI.</w:t>
            </w: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REMEDIES OF THE TRUSTEE AND HOLDERS ON EVENT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6.01</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Events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6.02</w:t>
            </w:r>
          </w:p>
        </w:tc>
        <w:tc>
          <w:tcPr>
            <w:tcW w:w="7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Acceleration of Maturity; Rescission and Annulment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6.03</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Collection of Indebtedness by Trustee; Trustee May Prove Debt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6.04</w:t>
            </w:r>
          </w:p>
        </w:tc>
        <w:tc>
          <w:tcPr>
            <w:tcW w:w="7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Application of Proceeds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6.05</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Limitations on Suits by 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6.06</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Powers and Remedies Cumulative; Delay or Omission Not Waiver</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6.07</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Control by Holders; Waiver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6.08</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Undertaking for Costs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6"/>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VII.</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CONCERNING THE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7.01</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Duties and Responsibilities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7.02</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 of Defaults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7.03</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Rights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7.04</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Trustee Not Responsible for Recitals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7.05</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Trustee and Others May Hold Securities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7.06</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Moneys Held by Trustee or Paying Agent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7.07</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Compensation of Trustee and Its Lien</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7.08</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Right of Trustee to Rely on Certificate of Certain Officers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7.09</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Persons Eligible for Appointment As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7.10</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Resignation and Removal of Trustee; Appointment of Successor</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400" w:type="dxa"/>
            <w:vAlign w:val="bottom"/>
          </w:tcPr>
          <w:p>
            <w:pPr>
              <w:spacing w:after="0"/>
              <w:rPr>
                <w:sz w:val="22"/>
                <w:szCs w:val="22"/>
                <w:color w:val="auto"/>
              </w:rPr>
            </w:pPr>
          </w:p>
        </w:tc>
        <w:tc>
          <w:tcPr>
            <w:tcW w:w="8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7.11  Acceptance of Appointment by Successor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7.12</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Merger, Conversion or Consolidation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7.13</w:t>
            </w:r>
          </w:p>
        </w:tc>
        <w:tc>
          <w:tcPr>
            <w:tcW w:w="7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Authenticating Agents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7.14</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Preferential Collection of Claims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6"/>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w w:val="96"/>
              </w:rPr>
              <w:t>VIII.</w:t>
            </w:r>
          </w:p>
        </w:tc>
        <w:tc>
          <w:tcPr>
            <w:tcW w:w="81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HOLDERS LISTS AND REPORTS BY TRUSTEE AND COMPANY</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8.01</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Company to Furnish Trustee Names and Addresses of 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8.02</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Reports by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8.03</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Reports by the Company</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6"/>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IX.</w:t>
            </w: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CONCERNING THE 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9.01</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Evidence of Action Taken by 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7"/>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9.02</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Proof of Execution of Instruments and of Holding of Securities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9.03</w:t>
            </w:r>
          </w:p>
        </w:tc>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Right of Revocation of Action Taken</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7"/>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X.</w:t>
            </w: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HOLDERS’ MEETINGS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40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10.01</w:t>
            </w: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Rules for Meetings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7"/>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XI.</w:t>
            </w: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SUPPLEMENTAL INDENTURES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400" w:type="dxa"/>
            <w:vAlign w:val="bottom"/>
          </w:tcPr>
          <w:p>
            <w:pPr>
              <w:spacing w:after="0"/>
              <w:rPr>
                <w:sz w:val="22"/>
                <w:szCs w:val="22"/>
                <w:color w:val="auto"/>
              </w:rPr>
            </w:pPr>
          </w:p>
        </w:tc>
        <w:tc>
          <w:tcPr>
            <w:tcW w:w="8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11.01  Supplemental Indentures Without Consent of 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400" w:type="dxa"/>
            <w:vAlign w:val="bottom"/>
          </w:tcPr>
          <w:p>
            <w:pPr>
              <w:spacing w:after="0"/>
              <w:rPr>
                <w:sz w:val="22"/>
                <w:szCs w:val="22"/>
                <w:color w:val="auto"/>
              </w:rPr>
            </w:pPr>
          </w:p>
        </w:tc>
        <w:tc>
          <w:tcPr>
            <w:tcW w:w="8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11.02  Supplemental Indentures With Consent of 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6"/>
        </w:trPr>
        <w:tc>
          <w:tcPr>
            <w:tcW w:w="400" w:type="dxa"/>
            <w:vAlign w:val="bottom"/>
          </w:tcPr>
          <w:p>
            <w:pPr>
              <w:spacing w:after="0"/>
              <w:rPr>
                <w:sz w:val="22"/>
                <w:szCs w:val="22"/>
                <w:color w:val="auto"/>
              </w:rPr>
            </w:pPr>
          </w:p>
        </w:tc>
        <w:tc>
          <w:tcPr>
            <w:tcW w:w="8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11.03  Effect of Supplemental Indentures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6"/>
        </w:trPr>
        <w:tc>
          <w:tcPr>
            <w:tcW w:w="400" w:type="dxa"/>
            <w:vAlign w:val="bottom"/>
          </w:tcPr>
          <w:p>
            <w:pPr>
              <w:spacing w:after="0"/>
              <w:rPr>
                <w:sz w:val="22"/>
                <w:szCs w:val="22"/>
                <w:color w:val="auto"/>
              </w:rPr>
            </w:pPr>
          </w:p>
        </w:tc>
        <w:tc>
          <w:tcPr>
            <w:tcW w:w="8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11.04  Notation on Securities in Respect of Supplemental Indentures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8"/>
        </w:trPr>
        <w:tc>
          <w:tcPr>
            <w:tcW w:w="400" w:type="dxa"/>
            <w:vAlign w:val="bottom"/>
          </w:tcPr>
          <w:p>
            <w:pPr>
              <w:spacing w:after="0"/>
              <w:rPr>
                <w:sz w:val="22"/>
                <w:szCs w:val="22"/>
                <w:color w:val="auto"/>
              </w:rPr>
            </w:pPr>
          </w:p>
        </w:tc>
        <w:tc>
          <w:tcPr>
            <w:tcW w:w="81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11.05  Opinion of Counsel and Officer’s Certificate to Be Given to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bl>
    <w:p>
      <w:pPr>
        <w:spacing w:after="0" w:line="200" w:lineRule="exact"/>
        <w:rPr>
          <w:sz w:val="20"/>
          <w:szCs w:val="20"/>
          <w:color w:val="auto"/>
        </w:rPr>
      </w:pPr>
    </w:p>
    <w:p>
      <w:pPr>
        <w:sectPr>
          <w:pgSz w:w="11900" w:h="16838" w:orient="portrait"/>
          <w:cols w:equalWidth="0" w:num="1">
            <w:col w:w="10560"/>
          </w:cols>
          <w:pgMar w:left="34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560"/>
          </w:cols>
          <w:pgMar w:left="340" w:top="1440" w:right="999" w:bottom="1440" w:gutter="0" w:footer="0" w:header="0"/>
          <w:type w:val="continuous"/>
        </w:sectPr>
      </w:pPr>
    </w:p>
    <w:bookmarkStart w:id="44" w:name="page45"/>
    <w:bookmarkEnd w:id="44"/>
    <w:p>
      <w:pPr>
        <w:spacing w:after="0" w:line="14" w:lineRule="exact"/>
        <w:rPr>
          <w:sz w:val="20"/>
          <w:szCs w:val="20"/>
          <w:color w:val="auto"/>
        </w:rPr>
      </w:pPr>
    </w:p>
    <w:tbl>
      <w:tblPr>
        <w:tblLayout w:type="fixed"/>
        <w:tblInd w:w="12" w:type="dxa"/>
        <w:tblCellMar>
          <w:top w:w="0" w:type="dxa"/>
          <w:left w:w="0" w:type="dxa"/>
          <w:bottom w:w="0" w:type="dxa"/>
          <w:right w:w="0" w:type="dxa"/>
        </w:tblCellMar>
      </w:tblP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XII.</w:t>
            </w:r>
          </w:p>
        </w:tc>
        <w:tc>
          <w:tcPr>
            <w:tcW w:w="8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CONSOLIDATION, MERGER AND SALE</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6"/>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12.01</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Company May Consolidate or Merge, Etc.</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7"/>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12.02</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Conditions to the Company’s Consolidation or Merger, Etc.</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7"/>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12.03</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Documents and Opinion to Be Furnished to the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03"/>
        </w:trPr>
        <w:tc>
          <w:tcPr>
            <w:tcW w:w="4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XIII.</w:t>
            </w:r>
          </w:p>
        </w:tc>
        <w:tc>
          <w:tcPr>
            <w:tcW w:w="814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20"/>
                <w:szCs w:val="20"/>
                <w:color w:val="auto"/>
              </w:rPr>
              <w:t>SATISFACTION AND DISCHARGE OF INDENTURE;</w:t>
            </w:r>
          </w:p>
        </w:tc>
        <w:tc>
          <w:tcPr>
            <w:tcW w:w="19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48</w:t>
            </w:r>
          </w:p>
        </w:tc>
      </w:tr>
      <w:tr>
        <w:trPr>
          <w:trHeight w:val="243"/>
        </w:trPr>
        <w:tc>
          <w:tcPr>
            <w:tcW w:w="460" w:type="dxa"/>
            <w:vAlign w:val="bottom"/>
          </w:tcPr>
          <w:p>
            <w:pPr>
              <w:spacing w:after="0"/>
              <w:rPr>
                <w:sz w:val="21"/>
                <w:szCs w:val="21"/>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DEFEASANCE; UNCLAIMED MONEYS</w:t>
            </w:r>
          </w:p>
        </w:tc>
        <w:tc>
          <w:tcPr>
            <w:tcW w:w="1960" w:type="dxa"/>
            <w:vAlign w:val="bottom"/>
          </w:tcPr>
          <w:p>
            <w:pPr>
              <w:spacing w:after="0"/>
              <w:rPr>
                <w:sz w:val="21"/>
                <w:szCs w:val="21"/>
                <w:color w:val="auto"/>
              </w:rPr>
            </w:pPr>
          </w:p>
        </w:tc>
      </w:tr>
      <w:tr>
        <w:trPr>
          <w:trHeight w:val="256"/>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13.01</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7"/>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13.02</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Defeasance and Covenant Defeasance</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7"/>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13.03</w:t>
            </w:r>
          </w:p>
        </w:tc>
        <w:tc>
          <w:tcPr>
            <w:tcW w:w="7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Application by Trustee of Funds Deposited for Payment of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13.04</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Repayment of Moneys Held by Paying Agent</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13.05</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Return of Unclaimed Moneys</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13.06</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Reinstatement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03"/>
        </w:trPr>
        <w:tc>
          <w:tcPr>
            <w:tcW w:w="4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XIV.</w:t>
            </w:r>
          </w:p>
        </w:tc>
        <w:tc>
          <w:tcPr>
            <w:tcW w:w="814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20"/>
                <w:szCs w:val="20"/>
                <w:color w:val="auto"/>
              </w:rPr>
              <w:t>IMMUNITY OF INCORPORATORS, STOCKHOLDERS,</w:t>
            </w:r>
          </w:p>
        </w:tc>
        <w:tc>
          <w:tcPr>
            <w:tcW w:w="19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54</w:t>
            </w:r>
          </w:p>
        </w:tc>
      </w:tr>
      <w:tr>
        <w:trPr>
          <w:trHeight w:val="243"/>
        </w:trPr>
        <w:tc>
          <w:tcPr>
            <w:tcW w:w="460" w:type="dxa"/>
            <w:vAlign w:val="bottom"/>
          </w:tcPr>
          <w:p>
            <w:pPr>
              <w:spacing w:after="0"/>
              <w:rPr>
                <w:sz w:val="21"/>
                <w:szCs w:val="21"/>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OFFICERS AND DIRECTORS</w:t>
            </w:r>
          </w:p>
        </w:tc>
        <w:tc>
          <w:tcPr>
            <w:tcW w:w="1960" w:type="dxa"/>
            <w:vAlign w:val="bottom"/>
          </w:tcPr>
          <w:p>
            <w:pPr>
              <w:spacing w:after="0"/>
              <w:rPr>
                <w:sz w:val="21"/>
                <w:szCs w:val="21"/>
                <w:color w:val="auto"/>
              </w:rPr>
            </w:pPr>
          </w:p>
        </w:tc>
      </w:tr>
      <w:tr>
        <w:trPr>
          <w:trHeight w:val="258"/>
        </w:trPr>
        <w:tc>
          <w:tcPr>
            <w:tcW w:w="4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14.01</w:t>
            </w:r>
          </w:p>
        </w:tc>
        <w:tc>
          <w:tcPr>
            <w:tcW w:w="7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Personal Immunity from Liability of Incorporators, Stockholders, Etc.</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bl>
    <w:p>
      <w:pPr>
        <w:spacing w:after="0" w:line="200" w:lineRule="exact"/>
        <w:rPr>
          <w:sz w:val="20"/>
          <w:szCs w:val="20"/>
          <w:color w:val="auto"/>
        </w:rPr>
      </w:pPr>
    </w:p>
    <w:p>
      <w:pPr>
        <w:spacing w:after="0" w:line="338" w:lineRule="exact"/>
        <w:rPr>
          <w:sz w:val="20"/>
          <w:szCs w:val="20"/>
          <w:color w:val="auto"/>
        </w:rPr>
      </w:pPr>
    </w:p>
    <w:p>
      <w:pPr>
        <w:ind w:left="352" w:hanging="352"/>
        <w:spacing w:after="0"/>
        <w:tabs>
          <w:tab w:leader="none" w:pos="35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Table of Contents is not a part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572"/>
          </w:cols>
          <w:pgMar w:left="328" w:top="1440" w:right="99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9"/>
          <w:szCs w:val="19"/>
          <w:b w:val="1"/>
          <w:bCs w:val="1"/>
          <w:color w:val="auto"/>
        </w:rPr>
        <w:t>INDENTURE</w:t>
      </w:r>
      <w:r>
        <w:rPr>
          <w:rFonts w:ascii="Times New Roman" w:cs="Times New Roman" w:eastAsia="Times New Roman" w:hAnsi="Times New Roman"/>
          <w:sz w:val="19"/>
          <w:szCs w:val="19"/>
          <w:color w:val="auto"/>
        </w:rPr>
        <w:t>, dated as of October 28, 2026, between Commvault Systems,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Trust Company, National Association, as trustee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3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duly authorized the execution and delivery of this Indenture to provide for the issuance from time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of its debt securities to be issued in one or more series as provided in this Indenture (hereinafter called the “</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all things necessary to make this Indenture a valid and legally binding agreement of the Company,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terms, have been done; and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Trustee has the power to enter into this Indenture and to accept and perform its duties as herein created.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each party agrees as follows for the benefit of the other parties and for the equal and ratable benefit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Holders of the Securities:</w:t>
      </w:r>
    </w:p>
    <w:p>
      <w:pPr>
        <w:spacing w:after="0" w:line="203" w:lineRule="exact"/>
        <w:rPr>
          <w:sz w:val="20"/>
          <w:szCs w:val="20"/>
          <w:color w:val="auto"/>
        </w:rPr>
      </w:pPr>
    </w:p>
    <w:p>
      <w:pPr>
        <w:ind w:left="2160" w:hanging="324"/>
        <w:spacing w:after="0"/>
        <w:tabs>
          <w:tab w:leader="none" w:pos="216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OTHER PROVISIONS OF GENERAL APPLICATION</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of any specified Person means any other Person directly or indirectly controlling or controlled by or under direct or indirect common control with such specified Person. For the purposes of this definition,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to the foregoing.</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Procedures</w:t>
      </w:r>
      <w:r>
        <w:rPr>
          <w:rFonts w:ascii="Times New Roman" w:cs="Times New Roman" w:eastAsia="Times New Roman" w:hAnsi="Times New Roman"/>
          <w:sz w:val="20"/>
          <w:szCs w:val="20"/>
          <w:color w:val="auto"/>
        </w:rPr>
        <w:t>” means, with respect to any payment, tender, redemption, transfer, exchange, conversion or other corporate action of or for beneficial interests in any Global Security, the rules and procedures of the Depositary that apply to such payment, tender, redemption, transfer, exchange, conversion or other corporate action.</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Authenticating Agent</w:t>
      </w:r>
      <w:r>
        <w:rPr>
          <w:rFonts w:ascii="Times New Roman" w:cs="Times New Roman" w:eastAsia="Times New Roman" w:hAnsi="Times New Roman"/>
          <w:sz w:val="20"/>
          <w:szCs w:val="20"/>
          <w:color w:val="auto"/>
        </w:rPr>
        <w:t xml:space="preserve">” means any agent of the Trustee that at any time shall be appointed and acting pursuant to the provisions of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Authorized Officer</w:t>
      </w:r>
      <w:r>
        <w:rPr>
          <w:rFonts w:ascii="Times New Roman" w:cs="Times New Roman" w:eastAsia="Times New Roman" w:hAnsi="Times New Roman"/>
          <w:sz w:val="20"/>
          <w:szCs w:val="20"/>
          <w:color w:val="auto"/>
        </w:rPr>
        <w:t>” means the Chief Executive Officer, the President, the Chief Financial Officer, the Chief Legal and Trust Officer, any Executive Vice President, Senior Vice President or Vice President, the Treasurer or Corporate Treasurer, any Assistant Treasurer or Assistant Corporate Treasurer, the Controller or Corporate Controller, any Assistant Controller or Assistant Corporate Controller, the Secretary or any Assistant Secretary of the Company, and any other person designated by the Chief Executive Officer, the Chief Financial Officer, the Chief Legal and Trust Officer, the Secretary or any Assistant Secretary of the Company.</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as to any Person, the board of directors or managers, sole member or managing member or other governing body, as applicable, of such Person or any duly authorized committee thereof or any officers duly authorized so to act.</w:t>
      </w:r>
    </w:p>
    <w:p>
      <w:pPr>
        <w:sectPr>
          <w:pgSz w:w="11900" w:h="16838" w:orient="portrait"/>
          <w:cols w:equalWidth="0" w:num="1">
            <w:col w:w="11240"/>
          </w:cols>
          <w:pgMar w:left="320" w:top="1409" w:right="339" w:bottom="1440" w:gutter="0" w:footer="0" w:header="0"/>
        </w:sectPr>
      </w:pPr>
    </w:p>
    <w:bookmarkStart w:id="46" w:name="page47"/>
    <w:bookmarkEnd w:id="46"/>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Resolution</w:t>
      </w:r>
      <w:r>
        <w:rPr>
          <w:rFonts w:ascii="Times New Roman" w:cs="Times New Roman" w:eastAsia="Times New Roman" w:hAnsi="Times New Roman"/>
          <w:sz w:val="20"/>
          <w:szCs w:val="20"/>
          <w:color w:val="auto"/>
        </w:rPr>
        <w:t>” means a copy of a resolution or resolutions certified by the Secretary, an Assistant Secretary or by another appropriate officer or authorized natural person of such Person, as the case may be, to have been duly adopted by the Board of Directors and to be in force and effect on the date of such certification.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Legal Holiday.</w:t>
      </w:r>
    </w:p>
    <w:p>
      <w:pPr>
        <w:spacing w:after="0" w:line="216"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means the U.S. Securities and Exchange Commission, as from time to time constituted, created under the Exchange Act or, if at any time after the execution and delivery of this Indenture such Commission is not existing and performing the duties now assigned to it under the Trust Indenture Act, then the body performing such duties at such time.</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the corporation named as the “Company” in the first paragraph of this Indenture until a successor Person shall have become such pursuant to the applicable provisions of this Indenture, and thereafter “Company” shall mean such successor Person.</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Trust Office</w:t>
      </w:r>
      <w:r>
        <w:rPr>
          <w:rFonts w:ascii="Times New Roman" w:cs="Times New Roman" w:eastAsia="Times New Roman" w:hAnsi="Times New Roman"/>
          <w:sz w:val="20"/>
          <w:szCs w:val="20"/>
          <w:color w:val="auto"/>
        </w:rPr>
        <w:t>” means the principal office of the Trustee at which at any time its corporate trust business in respect of this Indenture shall be administered, which office at the date hereof is located at 2 Concourse Parkway NE, Suite 800, Atlanta, GA 30328, Attention: Global Corporate Trust – Commvault Notes Administrator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includes corporations, limited liability companies, partnerships, associations, companies and business trusts.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securities</w:t>
      </w:r>
      <w:r>
        <w:rPr>
          <w:rFonts w:ascii="Times New Roman" w:cs="Times New Roman" w:eastAsia="Times New Roman" w:hAnsi="Times New Roman"/>
          <w:sz w:val="20"/>
          <w:szCs w:val="20"/>
          <w:color w:val="auto"/>
        </w:rPr>
        <w:t>” means notes, bonds, debentures or other similar evidences of indebtedness for borrowed money.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xml:space="preserve">” means, with respect to the Securities of any series, any event which is, or after notice or lapse of time or both would become, an Event of Default with respect to Securities of such series;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any default that results solely from the taking of an action that would have been permitted but for the continuation of a previous default will be deemed to be cured if such previous default is cured prior to becoming an Event of Default.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Depositary</w:t>
      </w:r>
      <w:r>
        <w:rPr>
          <w:rFonts w:ascii="Times New Roman" w:cs="Times New Roman" w:eastAsia="Times New Roman" w:hAnsi="Times New Roman"/>
          <w:sz w:val="20"/>
          <w:szCs w:val="20"/>
          <w:color w:val="auto"/>
        </w:rPr>
        <w:t xml:space="preserve">” means, with respect to the Securities of any series issuable or issued in whole or part in the form of one or more Global Securities, the Person designated as Depositary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Depositary Custodian</w:t>
      </w:r>
      <w:r>
        <w:rPr>
          <w:rFonts w:ascii="Times New Roman" w:cs="Times New Roman" w:eastAsia="Times New Roman" w:hAnsi="Times New Roman"/>
          <w:sz w:val="20"/>
          <w:szCs w:val="20"/>
          <w:color w:val="auto"/>
        </w:rPr>
        <w:t>” means the Trustee as custodian with respect to the Global Securities or any successor entity thereto.</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 the coin or currency of the United States that, at the time of payment, is legal tender for the payment of public and private debts.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Currency</w:t>
      </w:r>
      <w:r>
        <w:rPr>
          <w:rFonts w:ascii="Times New Roman" w:cs="Times New Roman" w:eastAsia="Times New Roman" w:hAnsi="Times New Roman"/>
          <w:sz w:val="20"/>
          <w:szCs w:val="20"/>
          <w:color w:val="auto"/>
        </w:rPr>
        <w:t>” means a currency issued by the government of any country other than the United States of America.</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means, unless otherwise specified with respect to any Securities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accounting principles as are generally accepted in the United States as of the date or time of any computation required hereunder.</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Security</w:t>
      </w:r>
      <w:r>
        <w:rPr>
          <w:rFonts w:ascii="Times New Roman" w:cs="Times New Roman" w:eastAsia="Times New Roman" w:hAnsi="Times New Roman"/>
          <w:sz w:val="20"/>
          <w:szCs w:val="20"/>
          <w:color w:val="auto"/>
        </w:rPr>
        <w:t xml:space="preserve">” means a Security evidencing all or part of a series of Securities issued to the Depositary for such series in accordance with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 Obligations</w:t>
      </w:r>
      <w:r>
        <w:rPr>
          <w:rFonts w:ascii="Times New Roman" w:cs="Times New Roman" w:eastAsia="Times New Roman" w:hAnsi="Times New Roman"/>
          <w:sz w:val="19"/>
          <w:szCs w:val="19"/>
          <w:color w:val="auto"/>
        </w:rPr>
        <w:t xml:space="preserve">” means securities that are (i) direct obligations of the United States or the other government or governments in the confederation that issued the Foreign Currency in which the principal of, or any premium or interest on, the relevant Security shall be payable, in each case where the payment or payments thereunder are supported by the full faith and credit of such government or governments or (ii) obligations of a Person controlled or supervised by and acting as an agency or instrumentality of the United States or such other government or governments, in each case where the timely payment or payments thereunder are unconditionally guaranteed as a full faith and credit obligation by the United States or such other government or governments, and which, in the case of clause (i) or (ii), are not callable or redeemable at the option of the issuer or issuers thereof, and shall also include a depository receipt issued by a bank or trust company as custodian with respect to any such Government Obligation or a specific payment of interest on, principal of or other amount with respect to any such Government Obligation held by such custodian for the account of the holder of a depository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or other amount with respect to the Government Obligation evidenced by such depository receipt.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means a Person in whose name such Security is registered in the Security Register.</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xml:space="preserve">” means this indenture as originally executed or as it may from time to time be supplemented or amended by one or more supplemental indentures entered into pursuant to the applicable provisions hereof and shall include the form and terms of particular series of Securities established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w:t>
      </w:r>
      <w:r>
        <w:rPr>
          <w:rFonts w:ascii="Times New Roman" w:cs="Times New Roman" w:eastAsia="Times New Roman" w:hAnsi="Times New Roman"/>
          <w:sz w:val="20"/>
          <w:szCs w:val="20"/>
          <w:color w:val="auto"/>
        </w:rPr>
        <w:t>,” when used with respect to an Original Issue Discount Security that by its terms bears interest only after maturity, means interest payable after maturity.</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when used with respect to any Security, means the Stated Maturity of an installment of interest on such Security.</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Holiday</w:t>
      </w:r>
      <w:r>
        <w:rPr>
          <w:rFonts w:ascii="Times New Roman" w:cs="Times New Roman" w:eastAsia="Times New Roman" w:hAnsi="Times New Roman"/>
          <w:sz w:val="20"/>
          <w:szCs w:val="20"/>
          <w:color w:val="auto"/>
        </w:rPr>
        <w:t>” means a Saturday, a Sunday or a day on which banking institutions in the City of New York are authorized or required by law, regulation or executive order to remain closed.</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w:t>
      </w:r>
      <w:r>
        <w:rPr>
          <w:rFonts w:ascii="Times New Roman" w:cs="Times New Roman" w:eastAsia="Times New Roman" w:hAnsi="Times New Roman"/>
          <w:sz w:val="20"/>
          <w:szCs w:val="20"/>
          <w:color w:val="auto"/>
        </w:rPr>
        <w:t>,” when used with respect to any Security, means the date on which the principal (or a portion thereof) of such Security becomes due and payable as therein or herein provided, whether at Stated Maturity or by declaration of acceleration, notice of redemption or otherwise.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 Certificate</w:t>
      </w:r>
      <w:r>
        <w:rPr>
          <w:rFonts w:ascii="Times New Roman" w:cs="Times New Roman" w:eastAsia="Times New Roman" w:hAnsi="Times New Roman"/>
          <w:sz w:val="20"/>
          <w:szCs w:val="20"/>
          <w:color w:val="auto"/>
        </w:rPr>
        <w:t>” means a certificate signed by an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48" w:name="page49"/>
    <w:bookmarkEnd w:id="48"/>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Opinion of Counsel</w:t>
      </w:r>
      <w:r>
        <w:rPr>
          <w:rFonts w:ascii="Times New Roman" w:cs="Times New Roman" w:eastAsia="Times New Roman" w:hAnsi="Times New Roman"/>
          <w:sz w:val="20"/>
          <w:szCs w:val="20"/>
          <w:color w:val="auto"/>
        </w:rPr>
        <w:t>” means a written opinion of counsel, who may be counsel for or an employee of the Company, and who is reasonably acceptable to the Trustee.</w:t>
      </w:r>
    </w:p>
    <w:p>
      <w:pPr>
        <w:spacing w:after="0" w:line="13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Original Issue Discount Security</w:t>
      </w:r>
      <w:r>
        <w:rPr>
          <w:rFonts w:ascii="Times New Roman" w:cs="Times New Roman" w:eastAsia="Times New Roman" w:hAnsi="Times New Roman"/>
          <w:sz w:val="20"/>
          <w:szCs w:val="20"/>
          <w:color w:val="auto"/>
        </w:rPr>
        <w:t xml:space="preserve">” means any Security that provides for an amount less than the principal amount thereof to be due and payable upon a declaration of acceleration of the maturity thereof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Outstanding</w:t>
      </w:r>
      <w:r>
        <w:rPr>
          <w:rFonts w:ascii="Times New Roman" w:cs="Times New Roman" w:eastAsia="Times New Roman" w:hAnsi="Times New Roman"/>
          <w:sz w:val="20"/>
          <w:szCs w:val="20"/>
          <w:color w:val="auto"/>
        </w:rPr>
        <w:t>,” when used with reference to Securities, means, as of any particular time, all Securities authenticated and delivered by the Trustee under this Indenture, except:</w:t>
      </w:r>
    </w:p>
    <w:p>
      <w:pPr>
        <w:spacing w:after="0" w:line="156" w:lineRule="exact"/>
        <w:rPr>
          <w:sz w:val="20"/>
          <w:szCs w:val="20"/>
          <w:color w:val="auto"/>
        </w:rPr>
      </w:pPr>
    </w:p>
    <w:p>
      <w:pPr>
        <w:ind w:left="1680" w:hanging="376"/>
        <w:spacing w:after="0"/>
        <w:tabs>
          <w:tab w:leader="none" w:pos="16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or portions thereof, theretofore cancelled by the Trustee or delivered to the Trustee for cancellation;</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2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Securities, or portions thereof, for the payment or redemption of which moneys or, as provided in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hereof, Government Obligations, as the case may be, in the necessary amount shall have been deposited in trust with the Trustee or with any Paying Agent (other than the Company) or shall have been set aside and segregated in trust by the Company (if the Company shall act as its own Paying Agent) (in each case, except as provided in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Securities are to be redeemed prior to the maturity thereof, notice of such redemption shall have been given as provided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provision satisfactory to the Trustee shall have been made for giving such notice;</w:t>
      </w:r>
    </w:p>
    <w:p>
      <w:pPr>
        <w:spacing w:after="0" w:line="192"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89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Securities in lieu of or in substitution for which other Securities shall have been duly authenticated and delivered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Securities paid pursuant to the third paragraph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and</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9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Securities exchanged for or converted into common stock, preferred stock or other equity securities pursuant to or in accordance with this Indenture if the terms of such Securities provide for exchangeability or convertibility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determining whether the Holders of the requisite principal amount of Outstanding Securities have taken any action, given any request, demand, authorization, direction, notice, consent or waiver hereunder or whether a quorum is present at a meeting of Holders; (A) the principal amount of an Original Issue Discount Security that shall be deemed to be Outstanding shall be the amount of the principal thereof that would be due and payable as of the date of such determination upon acceleration of the maturity thereof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(B) the principal amount of a Security denominated in one or more foreign currencies or currency units which shall be deemed to be Outstanding shall be the U.S. dollar equivalent, determined as of such date in the manner provided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of the principal amount of such Security; and (C)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that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49" w:name="page50"/>
    <w:bookmarkEnd w:id="49"/>
    <w:p>
      <w:pPr>
        <w:ind w:left="660" w:right="20"/>
        <w:spacing w:after="0" w:line="283" w:lineRule="auto"/>
        <w:rPr>
          <w:sz w:val="20"/>
          <w:szCs w:val="20"/>
          <w:color w:val="auto"/>
        </w:rPr>
      </w:pPr>
      <w:r>
        <w:rPr>
          <w:rFonts w:ascii="Times New Roman" w:cs="Times New Roman" w:eastAsia="Times New Roman" w:hAnsi="Times New Roman"/>
          <w:sz w:val="20"/>
          <w:szCs w:val="20"/>
          <w:color w:val="auto"/>
        </w:rPr>
        <w:t>as to such right, any decision by the Trustee, taken upon the advice of counsel, shall be entitled to protection pursuant to Section 315(d) of the Trust Indenture Act.</w:t>
      </w:r>
    </w:p>
    <w:p>
      <w:pPr>
        <w:spacing w:after="0" w:line="14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means any Person authorized (including any Affiliate) by the Company to pay the principal of, premium, if any, and interest, if any, on any Securities on behalf of the Company.</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a corporation, a limited liability company, a partnership, a trust, a joint venture, an association, a joint stock company, an unincorporated organization or a government or any agency or political subdivision thereof.</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Redemption Date</w:t>
      </w:r>
      <w:r>
        <w:rPr>
          <w:rFonts w:ascii="Times New Roman" w:cs="Times New Roman" w:eastAsia="Times New Roman" w:hAnsi="Times New Roman"/>
          <w:sz w:val="20"/>
          <w:szCs w:val="20"/>
          <w:color w:val="auto"/>
        </w:rPr>
        <w:t>,” when used with respect to any Security to be redeemed, in whole or in part, means the date fixed for such redemption by or pursuant to this Indenture or the terms of such Security, as applicable.</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Regular Record Date</w:t>
      </w:r>
      <w:r>
        <w:rPr>
          <w:rFonts w:ascii="Times New Roman" w:cs="Times New Roman" w:eastAsia="Times New Roman" w:hAnsi="Times New Roman"/>
          <w:sz w:val="20"/>
          <w:szCs w:val="20"/>
          <w:color w:val="auto"/>
        </w:rPr>
        <w:t xml:space="preserve">” for the interest payable on any Interest Payment Date on the Securities of any series means the day specified for that purpose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whether or not such day shall be a Business Day.</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when used with respect to the Trustee, means any vice president, assistant vice president, senior associate, associate or trust officer of the Trustee or any other officer of the Trustee customarily performing functions similar to those performed by any of the above designated officers who, in all cases, at the time shall have direct responsibility for the administration of this Indenture and also means, with respect to a particular corporate trust matter relating to this Indenture, any other officer to whom such matter is referred because of his or her knowledge of and familiarity with the particular subject.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means one or more, as the case may be, of the Company’s debt securities authenticated and delivered under this Indenture.</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Special Record Date</w:t>
      </w:r>
      <w:r>
        <w:rPr>
          <w:rFonts w:ascii="Times New Roman" w:cs="Times New Roman" w:eastAsia="Times New Roman" w:hAnsi="Times New Roman"/>
          <w:sz w:val="20"/>
          <w:szCs w:val="20"/>
          <w:color w:val="auto"/>
        </w:rPr>
        <w:t xml:space="preserve">” for the payment of any Defaulted Interest on the Securities of any series means a date fixed by the Company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Stated Maturity</w:t>
      </w:r>
      <w:r>
        <w:rPr>
          <w:rFonts w:ascii="Times New Roman" w:cs="Times New Roman" w:eastAsia="Times New Roman" w:hAnsi="Times New Roman"/>
          <w:sz w:val="20"/>
          <w:szCs w:val="20"/>
          <w:color w:val="auto"/>
        </w:rPr>
        <w:t>,” when used with respect to any Security or any installment of principal thereof or interest thereon, means the date specified in such Security as the fixed date on which the principal of such Security or such installment of principal or interest, as the case may be, is due and payable.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 includes any and all shares, interests, participations or other equivalents (however designated) of corporate stock.</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50% of the total voting power of the equity interests therein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 Indenture Act</w:t>
      </w:r>
      <w:r>
        <w:rPr>
          <w:rFonts w:ascii="Times New Roman" w:cs="Times New Roman" w:eastAsia="Times New Roman" w:hAnsi="Times New Roman"/>
          <w:sz w:val="20"/>
          <w:szCs w:val="20"/>
          <w:color w:val="auto"/>
        </w:rPr>
        <w:t>” means the U.S. Trust Indenture Act of 1939, as amended.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Title III of the Uniting and Strengthening America by Providing Appropriate Tools Required to Intercept and Obstruct Terrorism Act of 2001.</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47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1.02  Other Definitions</w:t>
            </w:r>
            <w:r>
              <w:rPr>
                <w:rFonts w:ascii="Times New Roman" w:cs="Times New Roman" w:eastAsia="Times New Roman" w:hAnsi="Times New Roman"/>
                <w:sz w:val="20"/>
                <w:szCs w:val="20"/>
                <w:color w:val="auto"/>
              </w:rPr>
              <w:t>.</w:t>
            </w:r>
          </w:p>
        </w:tc>
        <w:tc>
          <w:tcPr>
            <w:tcW w:w="25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51"/>
        </w:trPr>
        <w:tc>
          <w:tcPr>
            <w:tcW w:w="20" w:type="dxa"/>
            <w:vAlign w:val="bottom"/>
          </w:tcPr>
          <w:p>
            <w:pPr>
              <w:spacing w:after="0"/>
              <w:rPr>
                <w:sz w:val="21"/>
                <w:szCs w:val="21"/>
                <w:color w:val="auto"/>
              </w:rPr>
            </w:pPr>
          </w:p>
        </w:tc>
        <w:tc>
          <w:tcPr>
            <w:tcW w:w="46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Term</w:t>
            </w:r>
          </w:p>
        </w:tc>
        <w:tc>
          <w:tcPr>
            <w:tcW w:w="4200" w:type="dxa"/>
            <w:vAlign w:val="bottom"/>
            <w:gridSpan w:val="2"/>
          </w:tcPr>
          <w:p>
            <w:pPr>
              <w:ind w:left="2580"/>
              <w:spacing w:after="0" w:line="250" w:lineRule="exact"/>
              <w:rPr>
                <w:sz w:val="20"/>
                <w:szCs w:val="20"/>
                <w:color w:val="auto"/>
              </w:rPr>
            </w:pPr>
            <w:r>
              <w:rPr>
                <w:rFonts w:ascii="Times New Roman" w:cs="Times New Roman" w:eastAsia="Times New Roman" w:hAnsi="Times New Roman"/>
                <w:sz w:val="22"/>
                <w:szCs w:val="22"/>
                <w:color w:val="auto"/>
                <w:w w:val="96"/>
              </w:rPr>
              <w:t>Defined in Section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covenant defeasance</w:t>
            </w:r>
            <w:r>
              <w:rPr>
                <w:rFonts w:ascii="Times New Roman" w:cs="Times New Roman" w:eastAsia="Times New Roman" w:hAnsi="Times New Roman"/>
                <w:sz w:val="22"/>
                <w:szCs w:val="22"/>
                <w:color w:val="auto"/>
              </w:rPr>
              <w:t>”</w:t>
            </w:r>
          </w:p>
        </w:tc>
        <w:tc>
          <w:tcPr>
            <w:tcW w:w="25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13.02(c)</w:t>
            </w:r>
          </w:p>
        </w:tc>
      </w:tr>
      <w:tr>
        <w:trPr>
          <w:trHeight w:val="310"/>
        </w:trPr>
        <w:tc>
          <w:tcPr>
            <w:tcW w:w="20" w:type="dxa"/>
            <w:vAlign w:val="bottom"/>
          </w:tcPr>
          <w:p>
            <w:pPr>
              <w:spacing w:after="0"/>
              <w:rPr>
                <w:sz w:val="24"/>
                <w:szCs w:val="24"/>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Defaulted Interest</w:t>
            </w:r>
            <w:r>
              <w:rPr>
                <w:rFonts w:ascii="Times New Roman" w:cs="Times New Roman" w:eastAsia="Times New Roman" w:hAnsi="Times New Roman"/>
                <w:sz w:val="22"/>
                <w:szCs w:val="22"/>
                <w:color w:val="auto"/>
              </w:rPr>
              <w:t>”</w:t>
            </w:r>
          </w:p>
        </w:tc>
        <w:tc>
          <w:tcPr>
            <w:tcW w:w="4200" w:type="dxa"/>
            <w:vAlign w:val="bottom"/>
            <w:gridSpan w:val="2"/>
          </w:tcPr>
          <w:p>
            <w:pPr>
              <w:jc w:val="center"/>
              <w:ind w:left="2472"/>
              <w:spacing w:after="0"/>
              <w:rPr>
                <w:sz w:val="20"/>
                <w:szCs w:val="20"/>
                <w:color w:val="auto"/>
              </w:rPr>
            </w:pPr>
            <w:r>
              <w:rPr>
                <w:rFonts w:ascii="Times New Roman" w:cs="Times New Roman" w:eastAsia="Times New Roman" w:hAnsi="Times New Roman"/>
                <w:sz w:val="22"/>
                <w:szCs w:val="22"/>
                <w:color w:val="auto"/>
                <w:w w:val="98"/>
              </w:rPr>
              <w:t>3.07</w:t>
            </w:r>
          </w:p>
        </w:tc>
      </w:tr>
      <w:tr>
        <w:trPr>
          <w:trHeight w:val="311"/>
        </w:trPr>
        <w:tc>
          <w:tcPr>
            <w:tcW w:w="20" w:type="dxa"/>
            <w:vAlign w:val="bottom"/>
          </w:tcPr>
          <w:p>
            <w:pPr>
              <w:spacing w:after="0"/>
              <w:rPr>
                <w:sz w:val="24"/>
                <w:szCs w:val="24"/>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defeasance</w:t>
            </w:r>
            <w:r>
              <w:rPr>
                <w:rFonts w:ascii="Times New Roman" w:cs="Times New Roman" w:eastAsia="Times New Roman" w:hAnsi="Times New Roman"/>
                <w:sz w:val="22"/>
                <w:szCs w:val="22"/>
                <w:color w:val="auto"/>
              </w:rPr>
              <w:t>”</w:t>
            </w:r>
          </w:p>
        </w:tc>
        <w:tc>
          <w:tcPr>
            <w:tcW w:w="25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13.02(b)</w:t>
            </w:r>
          </w:p>
        </w:tc>
      </w:tr>
      <w:tr>
        <w:trPr>
          <w:trHeight w:val="311"/>
        </w:trPr>
        <w:tc>
          <w:tcPr>
            <w:tcW w:w="20" w:type="dxa"/>
            <w:vAlign w:val="bottom"/>
          </w:tcPr>
          <w:p>
            <w:pPr>
              <w:spacing w:after="0"/>
              <w:rPr>
                <w:sz w:val="24"/>
                <w:szCs w:val="24"/>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w:t>
            </w:r>
          </w:p>
        </w:tc>
        <w:tc>
          <w:tcPr>
            <w:tcW w:w="4200" w:type="dxa"/>
            <w:vAlign w:val="bottom"/>
            <w:gridSpan w:val="2"/>
          </w:tcPr>
          <w:p>
            <w:pPr>
              <w:jc w:val="center"/>
              <w:ind w:left="2472"/>
              <w:spacing w:after="0"/>
              <w:rPr>
                <w:sz w:val="20"/>
                <w:szCs w:val="20"/>
                <w:color w:val="auto"/>
              </w:rPr>
            </w:pPr>
            <w:r>
              <w:rPr>
                <w:rFonts w:ascii="Times New Roman" w:cs="Times New Roman" w:eastAsia="Times New Roman" w:hAnsi="Times New Roman"/>
                <w:sz w:val="22"/>
                <w:szCs w:val="22"/>
                <w:color w:val="auto"/>
                <w:w w:val="98"/>
              </w:rPr>
              <w:t>6.01</w:t>
            </w:r>
          </w:p>
        </w:tc>
      </w:tr>
      <w:tr>
        <w:trPr>
          <w:trHeight w:val="310"/>
        </w:trPr>
        <w:tc>
          <w:tcPr>
            <w:tcW w:w="20" w:type="dxa"/>
            <w:vAlign w:val="bottom"/>
          </w:tcPr>
          <w:p>
            <w:pPr>
              <w:spacing w:after="0"/>
              <w:rPr>
                <w:sz w:val="24"/>
                <w:szCs w:val="24"/>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obligor”</w:t>
            </w:r>
          </w:p>
        </w:tc>
        <w:tc>
          <w:tcPr>
            <w:tcW w:w="4200" w:type="dxa"/>
            <w:vAlign w:val="bottom"/>
            <w:gridSpan w:val="2"/>
          </w:tcPr>
          <w:p>
            <w:pPr>
              <w:jc w:val="center"/>
              <w:ind w:left="2472"/>
              <w:spacing w:after="0"/>
              <w:rPr>
                <w:sz w:val="20"/>
                <w:szCs w:val="20"/>
                <w:color w:val="auto"/>
              </w:rPr>
            </w:pPr>
            <w:r>
              <w:rPr>
                <w:rFonts w:ascii="Times New Roman" w:cs="Times New Roman" w:eastAsia="Times New Roman" w:hAnsi="Times New Roman"/>
                <w:sz w:val="22"/>
                <w:szCs w:val="22"/>
                <w:color w:val="auto"/>
                <w:w w:val="98"/>
              </w:rPr>
              <w:t>1.07</w:t>
            </w:r>
          </w:p>
        </w:tc>
      </w:tr>
      <w:tr>
        <w:trPr>
          <w:trHeight w:val="311"/>
        </w:trPr>
        <w:tc>
          <w:tcPr>
            <w:tcW w:w="20" w:type="dxa"/>
            <w:vAlign w:val="bottom"/>
          </w:tcPr>
          <w:p>
            <w:pPr>
              <w:spacing w:after="0"/>
              <w:rPr>
                <w:sz w:val="24"/>
                <w:szCs w:val="24"/>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Register</w:t>
            </w:r>
            <w:r>
              <w:rPr>
                <w:rFonts w:ascii="Times New Roman" w:cs="Times New Roman" w:eastAsia="Times New Roman" w:hAnsi="Times New Roman"/>
                <w:sz w:val="22"/>
                <w:szCs w:val="22"/>
                <w:color w:val="auto"/>
              </w:rPr>
              <w:t>”</w:t>
            </w:r>
          </w:p>
        </w:tc>
        <w:tc>
          <w:tcPr>
            <w:tcW w:w="4200" w:type="dxa"/>
            <w:vAlign w:val="bottom"/>
            <w:gridSpan w:val="2"/>
          </w:tcPr>
          <w:p>
            <w:pPr>
              <w:jc w:val="center"/>
              <w:ind w:left="2472"/>
              <w:spacing w:after="0"/>
              <w:rPr>
                <w:sz w:val="20"/>
                <w:szCs w:val="20"/>
                <w:color w:val="auto"/>
              </w:rPr>
            </w:pPr>
            <w:r>
              <w:rPr>
                <w:rFonts w:ascii="Times New Roman" w:cs="Times New Roman" w:eastAsia="Times New Roman" w:hAnsi="Times New Roman"/>
                <w:sz w:val="22"/>
                <w:szCs w:val="22"/>
                <w:color w:val="auto"/>
                <w:w w:val="98"/>
              </w:rPr>
              <w:t>3.05</w:t>
            </w:r>
          </w:p>
        </w:tc>
      </w:tr>
      <w:tr>
        <w:trPr>
          <w:trHeight w:val="310"/>
        </w:trPr>
        <w:tc>
          <w:tcPr>
            <w:tcW w:w="20" w:type="dxa"/>
            <w:vAlign w:val="bottom"/>
          </w:tcPr>
          <w:p>
            <w:pPr>
              <w:spacing w:after="0"/>
              <w:rPr>
                <w:sz w:val="24"/>
                <w:szCs w:val="24"/>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Registrar</w:t>
            </w:r>
            <w:r>
              <w:rPr>
                <w:rFonts w:ascii="Times New Roman" w:cs="Times New Roman" w:eastAsia="Times New Roman" w:hAnsi="Times New Roman"/>
                <w:sz w:val="22"/>
                <w:szCs w:val="22"/>
                <w:color w:val="auto"/>
              </w:rPr>
              <w:t>”</w:t>
            </w:r>
          </w:p>
        </w:tc>
        <w:tc>
          <w:tcPr>
            <w:tcW w:w="4200" w:type="dxa"/>
            <w:vAlign w:val="bottom"/>
            <w:gridSpan w:val="2"/>
          </w:tcPr>
          <w:p>
            <w:pPr>
              <w:jc w:val="center"/>
              <w:ind w:left="2472"/>
              <w:spacing w:after="0"/>
              <w:rPr>
                <w:sz w:val="20"/>
                <w:szCs w:val="20"/>
                <w:color w:val="auto"/>
              </w:rPr>
            </w:pPr>
            <w:r>
              <w:rPr>
                <w:rFonts w:ascii="Times New Roman" w:cs="Times New Roman" w:eastAsia="Times New Roman" w:hAnsi="Times New Roman"/>
                <w:sz w:val="22"/>
                <w:szCs w:val="22"/>
                <w:color w:val="auto"/>
                <w:w w:val="98"/>
              </w:rPr>
              <w:t>3.05</w:t>
            </w:r>
          </w:p>
        </w:tc>
      </w:tr>
    </w:tbl>
    <w:p>
      <w:pPr>
        <w:spacing w:after="0" w:line="2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color w:val="auto"/>
        </w:rPr>
        <w:t>Compliance Certificates and Opinions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56"/>
        <w:spacing w:after="0" w:line="253" w:lineRule="auto"/>
        <w:tabs>
          <w:tab w:leader="none" w:pos="112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w:t>
      </w:r>
    </w:p>
    <w:p>
      <w:pPr>
        <w:spacing w:after="0" w:line="175" w:lineRule="exact"/>
        <w:rPr>
          <w:rFonts w:ascii="Times New Roman" w:cs="Times New Roman" w:eastAsia="Times New Roman" w:hAnsi="Times New Roman"/>
          <w:sz w:val="20"/>
          <w:szCs w:val="20"/>
          <w:color w:val="auto"/>
        </w:rPr>
      </w:pPr>
    </w:p>
    <w:p>
      <w:pPr>
        <w:ind w:firstLine="656"/>
        <w:spacing w:after="0" w:line="283" w:lineRule="auto"/>
        <w:tabs>
          <w:tab w:leader="none" w:pos="111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Officer’s Certificate or Opinion of Counsel with respect to compliance with a condition or covenant provided for in this Indenture (other than the statement required by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shall also include:</w:t>
      </w:r>
    </w:p>
    <w:p>
      <w:pPr>
        <w:spacing w:after="0" w:line="15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such Authorized Officer or counsel has read such covenant or condition;</w:t>
      </w:r>
    </w:p>
    <w:p>
      <w:pPr>
        <w:spacing w:after="0" w:line="215"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75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such examination or investigation upon which the statements or opinions contained in such Officer’s Certificate or Opinion of Counsel are based;</w:t>
      </w:r>
    </w:p>
    <w:p>
      <w:pPr>
        <w:spacing w:after="0" w:line="146" w:lineRule="exact"/>
        <w:rPr>
          <w:rFonts w:ascii="Times New Roman" w:cs="Times New Roman" w:eastAsia="Times New Roman" w:hAnsi="Times New Roman"/>
          <w:sz w:val="20"/>
          <w:szCs w:val="20"/>
          <w:color w:val="auto"/>
        </w:rPr>
      </w:pPr>
    </w:p>
    <w:p>
      <w:pPr>
        <w:ind w:left="660" w:firstLine="644"/>
        <w:spacing w:after="0" w:line="310" w:lineRule="auto"/>
        <w:tabs>
          <w:tab w:leader="none" w:pos="1803"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in the opinion of such Person, such Person has made such examination or investigation as is necessary to enable such Person to express an informed opinion as to whether such covenant or condition has been complied with; and</w:t>
      </w:r>
    </w:p>
    <w:p>
      <w:pPr>
        <w:spacing w:after="0" w:line="137" w:lineRule="exact"/>
        <w:rPr>
          <w:rFonts w:ascii="Times New Roman" w:cs="Times New Roman" w:eastAsia="Times New Roman" w:hAnsi="Times New Roman"/>
          <w:sz w:val="19"/>
          <w:szCs w:val="19"/>
          <w:color w:val="auto"/>
        </w:rPr>
      </w:pPr>
    </w:p>
    <w:p>
      <w:pPr>
        <w:ind w:left="1780" w:hanging="476"/>
        <w:spacing w:after="0"/>
        <w:tabs>
          <w:tab w:leader="none" w:pos="178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complied with.</w:t>
      </w:r>
    </w:p>
    <w:p>
      <w:pPr>
        <w:spacing w:after="0" w:line="21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19"/>
          <w:szCs w:val="19"/>
          <w:b w:val="1"/>
          <w:bCs w:val="1"/>
          <w:color w:val="auto"/>
        </w:rPr>
        <w:t>Form of Documents Delivered to Trustee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firstLine="656"/>
        <w:spacing w:after="0" w:line="253" w:lineRule="auto"/>
        <w:tabs>
          <w:tab w:leader="none" w:pos="11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where several matters are required to be certified by, or covered by an opinion of, any specified Person, it is not necessary that all such matters be certified by, or covered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20"/>
          <w:szCs w:val="20"/>
          <w:color w:val="auto"/>
        </w:rPr>
        <w:t>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1" w:lineRule="exact"/>
        <w:rPr>
          <w:sz w:val="20"/>
          <w:szCs w:val="20"/>
          <w:color w:val="auto"/>
        </w:rPr>
      </w:pPr>
    </w:p>
    <w:p>
      <w:pPr>
        <w:jc w:val="both"/>
        <w:ind w:firstLine="656"/>
        <w:spacing w:after="0" w:line="251" w:lineRule="auto"/>
        <w:tabs>
          <w:tab w:leader="none" w:pos="117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certificate, statement or opinion of an Authorized Officer may be based, insofar as it relates to legal matters, upon a certificate or opinion of or representations by counsel, unless such Authorized Officer knows, or in the exercise of reasonable care should know, that the certificate or opinion or representation with respect to the matters upon which the certificate, statement or opinion is based is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 with respect to such matters is erroneous.</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12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Notices to the Trustee, the Company and Holders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notice, request, direction, consent or communication made pursuant to the provisions of this Indenture or the Securities is duly given if in writing and delivered in person or by e-mail, first-class mail (registered or certified, return receipt requested), electronically or overnight air courier guaranteeing next day delivery, addressed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Commvault Systems,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 Commvault Way</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Tinton Falls, NJ 07724</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Gary Merrill; cc: Danielle Abrahamsen</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Kirkland &amp; Ellis LLP</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601 Lexington Avenue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Sophia Hudson, P.C.</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sophia.hudson@kirkland.com</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 Concourse Parkway NE, Suite 800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Atlanta, GA 30328</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Global Corporate Trust – Commvault Notes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52" w:name="page53"/>
    <w:bookmarkEnd w:id="52"/>
    <w:p>
      <w:pPr>
        <w:ind w:right="660" w:firstLine="648"/>
        <w:spacing w:after="0" w:line="283" w:lineRule="auto"/>
        <w:rPr>
          <w:sz w:val="20"/>
          <w:szCs w:val="20"/>
          <w:color w:val="auto"/>
        </w:rPr>
      </w:pPr>
      <w:r>
        <w:rPr>
          <w:rFonts w:ascii="Times New Roman" w:cs="Times New Roman" w:eastAsia="Times New Roman" w:hAnsi="Times New Roman"/>
          <w:sz w:val="20"/>
          <w:szCs w:val="20"/>
          <w:color w:val="auto"/>
        </w:rPr>
        <w:t>The Company or the Trustee by notice to each other may designate additional or different addresses for subsequent notices or communications.</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All notices and communications (other than those sent to Holders or the Trustee) will be deemed to have been duly given: at the time so delivered, if personally delivered or if e-mailed; five calendar days after being deposited in the mail, postage prepaid, if mailed; and the next Business Day after timely delivery to the courier, if sent by overnight air courier guaranteeing next day delivery. All notices and communications to the Trustee will be deemed given upon actual receipt of such by a Responsible Officer of the Trustee or, if e-mailed, upon delivery.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Any notice or communication to a Holder may be (a) e-mailed and be deemed duly given at the time so delivered, (b) mailed by first class mail, certified or registered, return receipt requested and be deemed duly delivered five calendar days after being deposited in the mail, or (c) mailed by overnight air courier guaranteeing next day delivery and be deemed duly delivered the next Business Day, in each case, to its e-mail or physical address shown on the register kept by the Security Registrar. Any notice or communication will also be so e-mailed or mailed to any Person described in Section 313(c) of the Trust Indenture Act, to the extent required by the Trust Indenture Act. Failure to e-mail or mail a notice or communication to a Holder or any defect in it will not affect its sufficiency with respect to other Holders.</w:t>
      </w:r>
    </w:p>
    <w:p>
      <w:pPr>
        <w:spacing w:after="0" w:line="1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each case, if a notice or communication is e-mailed or mailed in the manner provided above within the time prescribed, it is duly given, whether or not the addressee receives it.</w:t>
      </w:r>
    </w:p>
    <w:p>
      <w:pPr>
        <w:spacing w:after="0" w:line="17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Notwithstanding any other provision of this Indenture or any Security, where this Indenture or any Security provides for notice of any event or any other communication (including any notice of redemption or repurchase) to a holder of a Global Security (whether by e-mail, mail or otherwise), such notice shall be sufficiently given if given to the Depositary (or its designee) pursuant to Applicable Procedures.</w:t>
      </w:r>
    </w:p>
    <w:p>
      <w:pPr>
        <w:spacing w:after="0" w:line="16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color w:val="auto"/>
        </w:rPr>
        <w:t>Communications with Holders; Waiver of Notice</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56"/>
        <w:spacing w:after="0" w:line="249" w:lineRule="auto"/>
        <w:tabs>
          <w:tab w:leader="none" w:pos="108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may communicate pursuant to Section 312(b) of the Trust Indenture Act with other Holders with respect to their rights under this Indenture or the Securities. The Company, the Trustee and the Security Registrar shall have the protection of Section 312(c) of the Trust Indenture Act.</w:t>
      </w:r>
    </w:p>
    <w:p>
      <w:pPr>
        <w:spacing w:after="0" w:line="193" w:lineRule="exact"/>
        <w:rPr>
          <w:rFonts w:ascii="Times New Roman" w:cs="Times New Roman" w:eastAsia="Times New Roman" w:hAnsi="Times New Roman"/>
          <w:sz w:val="20"/>
          <w:szCs w:val="20"/>
          <w:color w:val="auto"/>
        </w:rPr>
      </w:pPr>
    </w:p>
    <w:p>
      <w:pPr>
        <w:jc w:val="both"/>
        <w:ind w:firstLine="656"/>
        <w:spacing w:after="0" w:line="281" w:lineRule="auto"/>
        <w:tabs>
          <w:tab w:leader="none" w:pos="109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color w:val="auto"/>
        </w:rPr>
        <w:t>Incorporation by Reference of the Trust Indenture Act</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color w:val="auto"/>
        </w:rPr>
        <w:t>Whenever this Indenture refers to a provision of the Trust Indenture Act, the provision is incorporated by reference in and made a part of this Indenture.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Trust Indenture Act term used in this Indenture has the following meaning:</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obligor</w:t>
      </w:r>
      <w:r>
        <w:rPr>
          <w:rFonts w:ascii="Times New Roman" w:cs="Times New Roman" w:eastAsia="Times New Roman" w:hAnsi="Times New Roman"/>
          <w:sz w:val="20"/>
          <w:szCs w:val="20"/>
          <w:color w:val="auto"/>
        </w:rPr>
        <w:t>” on the Securities of any series means the Company and any successor obligor upon the Securities.</w:t>
      </w:r>
    </w:p>
    <w:p>
      <w:pPr>
        <w:spacing w:after="0" w:line="23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All other terms used in this Indenture that are defined by the Trust Indenture Act, defined by reference in the Trust Indenture Act to another statute or defined by a Commission rule under the Trust Indenture Act and not otherwise defined herein are used herein as so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53" w:name="page54"/>
    <w:bookmarkEnd w:id="53"/>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Times New Roman" w:cs="Times New Roman" w:eastAsia="Times New Roman" w:hAnsi="Times New Roman"/>
          <w:sz w:val="19"/>
          <w:szCs w:val="19"/>
          <w:b w:val="1"/>
          <w:bCs w:val="1"/>
          <w:color w:val="auto"/>
        </w:rPr>
        <w:t>Trust Indenture Act Controls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1.09</w:t>
      </w:r>
      <w:r>
        <w:rPr>
          <w:sz w:val="20"/>
          <w:szCs w:val="20"/>
          <w:color w:val="auto"/>
        </w:rPr>
        <w:tab/>
      </w:r>
      <w:r>
        <w:rPr>
          <w:rFonts w:ascii="Times New Roman" w:cs="Times New Roman" w:eastAsia="Times New Roman" w:hAnsi="Times New Roman"/>
          <w:sz w:val="19"/>
          <w:szCs w:val="19"/>
          <w:b w:val="1"/>
          <w:bCs w:val="1"/>
          <w:color w:val="auto"/>
        </w:rPr>
        <w:t>Separability Clause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8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1.10</w:t>
      </w:r>
      <w:r>
        <w:rPr>
          <w:sz w:val="20"/>
          <w:szCs w:val="20"/>
          <w:color w:val="auto"/>
        </w:rPr>
        <w:tab/>
      </w:r>
      <w:r>
        <w:rPr>
          <w:rFonts w:ascii="Times New Roman" w:cs="Times New Roman" w:eastAsia="Times New Roman" w:hAnsi="Times New Roman"/>
          <w:sz w:val="19"/>
          <w:szCs w:val="19"/>
          <w:b w:val="1"/>
          <w:bCs w:val="1"/>
          <w:color w:val="auto"/>
        </w:rPr>
        <w:t>Benefits of Indenture</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78"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19"/>
          <w:szCs w:val="19"/>
          <w:b w:val="1"/>
          <w:bCs w:val="1"/>
          <w:color w:val="auto"/>
        </w:rPr>
        <w:t>Governing Law; Submission to Jurisdiction; Jury Trial Waiver</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This Indenture and the Securities shall be governed by, and construed in accordance with, the laws of the State of New York, as applied to contracts made and performed within the State of New York, without regard to principles of conflicts of law that would result in the application of the laws of another jurisdiction. Any legal suit, action or proceeding arising out of or based upon this Indenture or the transactions contemplated hereby may be instituted in any state or Federal court in the Borough of Manhattan, New York, New York, and any appellate court from any thereof, and each of the parties hereto and the Holders, by acceptance of the Securities, hereby irrevocably submits to the exclusive jurisdiction of such courts in any such suit, action or proceeding.</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OF THE COMPANY, THE TRUSTEE AND EACH HOLDER OF A SECURITY, BY ITS ACCEPTANCE THEREOF, HEREBY IRREVOCABLY WAIVES, TO THE FULLEST EXTENT PERMITTED BY APPLICABLE LAW, ANY AND ALL RIGHT TO A TRIAL BY JURY IN ANY LEGAL PROCEEDING ARISING OUT OF OR RELATING TO THIS INDENTURE, THE SECURITIES OR THE TRANSACTIONS CONTEMPLATED HEREBY.</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19"/>
          <w:szCs w:val="19"/>
          <w:b w:val="1"/>
          <w:bCs w:val="1"/>
          <w:color w:val="auto"/>
        </w:rPr>
        <w:t>Legal Holidays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Unless otherwise provided by, or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in any case where any Interest Payment Date, redemption date or Stated Maturity of any Security is a Legal Holiday, then (notwithstanding any other provision of this Indenture or of the Securities) payment of the principal of, premium, if any, or interest, if any, on such Security need not be made on such date, but may be made on the next succeeding Business Day with the same force and effect as if made on the Interest Payment Date or redemption date, or at the Stated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additional interest shall accrue with respect to the payment due on such date for the period from and after such Interest Payment Date, redemption date or Stated Maturity, as the case may be, to the next succeeding Business Day.</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19"/>
          <w:szCs w:val="19"/>
          <w:b w:val="1"/>
          <w:bCs w:val="1"/>
          <w:color w:val="auto"/>
        </w:rPr>
        <w:t>Electronic Signatures and Counterparts.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Indenture may be executed in any number of counterparts, each of which shall be an original, and all of which taken together constitute one instrument. Signatures of the parties hereto transmitted by electronic PDF shall be deemed to be their original signatures for all purposes. This Indenture may be executed by way of electronic signatures, and any such electronic signature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the same binding effect as a physical signature. For the avoidance of doubt, the words “execution,” “signed,” “signature,” “delivery” and words of like import in or relating to this Indenture or any document to be signed in connection with this Indenture shall be deemed to include images of manually executed signatures transmitted by electronic format (including, “pdf”, “tif” or “jpg”) and electronic signatures (including DocuSign and AdobeSign), deliveries or the keeping of records in electronic form, each of which shall be of the same legal effect, validity or enforceability as a manually executed signature, physical delivery thereof or the use of a paper based recordkeeping system, as the case may be, and the parties hereto consent to conduct the transactions contemplated hereunder by electronic means;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notwithstanding anything herein to the contrary, the Trustee is not under any obligation to agree to accept electronic signatures in any form or in any format unless expressly agreed to by the Trustee, pursuant to reasonable procedures approved by the Trustee.</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1.14</w:t>
      </w:r>
      <w:r>
        <w:rPr>
          <w:sz w:val="20"/>
          <w:szCs w:val="20"/>
          <w:color w:val="auto"/>
        </w:rPr>
        <w:tab/>
      </w:r>
      <w:r>
        <w:rPr>
          <w:rFonts w:ascii="Times New Roman" w:cs="Times New Roman" w:eastAsia="Times New Roman" w:hAnsi="Times New Roman"/>
          <w:sz w:val="19"/>
          <w:szCs w:val="19"/>
          <w:b w:val="1"/>
          <w:bCs w:val="1"/>
          <w:color w:val="auto"/>
        </w:rPr>
        <w:t>No Adverse Interpretation of Other Agreements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This Indenture may not be used to interpret any other indenture, loan or debt agreement of the Company or of any other Person. Any such indenture, loan or debt agreement may not be used to interpret this Indenture.</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1.15</w:t>
      </w:r>
      <w:r>
        <w:rPr>
          <w:sz w:val="20"/>
          <w:szCs w:val="20"/>
          <w:color w:val="auto"/>
        </w:rPr>
        <w:tab/>
      </w:r>
      <w:r>
        <w:rPr>
          <w:rFonts w:ascii="Times New Roman" w:cs="Times New Roman" w:eastAsia="Times New Roman" w:hAnsi="Times New Roman"/>
          <w:sz w:val="19"/>
          <w:szCs w:val="19"/>
          <w:b w:val="1"/>
          <w:bCs w:val="1"/>
          <w:color w:val="auto"/>
        </w:rPr>
        <w:t>Rules of Construction</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the context otherwise requires:</w:t>
      </w:r>
    </w:p>
    <w:p>
      <w:pPr>
        <w:spacing w:after="0" w:line="207" w:lineRule="exact"/>
        <w:rPr>
          <w:sz w:val="20"/>
          <w:szCs w:val="20"/>
          <w:color w:val="auto"/>
        </w:rPr>
      </w:pPr>
    </w:p>
    <w:p>
      <w:pPr>
        <w:ind w:left="1740" w:hanging="436"/>
        <w:spacing w:after="0"/>
        <w:tabs>
          <w:tab w:leader="none" w:pos="1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has the meaning assigned to it in accordance with GAAP;</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words in the plural include the singular;</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shall be interpreted to express a command;</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apply to successive events and transactions;</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w:t>
      </w:r>
    </w:p>
    <w:p>
      <w:pPr>
        <w:spacing w:after="0" w:line="229" w:lineRule="exact"/>
        <w:rPr>
          <w:rFonts w:ascii="Times New Roman" w:cs="Times New Roman" w:eastAsia="Times New Roman" w:hAnsi="Times New Roman"/>
          <w:sz w:val="20"/>
          <w:szCs w:val="20"/>
          <w:color w:val="auto"/>
        </w:rPr>
      </w:pPr>
    </w:p>
    <w:p>
      <w:pPr>
        <w:ind w:left="1960" w:hanging="656"/>
        <w:spacing w:after="0" w:line="261" w:lineRule="auto"/>
        <w:tabs>
          <w:tab w:leader="none" w:pos="183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sections of, or rules under, the Securities Act, the Exchange Act and the Trust Indenture Act will be deemed to include substitute, replacement or successor sections or rules adopted by the Commission from time to time; and</w:t>
      </w:r>
    </w:p>
    <w:p>
      <w:pPr>
        <w:spacing w:after="0" w:line="181" w:lineRule="exact"/>
        <w:rPr>
          <w:rFonts w:ascii="Times New Roman" w:cs="Times New Roman" w:eastAsia="Times New Roman" w:hAnsi="Times New Roman"/>
          <w:sz w:val="20"/>
          <w:szCs w:val="20"/>
          <w:color w:val="auto"/>
        </w:rPr>
      </w:pPr>
    </w:p>
    <w:p>
      <w:pPr>
        <w:ind w:left="1960" w:hanging="656"/>
        <w:spacing w:after="0" w:line="269" w:lineRule="auto"/>
        <w:tabs>
          <w:tab w:leader="none" w:pos="175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“herein,” “hereof” and other words of similar import refer to this Indenture as a whole and not to any particular article, section or other subdivision of this Indenture.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article and section headings and the table of contents are for convenience only and shall not affect the construction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55" w:name="page56"/>
    <w:bookmarkEnd w:id="55"/>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1.16</w:t>
      </w:r>
      <w:r>
        <w:rPr>
          <w:sz w:val="20"/>
          <w:szCs w:val="20"/>
          <w:color w:val="auto"/>
        </w:rPr>
        <w:tab/>
      </w:r>
      <w:r>
        <w:rPr>
          <w:rFonts w:ascii="Times New Roman" w:cs="Times New Roman" w:eastAsia="Times New Roman" w:hAnsi="Times New Roman"/>
          <w:sz w:val="19"/>
          <w:szCs w:val="19"/>
          <w:b w:val="1"/>
          <w:bCs w:val="1"/>
          <w:color w:val="auto"/>
        </w:rPr>
        <w:t>U.S.A. PATRIOT Act</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acknowledges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92" w:lineRule="exact"/>
        <w:rPr>
          <w:sz w:val="20"/>
          <w:szCs w:val="20"/>
          <w:color w:val="auto"/>
        </w:rPr>
      </w:pPr>
    </w:p>
    <w:p>
      <w:pPr>
        <w:ind w:left="4200"/>
        <w:spacing w:after="0"/>
        <w:tabs>
          <w:tab w:leader="none" w:pos="4580" w:val="left"/>
        </w:tabs>
        <w:rPr>
          <w:sz w:val="20"/>
          <w:szCs w:val="20"/>
          <w:color w:val="auto"/>
        </w:rPr>
      </w:pPr>
      <w:r>
        <w:rPr>
          <w:rFonts w:ascii="Times New Roman" w:cs="Times New Roman" w:eastAsia="Times New Roman" w:hAnsi="Times New Roman"/>
          <w:sz w:val="20"/>
          <w:szCs w:val="20"/>
          <w:b w:val="1"/>
          <w:bCs w:val="1"/>
          <w:color w:val="auto"/>
        </w:rPr>
        <w:t>II.</w:t>
      </w:r>
      <w:r>
        <w:rPr>
          <w:sz w:val="20"/>
          <w:szCs w:val="20"/>
          <w:color w:val="auto"/>
        </w:rPr>
        <w:tab/>
      </w:r>
      <w:r>
        <w:rPr>
          <w:rFonts w:ascii="Times New Roman" w:cs="Times New Roman" w:eastAsia="Times New Roman" w:hAnsi="Times New Roman"/>
          <w:sz w:val="19"/>
          <w:szCs w:val="19"/>
          <w:b w:val="1"/>
          <w:bCs w:val="1"/>
          <w:color w:val="auto"/>
        </w:rPr>
        <w:t>SECURITY FORMS</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2.01</w:t>
      </w:r>
      <w:r>
        <w:rPr>
          <w:sz w:val="20"/>
          <w:szCs w:val="20"/>
          <w:color w:val="auto"/>
        </w:rPr>
        <w:tab/>
      </w:r>
      <w:r>
        <w:rPr>
          <w:rFonts w:ascii="Times New Roman" w:cs="Times New Roman" w:eastAsia="Times New Roman" w:hAnsi="Times New Roman"/>
          <w:sz w:val="19"/>
          <w:szCs w:val="19"/>
          <w:b w:val="1"/>
          <w:bCs w:val="1"/>
          <w:color w:val="auto"/>
        </w:rPr>
        <w:t>Forms Generally</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The Securities of each series shall be in substantially the form as shall be established by or pursuant to a Board Resolution, and set forth in an Officer’s Certificate, or established in one or more supplemental indentures, in each case with such appropriate insertions, omissions, substitutions and other variations as are required or permitted by this Indenture and may have such letters, numbers or other marks of identification and such notations, legends or endorsements placed thereon as may be required by the Depositary or as may be required to comply with any applicable law or with any rule or regulation made pursuant thereto or with any rule or regulation of any securities exchange or automated quotation system on which the Securities of any series may be listed, or to conform to usage, or to indicate any special limitations or restrictions to which any particular series of Securities are subject or as may, consistently herewith, be determined by the Authorized Officer executing such Securities as evidenced by their execution of the Securities. If the form of Securities of any series is established by action taken pursuant to one or more Board Resolution(s), a copy of an appropriate record of any such action taken shall be certified by the Secretary or an Assistant Secretary, or another appropriate Authorized Officer, of the Company, as the case may be, and delivered to the Trustee at or prior to the delivery of the written order(s) contemplated by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for the authentication and delivery of the initial Securities of each series. Any such Board Resolution or record of such action shall have attached thereto a true and correct copy of the form of Security approved by or pursuant to such Board Resolution(s). The Trustee’s certificate of authentication shall be in substantially the form set forth in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definitive Securities of each series shall be typewritten, printed, lithographed or engraved or produced by any combination of these methods or may be produced in any other manner, including any manner permitted by the rules of any securities exchange or automated quotation system on which the Securities of such series may be listed or traded, all as determined by the Authorized Officer executing such Securities, as evidenced by their execution of such Securities.</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Times New Roman" w:cs="Times New Roman" w:eastAsia="Times New Roman" w:hAnsi="Times New Roman"/>
          <w:sz w:val="19"/>
          <w:szCs w:val="19"/>
          <w:b w:val="1"/>
          <w:bCs w:val="1"/>
          <w:color w:val="auto"/>
        </w:rPr>
        <w:t>Form of Trustee’s Certificate of Authentication</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Trustee’s certificate of authentication on all Securities shall be in substantially the following form:</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is one of the Securities of the series designated therein issued under the within-mentioned Indenture.</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9" w:right="339" w:bottom="1440" w:gutter="0" w:footer="0" w:header="0"/>
        </w:sectPr>
      </w:pPr>
    </w:p>
    <w:bookmarkStart w:id="56" w:name="page57"/>
    <w:bookmarkEnd w:id="56"/>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Dated:</w:t>
      </w:r>
    </w:p>
    <w:p>
      <w:pPr>
        <w:spacing w:after="0" w:line="21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2.03</w:t>
      </w:r>
      <w:r>
        <w:rPr>
          <w:sz w:val="20"/>
          <w:szCs w:val="20"/>
          <w:color w:val="auto"/>
        </w:rPr>
        <w:tab/>
      </w:r>
      <w:r>
        <w:rPr>
          <w:rFonts w:ascii="Times New Roman" w:cs="Times New Roman" w:eastAsia="Times New Roman" w:hAnsi="Times New Roman"/>
          <w:sz w:val="19"/>
          <w:szCs w:val="19"/>
          <w:b w:val="1"/>
          <w:bCs w:val="1"/>
          <w:color w:val="auto"/>
        </w:rPr>
        <w:t>Forms of Securities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Security shall be in one of the forms approved from time to time by or pursuant to a Board Resolution or one or more supplemental indentures that shall set forth the information required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Unless otherwise provided as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with respect to any series of Securities, the Securities of each series shall be issuable in registered form without coupons.</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2.04</w:t>
      </w:r>
      <w:r>
        <w:rPr>
          <w:sz w:val="20"/>
          <w:szCs w:val="20"/>
          <w:color w:val="auto"/>
        </w:rPr>
        <w:tab/>
      </w:r>
      <w:r>
        <w:rPr>
          <w:rFonts w:ascii="Times New Roman" w:cs="Times New Roman" w:eastAsia="Times New Roman" w:hAnsi="Times New Roman"/>
          <w:sz w:val="19"/>
          <w:szCs w:val="19"/>
          <w:b w:val="1"/>
          <w:bCs w:val="1"/>
          <w:color w:val="auto"/>
        </w:rPr>
        <w:t>Book-Entry Provisions for Global Securities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If the Company shall establish, pursuant to or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that the Securities of a series are to be issued in whole or in part in the form of one or more Global Securities, then the Company shall execute and the Trustee shall, in accordance with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authenticate and deliver one or more Global Securities in temporary or permanent form that (i) shall represent and shall be denominated in an amount equal to the aggregate principal amount of the Outstanding Securities of such series to be represented by one or more Global Securities, (ii) shall be registered, if in registered form, in the name of the Depositary for such Global Security or Global Securities or the nominee of such Depositary, (iii) shall be delivered by the Trustee to such Depositary or pursuant to such Depositary’s instruction and (iv) shall bear a legend to substantially the following effect: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SECURITY IS A GLOBAL SECURITY WITHIN THE MEANING OF THE INDENTURE HEREINAFTER REFERRED TO AND IS REGISTERED IN THE NAME OF A DEPOSITARY OR A NOMINEE THEREOF. THIS SECURITY IS EXCHANGEABLE FOR SECURITIES REGISTERED IN THE NAME OF A PERSON OTHER THAN THE DEPOSITARY OR ITS NOMINEE ONLY IN THE LIMITED CIRCUMSTANCES DESCRIBED IN THE INDENTURE AND,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TO A NOMINEE OF SUCH SUCCESSOR DEPOSITARY.”</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Each Depositary designated pursuant to, or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for a Global Security to be delivered in the United States must, at the time of its designation and at all times while it serves as Depositary, be a clearing agency registered under the Exchange Act and any other applicable statute or regulation.</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If at any time the Depositary for the Securities of a series notifies the Company that it is unwilling or unable to continue as Depositary for the Securities of such series, or if at any time the Depositary for the Securities of such series shall no longer be a clearing agency registered under the Exchange Act and any other applicable statute or regulation at a time when the Depositary is required to be so registered to act as depositary, the Company shall use its commercially reasonable efforts to appoint a successor Depositary with respect to the Securities of such series. If a successor Depositary for the Securities of such series is not appointed by the Company within 90 days after the Company receives such notice or becomes aware of such ineligibility, the Company’s election pursuant to </w:t>
      </w:r>
      <w:r>
        <w:rPr>
          <w:rFonts w:ascii="Times New Roman" w:cs="Times New Roman" w:eastAsia="Times New Roman" w:hAnsi="Times New Roman"/>
          <w:sz w:val="20"/>
          <w:szCs w:val="20"/>
          <w:u w:val="single" w:color="auto"/>
          <w:color w:val="auto"/>
        </w:rPr>
        <w:t>Section 3.01(13)</w:t>
      </w:r>
      <w:r>
        <w:rPr>
          <w:rFonts w:ascii="Times New Roman" w:cs="Times New Roman" w:eastAsia="Times New Roman" w:hAnsi="Times New Roman"/>
          <w:sz w:val="20"/>
          <w:szCs w:val="20"/>
          <w:color w:val="auto"/>
        </w:rPr>
        <w:t xml:space="preserve"> shall no longer be effective with respect to the Securities of such series and the Company shall execute and the Trustee, upon receipt of a written order of the Company for the authentication and delivery of definitive Securities of such series, shall authenticate and deliver as specified in such written order(s),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57" w:name="page58"/>
    <w:bookmarkEnd w:id="57"/>
    <w:p>
      <w:pPr>
        <w:jc w:val="both"/>
        <w:spacing w:after="0" w:line="283" w:lineRule="auto"/>
        <w:rPr>
          <w:sz w:val="20"/>
          <w:szCs w:val="20"/>
          <w:color w:val="auto"/>
        </w:rPr>
      </w:pPr>
      <w:r>
        <w:rPr>
          <w:rFonts w:ascii="Times New Roman" w:cs="Times New Roman" w:eastAsia="Times New Roman" w:hAnsi="Times New Roman"/>
          <w:sz w:val="20"/>
          <w:szCs w:val="20"/>
          <w:color w:val="auto"/>
        </w:rPr>
        <w:t>in definitive form and in an aggregate principal amount equal to the principal amount of the Global Security or Securities representing such series in exchange for such Global Security or Securities.</w:t>
      </w:r>
    </w:p>
    <w:p>
      <w:pPr>
        <w:spacing w:after="0" w:line="14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The Company may, at any time and in its sole discretion determine, that the Securities of any series issued in the form of one or more Global Securities shall no longer be represented by such Global Security or Securities. In such event, the Company shall execute and the Trustee, upon receipt of a written order of the Company for the authentication and delivery of definitive Securities of such series, shall authenticate and deliver as specified in such written order(s), Securities of such series in definitive form and in an aggregate principal amount equal to the principal amount of the Global Security or Securities representing such series in exchange for such Global Security or Securities.</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If specified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a series of Securities, the Depositary for such series of Securities may surrender a Global Security for such series of Securities in exchange in whole or in part for Securities of such series in definitive form on such terms as are acceptable to the Company and such Depositary. Thereupon, the Company shall execute and the Trustee shall, upon receipt of a written order of the Company as described in Section 3.03, authenticate and deliver, without service charge:</w:t>
      </w:r>
    </w:p>
    <w:p>
      <w:pPr>
        <w:spacing w:after="0" w:line="186" w:lineRule="exact"/>
        <w:rPr>
          <w:sz w:val="20"/>
          <w:szCs w:val="20"/>
          <w:color w:val="auto"/>
        </w:rPr>
      </w:pPr>
    </w:p>
    <w:p>
      <w:pPr>
        <w:ind w:left="1960" w:hanging="656"/>
        <w:spacing w:after="0" w:line="261" w:lineRule="auto"/>
        <w:tabs>
          <w:tab w:leader="none" w:pos="187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each Person specified by such Depositary, a new Security or Securities of the same series, of any authorized denomination as requested by such Person, in aggregate principal amount equal to, and in exchange for, such Person’s beneficial interest in the Global Security; and</w:t>
      </w:r>
    </w:p>
    <w:p>
      <w:pPr>
        <w:spacing w:after="0" w:line="167" w:lineRule="exact"/>
        <w:rPr>
          <w:rFonts w:ascii="Times New Roman" w:cs="Times New Roman" w:eastAsia="Times New Roman" w:hAnsi="Times New Roman"/>
          <w:sz w:val="20"/>
          <w:szCs w:val="20"/>
          <w:color w:val="auto"/>
        </w:rPr>
      </w:pPr>
    </w:p>
    <w:p>
      <w:pPr>
        <w:ind w:left="1960" w:hanging="656"/>
        <w:spacing w:after="0" w:line="268" w:lineRule="auto"/>
        <w:tabs>
          <w:tab w:leader="none" w:pos="183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such Depositary, a new Global Security in a denomination equal to the difference, if any, between the principal amount of the surrendered Global Security and the aggregate principal amount of Securities so delivered to Holders thereof.</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any exchange provided for in any of the preceding three paragraphs, the Company shall execute and the Trustee, upon receipt of a written order of the Company as described in Section 3.03, shall authenticate and deliver, Securities in definitive registered form in authorized denominations.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Upon the exchange of a Global Security for Securities in definitive form, such Global Security shall be cancelled by the Trustee. Securities issued in exchange for a Global Security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shall be registered in such names and in such authorized denominations as the Depositary for such Global Security shall instruct the Trustee. The Trustee shall deliver such Securities to the Persons in whose names such Securities are so registered.</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initially appoints the Trustee to act as the Security Registrar and Paying Agent and to act as Depositary Custodian with respect to the Global Securities. The Company has entered into (or will enter into in connection with the issuance of any series of Securities) a letter of representations with the Depositary in the form provided by the Depositary and the Trustee and each agent of the Company or the Trustee are hereby authorized to act in accordance with such letter and Applicable Procedures.</w:t>
      </w:r>
    </w:p>
    <w:p>
      <w:pPr>
        <w:spacing w:after="0" w:line="182" w:lineRule="exact"/>
        <w:rPr>
          <w:sz w:val="20"/>
          <w:szCs w:val="20"/>
          <w:color w:val="auto"/>
        </w:rPr>
      </w:pPr>
    </w:p>
    <w:p>
      <w:pPr>
        <w:ind w:left="4220"/>
        <w:spacing w:after="0"/>
        <w:tabs>
          <w:tab w:leader="none" w:pos="4680" w:val="left"/>
        </w:tabs>
        <w:rPr>
          <w:sz w:val="20"/>
          <w:szCs w:val="20"/>
          <w:color w:val="auto"/>
        </w:rPr>
      </w:pPr>
      <w:r>
        <w:rPr>
          <w:rFonts w:ascii="Times New Roman" w:cs="Times New Roman" w:eastAsia="Times New Roman" w:hAnsi="Times New Roman"/>
          <w:sz w:val="20"/>
          <w:szCs w:val="20"/>
          <w:b w:val="1"/>
          <w:bCs w:val="1"/>
          <w:color w:val="auto"/>
        </w:rPr>
        <w:t>III.</w:t>
      </w:r>
      <w:r>
        <w:rPr>
          <w:sz w:val="20"/>
          <w:szCs w:val="20"/>
          <w:color w:val="auto"/>
        </w:rPr>
        <w:tab/>
      </w:r>
      <w:r>
        <w:rPr>
          <w:rFonts w:ascii="Times New Roman" w:cs="Times New Roman" w:eastAsia="Times New Roman" w:hAnsi="Times New Roman"/>
          <w:sz w:val="19"/>
          <w:szCs w:val="19"/>
          <w:b w:val="1"/>
          <w:bCs w:val="1"/>
          <w:color w:val="auto"/>
        </w:rPr>
        <w:t>THE SECURITIES</w:t>
      </w:r>
    </w:p>
    <w:p>
      <w:pPr>
        <w:spacing w:after="0" w:line="21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Times New Roman" w:cs="Times New Roman" w:eastAsia="Times New Roman" w:hAnsi="Times New Roman"/>
          <w:sz w:val="19"/>
          <w:szCs w:val="19"/>
          <w:b w:val="1"/>
          <w:bCs w:val="1"/>
          <w:color w:val="auto"/>
        </w:rPr>
        <w:t>Amount Unlimited; Issuable in Series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aggregate principal amount of Securities that may be authenticated and delivered under this Indenture is unlimited.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58" w:name="page59"/>
    <w:bookmarkEnd w:id="58"/>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Securities may be issued in one or more series, and each such series shall, except as otherwise provided as contemplated by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rank equally and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all other unsecured and unsubordinated indebtedness of the Company. There shall be established, in or pursuant to a Board Resolution, and set forth in an Officer’s Certificate, or established in one or more supplemental indentures, prior to the initial issuance of Securities of any series:</w:t>
      </w:r>
    </w:p>
    <w:p>
      <w:pPr>
        <w:spacing w:after="0" w:line="172" w:lineRule="exact"/>
        <w:rPr>
          <w:sz w:val="20"/>
          <w:szCs w:val="20"/>
          <w:color w:val="auto"/>
        </w:rPr>
      </w:pPr>
    </w:p>
    <w:p>
      <w:pPr>
        <w:ind w:left="1960" w:right="20" w:hanging="656"/>
        <w:spacing w:after="0" w:line="283" w:lineRule="auto"/>
        <w:tabs>
          <w:tab w:leader="none" w:pos="182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of the Securities of the series (which shall distinguish the Securities of the series from all other Securities, except to the extent that additional Securities of an existing series are being, or will be, issued);</w:t>
      </w:r>
    </w:p>
    <w:p>
      <w:pPr>
        <w:spacing w:after="0" w:line="159" w:lineRule="exact"/>
        <w:rPr>
          <w:rFonts w:ascii="Times New Roman" w:cs="Times New Roman" w:eastAsia="Times New Roman" w:hAnsi="Times New Roman"/>
          <w:sz w:val="20"/>
          <w:szCs w:val="20"/>
          <w:color w:val="auto"/>
        </w:rPr>
      </w:pPr>
    </w:p>
    <w:p>
      <w:pPr>
        <w:ind w:left="1960" w:hanging="656"/>
        <w:spacing w:after="0" w:line="253" w:lineRule="auto"/>
        <w:tabs>
          <w:tab w:leader="none" w:pos="179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the authorized aggregate principal amount of such series may from time to time be increased above such amount by a Board Resolution or as provided in the supplemental indenture establishing the Securities of such series;</w:t>
      </w:r>
    </w:p>
    <w:p>
      <w:pPr>
        <w:spacing w:after="0" w:line="178" w:lineRule="exact"/>
        <w:rPr>
          <w:rFonts w:ascii="Times New Roman" w:cs="Times New Roman" w:eastAsia="Times New Roman" w:hAnsi="Times New Roman"/>
          <w:sz w:val="20"/>
          <w:szCs w:val="20"/>
          <w:color w:val="auto"/>
        </w:rPr>
      </w:pPr>
    </w:p>
    <w:p>
      <w:pPr>
        <w:ind w:left="1960" w:hanging="656"/>
        <w:spacing w:after="0" w:line="283" w:lineRule="auto"/>
        <w:tabs>
          <w:tab w:leader="none" w:pos="177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or dates on which the principal and premium, if any, on the Securities of the series are payable or the method used to determine such date or dates;</w:t>
      </w:r>
    </w:p>
    <w:p>
      <w:pPr>
        <w:spacing w:after="0" w:line="146" w:lineRule="exact"/>
        <w:rPr>
          <w:rFonts w:ascii="Times New Roman" w:cs="Times New Roman" w:eastAsia="Times New Roman" w:hAnsi="Times New Roman"/>
          <w:sz w:val="20"/>
          <w:szCs w:val="20"/>
          <w:color w:val="auto"/>
        </w:rPr>
      </w:pPr>
    </w:p>
    <w:p>
      <w:pPr>
        <w:ind w:left="1960" w:hanging="656"/>
        <w:spacing w:after="0" w:line="258" w:lineRule="auto"/>
        <w:tabs>
          <w:tab w:leader="none" w:pos="174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or rates (which may be fixed or variable), or the method of determination thereof, at which the Securities of the series shall bear interest, if any, the date or dates from which such interest shall accrue, or the method of determination thereof, the Interest Payment Dates on which such interest shall be payable and the Regular Record Date, if any, for the interest payable on any Interest Payment Date;</w:t>
      </w:r>
    </w:p>
    <w:p>
      <w:pPr>
        <w:spacing w:after="0" w:line="185" w:lineRule="exact"/>
        <w:rPr>
          <w:rFonts w:ascii="Times New Roman" w:cs="Times New Roman" w:eastAsia="Times New Roman" w:hAnsi="Times New Roman"/>
          <w:sz w:val="20"/>
          <w:szCs w:val="20"/>
          <w:color w:val="auto"/>
        </w:rPr>
      </w:pPr>
    </w:p>
    <w:p>
      <w:pPr>
        <w:ind w:left="1960" w:hanging="656"/>
        <w:spacing w:after="0" w:line="254" w:lineRule="auto"/>
        <w:tabs>
          <w:tab w:leader="none" w:pos="175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other than the currency of the United States, the currency or currencies or currency unit or units, including composite currencies, in which payment of the principal of, premium, if any, or interest, if any, on the Securities of the series shall be payable and the manner of determining the equivalent thereof in the currency of the United States for any purpose, including for purposes of the definition of “Outstanding”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1960" w:hanging="656"/>
        <w:spacing w:after="0" w:line="253" w:lineRule="auto"/>
        <w:tabs>
          <w:tab w:leader="none" w:pos="175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principal of, premium, if any, or interest, if any, on the Securities of the series are to be payable, at the election of the Company, or a Holder, in a currency or currencies or currency unit or units other than that in which the Securities are stated to be payable, the currency, currencies or currency units in which the principal of or any premium or interest on such Securities as to which such election is made shall be payable, the period or periods within which, and the terms and conditions upon which, such election may be made or the other circumstances under which any of such Securities are to be so payable, and any provision requiring the Holder to bear currency exchange costs by deduction from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59" w:name="page60"/>
    <w:bookmarkEnd w:id="59"/>
    <w:p>
      <w:pPr>
        <w:ind w:left="840" w:hanging="656"/>
        <w:spacing w:after="0" w:line="261" w:lineRule="auto"/>
        <w:tabs>
          <w:tab w:leader="none" w:pos="62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amount of payments of principal of, premium, if any, or interest, if any, on, any of the Securities of the series may be determined with reference to an index, formula or other method, the manner in which such amounts shall be determined;</w:t>
      </w:r>
    </w:p>
    <w:p>
      <w:pPr>
        <w:spacing w:after="0" w:line="181" w:lineRule="exact"/>
        <w:rPr>
          <w:rFonts w:ascii="Times New Roman" w:cs="Times New Roman" w:eastAsia="Times New Roman" w:hAnsi="Times New Roman"/>
          <w:sz w:val="20"/>
          <w:szCs w:val="20"/>
          <w:color w:val="auto"/>
        </w:rPr>
      </w:pPr>
    </w:p>
    <w:p>
      <w:pPr>
        <w:ind w:left="840" w:hanging="656"/>
        <w:spacing w:after="0" w:line="258" w:lineRule="auto"/>
        <w:tabs>
          <w:tab w:leader="none" w:pos="6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or places where the principal of, premium, if any, and interest, if any, on, the Securities of the series shall be payable, the place or places where the Securities of such series may be presented for registration of transfer or exchange, and the place or places where notices and demands to or upon the Company in respect of the Securities of such series may be made;</w:t>
      </w:r>
    </w:p>
    <w:p>
      <w:pPr>
        <w:spacing w:after="0" w:line="172" w:lineRule="exact"/>
        <w:rPr>
          <w:rFonts w:ascii="Times New Roman" w:cs="Times New Roman" w:eastAsia="Times New Roman" w:hAnsi="Times New Roman"/>
          <w:sz w:val="20"/>
          <w:szCs w:val="20"/>
          <w:color w:val="auto"/>
        </w:rPr>
      </w:pPr>
    </w:p>
    <w:p>
      <w:pPr>
        <w:ind w:left="840" w:right="20" w:hanging="656"/>
        <w:spacing w:after="0" w:line="261" w:lineRule="auto"/>
        <w:tabs>
          <w:tab w:leader="none" w:pos="64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the period or periods within or the date or dates on which, the price or prices at which, and the terms and conditions upon which, Securities of the series may be redeemed, purchased, exchanged or repaid, in whole or in part, at the option of the Company;</w:t>
      </w:r>
    </w:p>
    <w:p>
      <w:pPr>
        <w:spacing w:after="0" w:line="181" w:lineRule="exact"/>
        <w:rPr>
          <w:rFonts w:ascii="Times New Roman" w:cs="Times New Roman" w:eastAsia="Times New Roman" w:hAnsi="Times New Roman"/>
          <w:sz w:val="20"/>
          <w:szCs w:val="20"/>
          <w:color w:val="auto"/>
        </w:rPr>
      </w:pPr>
    </w:p>
    <w:p>
      <w:pPr>
        <w:ind w:left="840" w:hanging="656"/>
        <w:spacing w:after="0" w:line="310" w:lineRule="auto"/>
        <w:tabs>
          <w:tab w:leader="none" w:pos="725"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applicable, the period or periods within or the date or dates on which, the price or prices at which, and the terms and conditions upon which, Securities of the series may be redeemed, in whole or in part, at the option of the Holders;</w:t>
      </w:r>
    </w:p>
    <w:p>
      <w:pPr>
        <w:spacing w:after="0" w:line="124" w:lineRule="exact"/>
        <w:rPr>
          <w:rFonts w:ascii="Times New Roman" w:cs="Times New Roman" w:eastAsia="Times New Roman" w:hAnsi="Times New Roman"/>
          <w:sz w:val="19"/>
          <w:szCs w:val="19"/>
          <w:color w:val="auto"/>
        </w:rPr>
      </w:pPr>
    </w:p>
    <w:p>
      <w:pPr>
        <w:ind w:left="840" w:hanging="656"/>
        <w:spacing w:after="0" w:line="257" w:lineRule="auto"/>
        <w:tabs>
          <w:tab w:leader="none" w:pos="76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or right, if any, of the Company to redeem, purchase or repay Securities of the series pursuant to any sinking fund or analogous provisions or at the option of a Holder thereof and the period or periods within which, the price or prices at which, the currency or currencies (including currency unit or units) in which and the other terms and conditions upon which Securities of the series shall be redeemed, purchased or repaid, in whole or in part, pursuant to such obligation;</w:t>
      </w:r>
    </w:p>
    <w:p>
      <w:pPr>
        <w:spacing w:after="0" w:line="172" w:lineRule="exact"/>
        <w:rPr>
          <w:rFonts w:ascii="Times New Roman" w:cs="Times New Roman" w:eastAsia="Times New Roman" w:hAnsi="Times New Roman"/>
          <w:sz w:val="20"/>
          <w:szCs w:val="20"/>
          <w:color w:val="auto"/>
        </w:rPr>
      </w:pPr>
    </w:p>
    <w:p>
      <w:pPr>
        <w:ind w:left="840" w:hanging="656"/>
        <w:spacing w:after="0" w:line="253" w:lineRule="auto"/>
        <w:tabs>
          <w:tab w:leader="none" w:pos="73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Securities of the series will be convertible into or exchangeable for other Securities, capital stock or other securities of any kind of the Company or another Person,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192" w:lineRule="exact"/>
        <w:rPr>
          <w:rFonts w:ascii="Times New Roman" w:cs="Times New Roman" w:eastAsia="Times New Roman" w:hAnsi="Times New Roman"/>
          <w:sz w:val="20"/>
          <w:szCs w:val="20"/>
          <w:color w:val="auto"/>
        </w:rPr>
      </w:pPr>
    </w:p>
    <w:p>
      <w:pPr>
        <w:jc w:val="both"/>
        <w:ind w:left="840" w:hanging="656"/>
        <w:spacing w:after="0" w:line="253" w:lineRule="auto"/>
        <w:tabs>
          <w:tab w:leader="none" w:pos="77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Securities shall be issued in whole or in part in the form of one or more Global Securities and, in such case, the respective Depositaries for such Global Securities and the form of any legend or legends which will be borne by any such global securities, and any circumstances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and any other provisions governing exchanges or transfers of such Global Security;</w:t>
      </w:r>
    </w:p>
    <w:p>
      <w:pPr>
        <w:spacing w:after="0" w:line="178" w:lineRule="exact"/>
        <w:rPr>
          <w:rFonts w:ascii="Times New Roman" w:cs="Times New Roman" w:eastAsia="Times New Roman" w:hAnsi="Times New Roman"/>
          <w:sz w:val="20"/>
          <w:szCs w:val="20"/>
          <w:color w:val="auto"/>
        </w:rPr>
      </w:pPr>
    </w:p>
    <w:p>
      <w:pPr>
        <w:ind w:left="840" w:hanging="656"/>
        <w:spacing w:after="0" w:line="283" w:lineRule="auto"/>
        <w:tabs>
          <w:tab w:leader="none" w:pos="77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as of which any Global Securities of the series shall be dated if other than the original issuance of the first Security of the series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120"/>
          </w:cols>
          <w:pgMar w:left="1440" w:top="1413" w:right="339" w:bottom="1440" w:gutter="0" w:footer="0" w:header="0"/>
        </w:sectPr>
      </w:pPr>
    </w:p>
    <w:bookmarkStart w:id="60" w:name="page61"/>
    <w:bookmarkEnd w:id="60"/>
    <w:p>
      <w:pPr>
        <w:ind w:left="840" w:hanging="656"/>
        <w:spacing w:after="0" w:line="283" w:lineRule="auto"/>
        <w:tabs>
          <w:tab w:leader="none" w:pos="72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denominations in which Securities of the series, if any, shall be issuable, if other than the denominations of $2,000 and any integral multiple of $1,000 in excess thereof;</w:t>
      </w:r>
    </w:p>
    <w:p>
      <w:pPr>
        <w:spacing w:after="0" w:line="146" w:lineRule="exact"/>
        <w:rPr>
          <w:rFonts w:ascii="Times New Roman" w:cs="Times New Roman" w:eastAsia="Times New Roman" w:hAnsi="Times New Roman"/>
          <w:sz w:val="20"/>
          <w:szCs w:val="20"/>
          <w:color w:val="auto"/>
        </w:rPr>
      </w:pPr>
    </w:p>
    <w:p>
      <w:pPr>
        <w:ind w:left="840" w:hanging="656"/>
        <w:spacing w:after="0" w:line="283" w:lineRule="auto"/>
        <w:tabs>
          <w:tab w:leader="none" w:pos="78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other than the principal amount thereof, the portion of the principal amount of any of the Securities of the series which shall be payable upon declaration of acceleration of the maturity thereof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840" w:hanging="656"/>
        <w:spacing w:after="0" w:line="268" w:lineRule="auto"/>
        <w:tabs>
          <w:tab w:leader="none" w:pos="74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Securities of the series are to be issued with original issue discount, including whether such security may be deemed an Original Issue Discount Security, and the amount of discount with which such Securities may be issued;</w:t>
      </w:r>
    </w:p>
    <w:p>
      <w:pPr>
        <w:spacing w:after="0" w:line="161" w:lineRule="exact"/>
        <w:rPr>
          <w:rFonts w:ascii="Times New Roman" w:cs="Times New Roman" w:eastAsia="Times New Roman" w:hAnsi="Times New Roman"/>
          <w:sz w:val="20"/>
          <w:szCs w:val="20"/>
          <w:color w:val="auto"/>
        </w:rPr>
      </w:pPr>
    </w:p>
    <w:p>
      <w:pPr>
        <w:ind w:left="840" w:hanging="656"/>
        <w:spacing w:after="0" w:line="283" w:lineRule="auto"/>
        <w:tabs>
          <w:tab w:leader="none" w:pos="73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application, if any, of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or such other means of satisfaction and discharge as may be specified for the Securities of the series;</w:t>
      </w:r>
    </w:p>
    <w:p>
      <w:pPr>
        <w:spacing w:after="0" w:line="146" w:lineRule="exact"/>
        <w:rPr>
          <w:rFonts w:ascii="Times New Roman" w:cs="Times New Roman" w:eastAsia="Times New Roman" w:hAnsi="Times New Roman"/>
          <w:sz w:val="20"/>
          <w:szCs w:val="20"/>
          <w:color w:val="auto"/>
        </w:rPr>
      </w:pPr>
    </w:p>
    <w:p>
      <w:pPr>
        <w:jc w:val="both"/>
        <w:ind w:left="840" w:hanging="656"/>
        <w:spacing w:after="0" w:line="258" w:lineRule="auto"/>
        <w:tabs>
          <w:tab w:leader="none" w:pos="85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the Securities of the series, in whole or any specified part, shall be subject to defeasance or covenant defeasance pursuant to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and, if so, the provisions relating thereto and the manner in which any election by the Company to provide for defeasance or covenant defeasance of such Securities shall be evidenced if different from the provisions herein relating thereto;</w:t>
      </w:r>
    </w:p>
    <w:p>
      <w:pPr>
        <w:spacing w:after="0" w:line="185" w:lineRule="exact"/>
        <w:rPr>
          <w:rFonts w:ascii="Times New Roman" w:cs="Times New Roman" w:eastAsia="Times New Roman" w:hAnsi="Times New Roman"/>
          <w:sz w:val="20"/>
          <w:szCs w:val="20"/>
          <w:color w:val="auto"/>
        </w:rPr>
      </w:pPr>
    </w:p>
    <w:p>
      <w:pPr>
        <w:ind w:left="840" w:hanging="656"/>
        <w:spacing w:after="0" w:line="269" w:lineRule="auto"/>
        <w:tabs>
          <w:tab w:leader="none" w:pos="74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any Paying Agent or agents, Security Registrar or Authenticating Agent for the Securities of such series, if other than the Trustee;</w:t>
      </w:r>
    </w:p>
    <w:p>
      <w:pPr>
        <w:spacing w:after="0" w:line="172" w:lineRule="exact"/>
        <w:rPr>
          <w:rFonts w:ascii="Times New Roman" w:cs="Times New Roman" w:eastAsia="Times New Roman" w:hAnsi="Times New Roman"/>
          <w:sz w:val="20"/>
          <w:szCs w:val="20"/>
          <w:color w:val="auto"/>
        </w:rPr>
      </w:pPr>
    </w:p>
    <w:p>
      <w:pPr>
        <w:ind w:left="840" w:hanging="656"/>
        <w:spacing w:after="0" w:line="261" w:lineRule="auto"/>
        <w:tabs>
          <w:tab w:leader="none" w:pos="7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deletions from or modifications of or additions to the Events of Default set forth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apply to the Securities of the series, any change in the right of the Trustee or the requisite Holders of such Securities to declare the principal amount thereof due and payable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or any other modifications to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840" w:hanging="656"/>
        <w:spacing w:after="0" w:line="269" w:lineRule="auto"/>
        <w:tabs>
          <w:tab w:leader="none" w:pos="74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deletions from or modifications of or additions to the covenants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that apply to the Securities of the series;</w:t>
      </w:r>
    </w:p>
    <w:p>
      <w:pPr>
        <w:spacing w:after="0" w:line="172" w:lineRule="exact"/>
        <w:rPr>
          <w:rFonts w:ascii="Times New Roman" w:cs="Times New Roman" w:eastAsia="Times New Roman" w:hAnsi="Times New Roman"/>
          <w:sz w:val="20"/>
          <w:szCs w:val="20"/>
          <w:color w:val="auto"/>
        </w:rPr>
      </w:pPr>
    </w:p>
    <w:p>
      <w:pPr>
        <w:jc w:val="both"/>
        <w:ind w:left="840" w:hanging="656"/>
        <w:spacing w:after="0" w:line="253" w:lineRule="auto"/>
        <w:tabs>
          <w:tab w:leader="none" w:pos="83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Securities of such series are to be guaranteed and, if so, the terms and conditions upon which such Securities will be guaranteed, including (x) the form and terms of any guarantor’s guarantee (including provisions relating to seniority or subordination of such guarantee, the release of such guarantee, any payment or other obligations on such Securities), and (y) any additions or changes to this Indenture to permit or facilitate guarantees of such Securities;</w:t>
      </w:r>
    </w:p>
    <w:p>
      <w:pPr>
        <w:spacing w:after="0" w:line="191" w:lineRule="exact"/>
        <w:rPr>
          <w:rFonts w:ascii="Times New Roman" w:cs="Times New Roman" w:eastAsia="Times New Roman" w:hAnsi="Times New Roman"/>
          <w:sz w:val="20"/>
          <w:szCs w:val="20"/>
          <w:color w:val="auto"/>
        </w:rPr>
      </w:pPr>
    </w:p>
    <w:p>
      <w:pPr>
        <w:ind w:left="840" w:hanging="656"/>
        <w:spacing w:after="0" w:line="261" w:lineRule="auto"/>
        <w:tabs>
          <w:tab w:leader="none" w:pos="76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payment of amounts due with respect to Securities of such series is subordinated in right of payment to the prior payment of any other indebtedness, and, if so, the extent and the manner of such subordinations and any other provisions relating thereto;</w:t>
      </w:r>
    </w:p>
    <w:p>
      <w:pPr>
        <w:spacing w:after="0" w:line="181" w:lineRule="exact"/>
        <w:rPr>
          <w:rFonts w:ascii="Times New Roman" w:cs="Times New Roman" w:eastAsia="Times New Roman" w:hAnsi="Times New Roman"/>
          <w:sz w:val="20"/>
          <w:szCs w:val="20"/>
          <w:color w:val="auto"/>
        </w:rPr>
      </w:pPr>
    </w:p>
    <w:p>
      <w:pPr>
        <w:ind w:left="840" w:hanging="656"/>
        <w:spacing w:after="0" w:line="261" w:lineRule="auto"/>
        <w:tabs>
          <w:tab w:leader="none" w:pos="74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additions or changes to this Indenture with respect to the Securities of such series as shall be necessary to permit or facilitate the issuance of the Securities of such series in bearer form, registrable or not registrable as to principal, and with or without interest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120"/>
          </w:cols>
          <w:pgMar w:left="1440" w:top="1413" w:right="339" w:bottom="1440" w:gutter="0" w:footer="0" w:header="0"/>
        </w:sectPr>
      </w:pPr>
    </w:p>
    <w:bookmarkStart w:id="61" w:name="page62"/>
    <w:bookmarkEnd w:id="61"/>
    <w:p>
      <w:pPr>
        <w:ind w:left="1840" w:hanging="536"/>
        <w:spacing w:after="0"/>
        <w:tabs>
          <w:tab w:leader="none" w:pos="1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 of the Securities of the series;</w:t>
      </w:r>
    </w:p>
    <w:p>
      <w:pPr>
        <w:spacing w:after="0" w:line="229"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if any, granting special rights to Holders upon the occurrence of specified events; and</w:t>
      </w:r>
    </w:p>
    <w:p>
      <w:pPr>
        <w:spacing w:after="0" w:line="215"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85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terms of the Securities of such series, and if applicable, the guarantees thereof, and any other deletions from or modification of or additions to this Indenture in respect of such Securities.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any of the terms of the series are established by action taken pursuant to one or more Board Resolutions, a copy of an appropriate record of such action shall be delivered to the Trustee at or prior to the initial issuance of Securities of such series as may be requested by such Trustee. No Officer’s Certificate may affect the Trustee’s own rights, duties or immunities under this Indenture or otherwise with respect to any series of Securities except as the Trustee may agree in writing.</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19"/>
          <w:szCs w:val="19"/>
          <w:b w:val="1"/>
          <w:bCs w:val="1"/>
          <w:color w:val="auto"/>
        </w:rPr>
        <w:t>Denominations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Unless otherwise provided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any series of Securities, and except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w:t>
      </w:r>
      <w:r>
        <w:rPr>
          <w:rFonts w:ascii="Times New Roman" w:cs="Times New Roman" w:eastAsia="Times New Roman" w:hAnsi="Times New Roman"/>
          <w:sz w:val="20"/>
          <w:szCs w:val="20"/>
          <w:color w:val="auto"/>
        </w:rPr>
        <w:t>, the Securities of each series shall be issuable in denominations of $2,000 and any integral multiple of $1,000 in excess thereof. Securities of each series shall be numbered, lettered or otherwise distinguished in such manner or in accordance with such plan as the Authorized Officer executing the same may determine with the reasonable approval of the Trustee.</w:t>
      </w:r>
    </w:p>
    <w:p>
      <w:pPr>
        <w:spacing w:after="0" w:line="18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3.03</w:t>
      </w:r>
      <w:r>
        <w:rPr>
          <w:sz w:val="20"/>
          <w:szCs w:val="20"/>
          <w:color w:val="auto"/>
        </w:rPr>
        <w:tab/>
      </w:r>
      <w:r>
        <w:rPr>
          <w:rFonts w:ascii="Times New Roman" w:cs="Times New Roman" w:eastAsia="Times New Roman" w:hAnsi="Times New Roman"/>
          <w:sz w:val="19"/>
          <w:szCs w:val="19"/>
          <w:b w:val="1"/>
          <w:bCs w:val="1"/>
          <w:color w:val="auto"/>
        </w:rPr>
        <w:t>Execution, Authentication, Delivery and Dating</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The Securities shall be signed on behalf of the Company by an Authorized Officer. Such signatures may be manual, facsimile or other electronic signatures, or electronic copies thereof, of any present or future Authorized Officer and may be imprinted or otherwise reproduced on the Securities.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Only such Securities as shall bear thereon a certificate of authentication substantially in the form set forth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manually executed (or as otherwise specified in a supplemental indenture with respect to a series of Securities) by the Trustee,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Securities bearing the manual, facsimile or other electronic signatures, or electronic copies thereof, of an individual who was at any time an Authorized Officer shall bind the Company, notwithstanding that such individual has ceased to hold such office prior to the authentication and delivery of such Securities or did not hold such office at the date of such Securities.</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At any time and from time to time after the execution and delivery of this Indenture, the Company may deliver Securities of any series executed by the Company to the Trustee for authentication. The Trustee shall thereupon authenticate and deliver such Securities to or upon the written order of the Company, signed by an Authorized Officer, or pursuant to such procedures reasonably acceptable to the Trustee and such recipients, without any further action by the Company. In authenticating such Securities, and accepting the additional responsibilities under this Indenture in relation to such Securities, the Trustee shall be entitled to receive, and shall be fully protected in relying upon:</w:t>
      </w:r>
    </w:p>
    <w:p>
      <w:pPr>
        <w:spacing w:after="0" w:line="192" w:lineRule="exact"/>
        <w:rPr>
          <w:sz w:val="20"/>
          <w:szCs w:val="20"/>
          <w:color w:val="auto"/>
        </w:rPr>
      </w:pPr>
    </w:p>
    <w:p>
      <w:pPr>
        <w:ind w:left="1960" w:hanging="656"/>
        <w:spacing w:after="0" w:line="269" w:lineRule="auto"/>
        <w:tabs>
          <w:tab w:leader="none" w:pos="17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instrument or instruments establishing the form or forms and terms of the Securities of such series, as provided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62" w:name="page63"/>
    <w:bookmarkEnd w:id="62"/>
    <w:p>
      <w:pPr>
        <w:ind w:left="1740" w:hanging="436"/>
        <w:spacing w:after="0"/>
        <w:tabs>
          <w:tab w:leader="none" w:pos="1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delivered in accordance with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hereof;</w:t>
      </w:r>
    </w:p>
    <w:p>
      <w:pPr>
        <w:spacing w:after="0" w:line="229"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80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Opinion of Counsel prepared in accordance with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to the following effect, which Opinion of Counsel may contain such assumptions, qualifications and limitations as such counsel shall deem appropriate:</w:t>
      </w:r>
    </w:p>
    <w:p>
      <w:pPr>
        <w:spacing w:after="0" w:line="172" w:lineRule="exact"/>
        <w:rPr>
          <w:rFonts w:ascii="Times New Roman" w:cs="Times New Roman" w:eastAsia="Times New Roman" w:hAnsi="Times New Roman"/>
          <w:sz w:val="20"/>
          <w:szCs w:val="20"/>
          <w:color w:val="auto"/>
        </w:rPr>
      </w:pPr>
    </w:p>
    <w:p>
      <w:pPr>
        <w:ind w:left="2600" w:hanging="648"/>
        <w:spacing w:after="0" w:line="269" w:lineRule="auto"/>
        <w:tabs>
          <w:tab w:leader="none" w:pos="236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forms and terms of such Securities have been established in conformity with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of this Indenture;</w:t>
      </w:r>
    </w:p>
    <w:p>
      <w:pPr>
        <w:spacing w:after="0" w:line="172"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conditions precedent set forth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w:t>
      </w:r>
    </w:p>
    <w:p>
      <w:pPr>
        <w:spacing w:after="0" w:line="28" w:lineRule="exact"/>
        <w:rPr>
          <w:sz w:val="20"/>
          <w:szCs w:val="20"/>
          <w:color w:val="auto"/>
        </w:rPr>
      </w:pPr>
    </w:p>
    <w:p>
      <w:pPr>
        <w:ind w:left="2600" w:right="20"/>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of this Indenture to the authentication and delivery of such Securities have been complied with; and</w:t>
      </w:r>
    </w:p>
    <w:p>
      <w:pPr>
        <w:spacing w:after="0" w:line="188" w:lineRule="exact"/>
        <w:rPr>
          <w:sz w:val="20"/>
          <w:szCs w:val="20"/>
          <w:color w:val="auto"/>
        </w:rPr>
      </w:pPr>
    </w:p>
    <w:p>
      <w:pPr>
        <w:jc w:val="right"/>
        <w:ind w:left="2600" w:hanging="648"/>
        <w:spacing w:after="0" w:line="251" w:lineRule="auto"/>
        <w:tabs>
          <w:tab w:leader="none" w:pos="250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Securities, when authenticated and delivered by the Trustee and issued by the Company in the manner and subject to any conditions specified in such Opinion of Counsel, will constitute valid and binding obligations of the Company entitled to the benefits provided by this Indenture, and enforceable in accordance with their terms, subject to (a) bankruptcy, insolvency, reorganization, moratorium, fraudulent transfer, fraudulent conveyance or other similar laws affecting creditors’ rights generally, (b) general</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principles of equity (regardless of whether enforceability is considered in a proceeding in equity or at law),</w:t>
      </w:r>
    </w:p>
    <w:p>
      <w:pPr>
        <w:spacing w:after="0" w:line="6" w:lineRule="exact"/>
        <w:rPr>
          <w:sz w:val="20"/>
          <w:szCs w:val="20"/>
          <w:color w:val="auto"/>
        </w:rPr>
      </w:pPr>
    </w:p>
    <w:p>
      <w:pPr>
        <w:jc w:val="both"/>
        <w:ind w:left="2600"/>
        <w:spacing w:after="0" w:line="256" w:lineRule="auto"/>
        <w:tabs>
          <w:tab w:leader="none" w:pos="288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commonly recognized statutory and judicial constraints as to enforceability, including statutes of limitations, and (d) public policy considerations which may limit the rights of parties to obtain certain remedies.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Trustee shall have the right to decline to authenticate and deliver the Securities of such series if the Trustee on the advice of counsel reasonably determines that such action may not lawfully be taken or would expose the Trustee to personal liability. The Trustee shall have no duty to make such an examination or determination.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Security shall be dated the date of its authentication.</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Notwithstanding the provisions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if all Securities of a series are not to be originally issued at one time, it shall not be necessary to deliver the Officer’s Certificate(s) otherwise required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the written order of the Company and Opinion of Counsel otherwise required pursuant to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at or prior to the time of authentication of each Security of such series if such documents are delivered at or prior to the authentication upon original issuance of the first Security of such series to be issued.</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3.04</w:t>
      </w:r>
      <w:r>
        <w:rPr>
          <w:sz w:val="20"/>
          <w:szCs w:val="20"/>
          <w:color w:val="auto"/>
        </w:rPr>
        <w:tab/>
      </w:r>
      <w:r>
        <w:rPr>
          <w:rFonts w:ascii="Times New Roman" w:cs="Times New Roman" w:eastAsia="Times New Roman" w:hAnsi="Times New Roman"/>
          <w:sz w:val="19"/>
          <w:szCs w:val="19"/>
          <w:b w:val="1"/>
          <w:bCs w:val="1"/>
          <w:color w:val="auto"/>
        </w:rPr>
        <w:t>Temporary Securities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Pending the preparation of a permanent Global Security or definitive Securities of any series, the Company may execute, and upon compliance with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the Trustee shall authenticate and deliver, temporary Securities that are printed, lithographed, typewritten, engraved or produced by any combination of these methods, in any authorized denomination, substantially of the tenor of the definitive Securities in lieu of which they are issued and with such appropriate insertions, omissions, substitutions and other variations as the Authorized Officer executing such Securities may determine, as evidenced by their execution of such Securities. In the case of Securities of any series, such temporary securities may be in global form, representing all or a portion of the Outstanding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Upon surrender for cancellation of any one or more temporary Securities of any series, the Company shall execute and the Trustee shall, upon receipt of a written order of the Company as described in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authenticate and deliver in exchange therefor, a like principal amount of definitive Securities of the same series of authorized denominations and of like tenor.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Until so exchanged, the temporary Securities of any series shall in all respects be entitled to the same benefits under this Indenture as definitive Securities of such series except as otherwise specified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payment of interest on Securities in temporary form. Such exchanges shall be made by the Company at its expense and without any charge therefor.</w:t>
      </w:r>
    </w:p>
    <w:p>
      <w:pPr>
        <w:spacing w:after="0" w:line="16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3.05</w:t>
      </w:r>
      <w:r>
        <w:rPr>
          <w:sz w:val="20"/>
          <w:szCs w:val="20"/>
          <w:color w:val="auto"/>
        </w:rPr>
        <w:tab/>
      </w:r>
      <w:r>
        <w:rPr>
          <w:rFonts w:ascii="Times New Roman" w:cs="Times New Roman" w:eastAsia="Times New Roman" w:hAnsi="Times New Roman"/>
          <w:sz w:val="19"/>
          <w:szCs w:val="19"/>
          <w:b w:val="1"/>
          <w:bCs w:val="1"/>
          <w:color w:val="auto"/>
        </w:rPr>
        <w:t>Registration; Registration of Transfer and Exchange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shall cause to be kept for each series of Securities a register or registers herein sometimes collectively referred to as the “</w:t>
      </w:r>
      <w:r>
        <w:rPr>
          <w:rFonts w:ascii="Times New Roman" w:cs="Times New Roman" w:eastAsia="Times New Roman" w:hAnsi="Times New Roman"/>
          <w:sz w:val="20"/>
          <w:szCs w:val="20"/>
          <w:u w:val="single" w:color="auto"/>
          <w:color w:val="auto"/>
        </w:rPr>
        <w:t>Security Register</w:t>
      </w:r>
      <w:r>
        <w:rPr>
          <w:rFonts w:ascii="Times New Roman" w:cs="Times New Roman" w:eastAsia="Times New Roman" w:hAnsi="Times New Roman"/>
          <w:sz w:val="20"/>
          <w:szCs w:val="20"/>
          <w:color w:val="auto"/>
        </w:rPr>
        <w:t>” in which, subject to such reasonable regulations as it may prescribe, the Company shall provide for the registration of such Securities and of transfers of such Securities. Such register shall be kept at the office or agency of the “</w:t>
      </w:r>
      <w:r>
        <w:rPr>
          <w:rFonts w:ascii="Times New Roman" w:cs="Times New Roman" w:eastAsia="Times New Roman" w:hAnsi="Times New Roman"/>
          <w:sz w:val="20"/>
          <w:szCs w:val="20"/>
          <w:u w:val="single" w:color="auto"/>
          <w:color w:val="auto"/>
        </w:rPr>
        <w:t>Security Registrar</w:t>
      </w:r>
      <w:r>
        <w:rPr>
          <w:rFonts w:ascii="Times New Roman" w:cs="Times New Roman" w:eastAsia="Times New Roman" w:hAnsi="Times New Roman"/>
          <w:sz w:val="20"/>
          <w:szCs w:val="20"/>
          <w:color w:val="auto"/>
        </w:rPr>
        <w:t>” for the purpose of registering such Securities and transfers of such Securities as herein provided.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Upon surrender for registration of transfer of any Security of any series, the Company shall execute, and the Trustee shall, upon receipt of a written order of the Company as described in Section 3.03, authenticate and deliver, in the name of the designated transferee or transferees, one or more new Securities of the same series and of like tenor, of any authorized denominations and of a like aggregate principal amount and Stated Maturity. In no case shall there be more than one Security Register for a series of Securities.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At the option of the Holder, Securities of any series (except a Global Security) may be exchanged for other Securities of the same series and of like tenor, of any authorized denominations and of a like aggregate principal amount and Stated Maturity upon surrender of the Securities to be exchanged. Whenever any Securities are so surrendered for exchange, the Company shall execute, and the Trustee shall, upon receipt of a written order of the Company as described in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authenticate and deliver the Securities that the Holder making the exchange is entitled to receive.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any other provision of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unless and until it is exchanged in whole or in part for Securities in definitive registered form, a Global Security representing all or a portion of the Securities of a series may not be transferred except as a whole by the Depositary to the nominee of the Depositary or by a nominee of the Depositary to the Depositary or another nominee of the Depositary or by the Depositary or any such nominee to a successor Depositary or to a nominee of such successor Depositary.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Every Security presented or surrendered for registration of transfer or for exchange shall (if so required by the Company or the Trustee) be duly endorsed, or be accompanied by a written instrument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transfer in form satisfactory to the Company and the Trustee duly executed by the Holder thereof or its attorney duly authorized in writing.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The Company shall not be required to (i) issue, register the transfer of or exchange Securities of any particular series during a period beginning at the opening of business 15 days before the day of selection of Securities of such series to be redeemed under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ending at the close of business on the day of the sending of a notice of redemption of Securities of such series selected for redemption or (ii) register the transfer of or exchange any Security so selected for redemption in whole or in part, except the unredeemed portion of any Security being redeemed in part.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Holder agrees to indemnify the Company and the Trustee against any liability that may result from the transfer, exchange or assignment of such Holder’s Security in violation of any provision of this Indenture and/or applicable U.S. federal or state securities laws.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None of the Trustee, any Paying Agent, the Security Registrar or the Company shall have any responsibility for any actions taken or not taken by the Depositary.</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3.06</w:t>
      </w:r>
      <w:r>
        <w:rPr>
          <w:sz w:val="20"/>
          <w:szCs w:val="20"/>
          <w:color w:val="auto"/>
        </w:rPr>
        <w:tab/>
      </w:r>
      <w:r>
        <w:rPr>
          <w:rFonts w:ascii="Times New Roman" w:cs="Times New Roman" w:eastAsia="Times New Roman" w:hAnsi="Times New Roman"/>
          <w:sz w:val="19"/>
          <w:szCs w:val="19"/>
          <w:b w:val="1"/>
          <w:bCs w:val="1"/>
          <w:color w:val="auto"/>
        </w:rPr>
        <w:t>Mutilated, Destroyed, Lost and Stolen Securities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any mutilated Security is surrendered to the Trustee, the Company shall execute, and the Trustee shall, upon receipt of a written order of the Company as described in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authenticate and deliver in exchange therefor, a new Security of the same series and of like tenor and principal amount and bearing a number not contemporaneously outstanding.</w:t>
      </w:r>
    </w:p>
    <w:p>
      <w:pPr>
        <w:spacing w:after="0" w:line="19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If there shall be delivered to the Company and the Trustee (i) evidence to their satisfaction of the destruction, loss or theft of any Security and (ii) such security or indemnity as may be requested by them to hold each of them and any agent of any of them harmless, then the Company shall execute and, upon written request, the Trustee shall authenticate and deliver, in lieu of any such destroyed, lost or stolen Security, a new Security of the same series and of like tenor and principal amount and bearing a number not contemporaneously outstanding.</w:t>
      </w:r>
    </w:p>
    <w:p>
      <w:pPr>
        <w:spacing w:after="0" w:line="15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case any such mutilated, destroyed, lost or stolen Security has become or is about to become due and payable, the Company in its discretion may, instead of issuing a new Security, pay such Security.</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Upon the issuance of any new Security under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the Company may require the payment of a sum sufficient to cover any tax or other governmental charge that may be imposed in relation thereto and any other expenses (including the fees and expenses of the Trustee) connected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65" w:name="page66"/>
    <w:bookmarkEnd w:id="65"/>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Every new Security of any series issued pursuant to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are exclusive and shall preclude (to the extent lawful) all other rights and remedies with respect to the replacement or payment of mutilated, destroyed, lost or stolen Securities.</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3.07</w:t>
      </w:r>
      <w:r>
        <w:rPr>
          <w:sz w:val="20"/>
          <w:szCs w:val="20"/>
          <w:color w:val="auto"/>
        </w:rPr>
        <w:tab/>
      </w:r>
      <w:r>
        <w:rPr>
          <w:rFonts w:ascii="Times New Roman" w:cs="Times New Roman" w:eastAsia="Times New Roman" w:hAnsi="Times New Roman"/>
          <w:sz w:val="19"/>
          <w:szCs w:val="19"/>
          <w:b w:val="1"/>
          <w:bCs w:val="1"/>
          <w:color w:val="auto"/>
        </w:rPr>
        <w:t>Payment of Interest; Interest Rights Preserved</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and, with respect to any Global Security, in accordance with the Applicable Procedures.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interest on any Security of any series that is payable, but is not punctually paid or duly provided for, on any Interest Payment Date (herein called “</w:t>
      </w:r>
      <w:r>
        <w:rPr>
          <w:rFonts w:ascii="Times New Roman" w:cs="Times New Roman" w:eastAsia="Times New Roman" w:hAnsi="Times New Roman"/>
          <w:sz w:val="20"/>
          <w:szCs w:val="20"/>
          <w:u w:val="single" w:color="auto"/>
          <w:color w:val="auto"/>
        </w:rPr>
        <w:t>Defaulted Interest</w:t>
      </w:r>
      <w:r>
        <w:rPr>
          <w:rFonts w:ascii="Times New Roman" w:cs="Times New Roman" w:eastAsia="Times New Roman" w:hAnsi="Times New Roman"/>
          <w:sz w:val="20"/>
          <w:szCs w:val="20"/>
          <w:color w:val="auto"/>
        </w:rPr>
        <w:t>”) shall forthwith cease to be payable to the Holder at the close of business on the relevant Regular Record Date, and such Defaulted Interest shall be paid by the Company, at its election, as provided in either clause (1) or (2) below:</w:t>
      </w:r>
    </w:p>
    <w:p>
      <w:pPr>
        <w:spacing w:after="0" w:line="181" w:lineRule="exact"/>
        <w:rPr>
          <w:sz w:val="20"/>
          <w:szCs w:val="20"/>
          <w:color w:val="auto"/>
        </w:rPr>
      </w:pPr>
    </w:p>
    <w:p>
      <w:pPr>
        <w:ind w:left="1960" w:hanging="656"/>
        <w:spacing w:after="0" w:line="248" w:lineRule="auto"/>
        <w:tabs>
          <w:tab w:leader="none" w:pos="17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Special Record Date shall be fixed in the following manner. The Company shall notify the Trustee, in writing, as to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unless otherwise agreed to by the Trustee, not less than 10 days after the receipt by the Trustee of the written notice of the proposed payment. The Company shall promptly notify the Trustee, in writing, of such Special Record Date and, in the name and at the expense of the Company, shall cause notice of the proposed payment of such Defaulted Interest and the Special Record Date therefor to be e-mailed or mailed (first-class postage prepaid) to each Holder of Securities of such series at such Holder’s e-mail or address as it appears in the Security Register or sent pursuant to Applicable Procedures,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66" w:name="page67"/>
    <w:bookmarkEnd w:id="66"/>
    <w:p>
      <w:pPr>
        <w:ind w:left="1960" w:hanging="656"/>
        <w:spacing w:after="0" w:line="253" w:lineRule="auto"/>
        <w:tabs>
          <w:tab w:leader="none" w:pos="176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payment of any Defaulted Interest on the Securities of any series in any other lawful manner not inconsistent with the requirements of any Depositary or any securities exchange on which such Securities may be listed, and upon such notice as may be required by such Depositary or securities exchange, if, after written notice given by the Company to the Trustee of the proposed payment pursuant to this clause, such manner of payment shall be deemed practicable by the Trustee.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Subject to the foregoing provisions of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3.08</w:t>
      </w:r>
      <w:r>
        <w:rPr>
          <w:sz w:val="20"/>
          <w:szCs w:val="20"/>
          <w:color w:val="auto"/>
        </w:rPr>
        <w:tab/>
      </w:r>
      <w:r>
        <w:rPr>
          <w:rFonts w:ascii="Times New Roman" w:cs="Times New Roman" w:eastAsia="Times New Roman" w:hAnsi="Times New Roman"/>
          <w:sz w:val="19"/>
          <w:szCs w:val="19"/>
          <w:b w:val="1"/>
          <w:bCs w:val="1"/>
          <w:color w:val="auto"/>
        </w:rPr>
        <w:t>Persons Deemed Owners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214"/>
        <w:spacing w:after="0" w:line="251" w:lineRule="auto"/>
        <w:rPr>
          <w:sz w:val="20"/>
          <w:szCs w:val="20"/>
          <w:color w:val="auto"/>
        </w:rPr>
      </w:pPr>
      <w:r>
        <w:rPr>
          <w:rFonts w:ascii="Times New Roman" w:cs="Times New Roman" w:eastAsia="Times New Roman" w:hAnsi="Times New Roman"/>
          <w:sz w:val="20"/>
          <w:szCs w:val="20"/>
          <w:color w:val="auto"/>
        </w:rPr>
        <w:t xml:space="preserve">The Company and the Trustee, and their respective agents, shall treat the Person in whose name any Security is registered as the owner of such Security for the purpose of receiving payment of principal of, premium, if any, and (subject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interest, if any, on such Security and for all other purposes whatsoever, whether or not such Security shall be overdue, and neither the Company nor the Trustee, nor their respective agents, shall be affected by notice to the contrary.</w:t>
      </w:r>
    </w:p>
    <w:p>
      <w:pPr>
        <w:spacing w:after="0" w:line="190" w:lineRule="exact"/>
        <w:rPr>
          <w:sz w:val="20"/>
          <w:szCs w:val="20"/>
          <w:color w:val="auto"/>
        </w:rPr>
      </w:pPr>
    </w:p>
    <w:p>
      <w:pPr>
        <w:jc w:val="both"/>
        <w:ind w:firstLine="200"/>
        <w:spacing w:after="0" w:line="251" w:lineRule="auto"/>
        <w:rPr>
          <w:sz w:val="20"/>
          <w:szCs w:val="20"/>
          <w:color w:val="auto"/>
        </w:rPr>
      </w:pPr>
      <w:r>
        <w:rPr>
          <w:rFonts w:ascii="Times New Roman" w:cs="Times New Roman" w:eastAsia="Times New Roman" w:hAnsi="Times New Roman"/>
          <w:sz w:val="20"/>
          <w:szCs w:val="20"/>
          <w:color w:val="auto"/>
        </w:rPr>
        <w:t>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 The Company, the Trustee, any Paying Agent and the Security Registrar shall be entitled to deal with the Depositary, and any nominee thereof, that is the registered holder of any Global Security for all purposes of this Indenture relating to such Global Security (including the payment of principal, premium, if any, and interest and additional amounts, if any, and the giving of instructions or directions by or to the owner or holder of a beneficial ownership interest in such Global Security) as the sole holder of such Global Security and shall have no obligations to the beneficial owners thereof.</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3.09</w:t>
      </w:r>
      <w:r>
        <w:rPr>
          <w:sz w:val="20"/>
          <w:szCs w:val="20"/>
          <w:color w:val="auto"/>
        </w:rPr>
        <w:tab/>
      </w:r>
      <w:r>
        <w:rPr>
          <w:rFonts w:ascii="Times New Roman" w:cs="Times New Roman" w:eastAsia="Times New Roman" w:hAnsi="Times New Roman"/>
          <w:sz w:val="19"/>
          <w:szCs w:val="19"/>
          <w:b w:val="1"/>
          <w:bCs w:val="1"/>
          <w:color w:val="auto"/>
        </w:rPr>
        <w:t>Cancellation</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All Securities surrendered for payment, redemption, registration of transfer or exchange or for credit against any payment in respect of a sinking fund or analogous obligation shall, if surrendered to any Person other than the Trustee, be delivered to the Trustee and shall be promptly cancelled by it. The Company may at any time deliver to the Trustee for cancellation any Securities previously authenticated and delivered hereunder that the Company may have acquired in any manner whatsoever, and all Securities so delivered shall be promptly cancelled by the Trustee. No Securities shall be authenticated in lieu of or in exchange for any Securities cancelled as provided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3.09</w:t>
      </w:r>
      <w:r>
        <w:rPr>
          <w:rFonts w:ascii="Times New Roman" w:cs="Times New Roman" w:eastAsia="Times New Roman" w:hAnsi="Times New Roman"/>
          <w:sz w:val="20"/>
          <w:szCs w:val="20"/>
          <w:color w:val="auto"/>
        </w:rPr>
        <w:t>, except as expressly permitted by this Indenture. All cancelled Securities held by the Trustee shall be disposed of by the Trustee pursuant to its standing procedures, and the Trustee shall, upon written request therefor, deliver to the Company a certificate of cancellation in respect thereof.</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3.10</w:t>
      </w:r>
      <w:r>
        <w:rPr>
          <w:sz w:val="20"/>
          <w:szCs w:val="20"/>
          <w:color w:val="auto"/>
        </w:rPr>
        <w:tab/>
      </w:r>
      <w:r>
        <w:rPr>
          <w:rFonts w:ascii="Times New Roman" w:cs="Times New Roman" w:eastAsia="Times New Roman" w:hAnsi="Times New Roman"/>
          <w:sz w:val="19"/>
          <w:szCs w:val="19"/>
          <w:b w:val="1"/>
          <w:bCs w:val="1"/>
          <w:color w:val="auto"/>
        </w:rPr>
        <w:t>Computation of Interest; Calculations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Except as otherwise specified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for Securities of any series, any determination of interest, additional amounts, redemption price, premium, if any, and any other amounts payable with respect to the Securities of each series shall be computed on the basis of a 360-day year of twelve 30-day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67" w:name="page68"/>
    <w:bookmarkEnd w:id="67"/>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shall be responsible for making calculations called for under the Securities and this Indenture, including determination of interest, additional amounts, redemption price, premium, if any, and any other amounts payable on the Securities. Absent manifest error, the Company’s calculations will be final and binding on the Holders. The Trustee is entitled to rely conclusively on the accuracy of the Company’s calculations without independent verification.</w:t>
      </w:r>
    </w:p>
    <w:p>
      <w:pPr>
        <w:spacing w:after="0" w:line="168"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3.11</w:t>
      </w:r>
      <w:r>
        <w:rPr>
          <w:sz w:val="20"/>
          <w:szCs w:val="20"/>
          <w:color w:val="auto"/>
        </w:rPr>
        <w:tab/>
      </w:r>
      <w:r>
        <w:rPr>
          <w:rFonts w:ascii="Times New Roman" w:cs="Times New Roman" w:eastAsia="Times New Roman" w:hAnsi="Times New Roman"/>
          <w:sz w:val="19"/>
          <w:szCs w:val="19"/>
          <w:b w:val="1"/>
          <w:bCs w:val="1"/>
          <w:color w:val="auto"/>
        </w:rPr>
        <w:t>CUSIP Numbers, ISINs and Common Code Numbers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Company in issuing any Securities may use “CUSIP” numbers, “ISINs” and/or “Common Code” numbers (if then generally in use), and, if so, the Trustee shall as a convenience use “CUSIP” numbers, “ISINs” and/or “Common Code” numbers in notices to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of such numbers either as printed on the Securities or as contained in any notice and that reliance may be placed only on the other identification numbers printed on the Securities. The Company will promptly notify the Trustee in writing of any change in the “CUSIP” numbers, “ISINs” and/or “Common Code” numbers of any Securities.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20"/>
        <w:spacing w:after="0"/>
        <w:tabs>
          <w:tab w:leader="none" w:pos="40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REDEMPTION OF SECURITIES</w:t>
      </w:r>
    </w:p>
    <w:p>
      <w:pPr>
        <w:spacing w:after="0" w:line="21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4.01</w:t>
      </w:r>
      <w:r>
        <w:rPr>
          <w:sz w:val="20"/>
          <w:szCs w:val="20"/>
          <w:color w:val="auto"/>
        </w:rPr>
        <w:tab/>
      </w:r>
      <w:r>
        <w:rPr>
          <w:rFonts w:ascii="Times New Roman" w:cs="Times New Roman" w:eastAsia="Times New Roman" w:hAnsi="Times New Roman"/>
          <w:sz w:val="19"/>
          <w:szCs w:val="19"/>
          <w:b w:val="1"/>
          <w:bCs w:val="1"/>
          <w:color w:val="auto"/>
        </w:rPr>
        <w:t>Applicability of Right of Redemption</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Redemption of Securities (other than pursuant to a sinking fund or analogous provision, if applicable) permitted by the terms of any series of Securities shall be made in accordance with such terms and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4.04</w:t>
      </w:r>
      <w:r>
        <w:rPr>
          <w:rFonts w:ascii="Times New Roman" w:cs="Times New Roman" w:eastAsia="Times New Roman" w:hAnsi="Times New Roman"/>
          <w:sz w:val="20"/>
          <w:szCs w:val="20"/>
          <w:color w:val="auto"/>
        </w:rPr>
        <w:t xml:space="preserve"> and (with respect to any redemptions for which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4.04</w:t>
      </w:r>
      <w:r>
        <w:rPr>
          <w:rFonts w:ascii="Times New Roman" w:cs="Times New Roman" w:eastAsia="Times New Roman" w:hAnsi="Times New Roman"/>
          <w:sz w:val="20"/>
          <w:szCs w:val="20"/>
          <w:color w:val="auto"/>
        </w:rPr>
        <w:t xml:space="preserve"> are not applicable)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notwithstanding anything to the contrary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if any such terms of a series of Securities shall conflict with any provisions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the terms of such series shall govern.</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4.02</w:t>
      </w:r>
      <w:r>
        <w:rPr>
          <w:sz w:val="20"/>
          <w:szCs w:val="20"/>
          <w:color w:val="auto"/>
        </w:rPr>
        <w:tab/>
      </w:r>
      <w:r>
        <w:rPr>
          <w:rFonts w:ascii="Times New Roman" w:cs="Times New Roman" w:eastAsia="Times New Roman" w:hAnsi="Times New Roman"/>
          <w:sz w:val="19"/>
          <w:szCs w:val="19"/>
          <w:b w:val="1"/>
          <w:bCs w:val="1"/>
          <w:color w:val="auto"/>
        </w:rPr>
        <w:t>Election to Redeem; Notice of Redemption; Partial Redemption</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election of the Company to redeem any Securities of any series shall be evidenced by, or effected pursuant to, an Officer’s Certificate delivered to the Trustee at least three Business Days prior to the time notice of redemption is sent to the Holders of the Securities (or such lesser number of days as the Trustee shall approve). In case the Company shall desire to exercise such right to redeem all, or, as the case may be, any part of the Securities of any series, it shall give notice of such redemption to Holders of the Securities to be redeemed as hereinafter provided in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Any notice of redemption to be given to the Holders of Securities to be redeemed as a whole or in part shall be given in the manner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not less than 10 nor more than 60 days prior to the date fixed for redemption, except that any notice of redemption may be mailed or electronically delivered more than 60 days prior to a redemption date if the notice is issued in connection with a legal or covenant defeasance of the Securities or a satisfaction and discharge of this Indenture. Any such notice of redemption may, in the Company’s discretion, be given subject to the satisfaction of one or more conditions precedent. In that case, such notice of redemption shall describe each such condition and, if applicable, shall state that, in the Company’s discretion, the (i) redemption date may be delayed until such time (including by more than 60 days after the date the notice of redemption was mailed or delivered, including by electronic transmission) as any or all such conditions shall be satisfied or waived by the Company in its sole discretion, or (ii) such redemption may not occur and such notice may be rescinded in the event that any or all such conditions shall not have been satisfied or waived by the Company by the relevant redemption date, or by the redemption date as so delayed. In addition, the Company may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83" w:lineRule="auto"/>
        <w:rPr>
          <w:sz w:val="20"/>
          <w:szCs w:val="20"/>
          <w:color w:val="auto"/>
        </w:rPr>
      </w:pPr>
      <w:r>
        <w:rPr>
          <w:rFonts w:ascii="Times New Roman" w:cs="Times New Roman" w:eastAsia="Times New Roman" w:hAnsi="Times New Roman"/>
          <w:sz w:val="20"/>
          <w:szCs w:val="20"/>
          <w:color w:val="auto"/>
        </w:rPr>
        <w:t>in such notice that payment of the redemption price and performance of the Company’s obligations with respect to such redemption may be performed by another Person.</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such notice of redemption shall specify the date fixed for redemption and the redemption price (or manner of calculation if not then known) at which Securities are to be redeemed, shall state the section of this Indenture and the Securities authorizing redemption and shall state that payment of the redemption price of the Securities to be redeemed, together with interest accrued thereon to, but excluding, the date fixed for redemption (except that if such redemption date is an Interest Payment Date such interest due on such date with respect to a particular Security shall instead be payable on such Interest Payment Date to the Holder of record at the close of business on the Regular Record Date for such Interest Payment Date, unless, with respect to any Global Security, the procedures of the Depositary require payment to be completed in an alternate manner and in such case the procedures of the Depositary may control), will be made upon presentation and surrender of such Securities and that, from and after said date fixed for redemption, any interest thereon will cease to accrue, such Securities subject to such redemption shall cease to be outstanding and the Holder(s) thereof shall have no rights with respect thereto other than the right to receive the redemption price upon such presentation and surrender. The notice shall state the “CUSIP” number, “ISIN” and/or “Common Code” number and that no representation is made as to the correctness or accuracy of the “CUSIP” number, “ISIN” and/or “Common Code” number, if any, listed in such notice or printed on the Securities.</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In case any Security of a series is to be redeemed in part only (which part shall be an authorized denomination of the Securities of such series as set forth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the notice that relates to such Securities shall state the portion of the principal amount to be redeemed, and that on and after the redemption date, upon surrender of such Security, a new Security or Securities of the same series in principal amount equal to the unredeemed portion thereof shall be issued (or transferred by book entry). No Security whose denomination is the minimum denomination, as set forth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of principal amount may be redeemed in part.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To the extent that the Securities of any series have different terms, the Company shall designate the Securities to be redeemed if fewer than all of a series are to be redeemed. If fewer than all the Securities of a series having the same terms are to be redeemed, the Company shall give the Trustee, not less than three Business Days (or such lesser number of days as the Trustee shall approve) prior to the date such notice of redemption is to be sent to the Holders of the Securities, written notice of the aggregate amount of the Securities to be redeemed.</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If fewer than all of the Securities of a series are to be redeemed at any time, and the Securities of such series are Global Securities, they will be selected for redemption in accordance with Applicable Procedures. If the Securities of such series are not Global Securities, the Trustee shall select the Securities to be redeemed among the Holders (1) in compliance with the requirements of the principal national securities exchange, if any, on which the Securities are listed or (2) if the Securities are not so listed,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by lot or in accordance with any other method the Trustee shall deem appropriate or in accordance with applicable Depositary procedures, and shall thereafter promptly notify the Company and any Paying Agent (if other than the Trustee) in writing of the Securities selected for redemption and the principal amount thereof to be redeemed.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Any notice of redemption may be given by the Company pursuant to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At the Company’s request, the Trustee shall provide the notice of redemption in the Company’s name and at its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has delivered a written request to the Trustee at least three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69" w:name="page70"/>
    <w:bookmarkEnd w:id="69"/>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Days (or such lesser number of days as the Trustee shall approve) prior to the date such notice is to be given, which request shall set forth the information to be stated in such notice.</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4.03</w:t>
      </w:r>
      <w:r>
        <w:rPr>
          <w:sz w:val="20"/>
          <w:szCs w:val="20"/>
          <w:color w:val="auto"/>
        </w:rPr>
        <w:tab/>
      </w:r>
      <w:r>
        <w:rPr>
          <w:rFonts w:ascii="Times New Roman" w:cs="Times New Roman" w:eastAsia="Times New Roman" w:hAnsi="Times New Roman"/>
          <w:sz w:val="19"/>
          <w:szCs w:val="19"/>
          <w:b w:val="1"/>
          <w:bCs w:val="1"/>
          <w:color w:val="auto"/>
        </w:rPr>
        <w:t>Payment of Securities Called for Redemption</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notice of redemption shall have been given in the manner provided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Securities or portions of Securities specified in such notice shall become due and payable on the date and at the place stated in such notice at the applicable redemption price, together with interest accrued thereon, if any, to, but excluding, the date fixed for redemption, and on and after such date of redemption (unless the Company shall default in the payment of such Securities or portions thereof at the redemption price, together with interest accrued thereon, if any, to, but excluding, the date fixed for redemption) any interest on the Securities or portions of Securities so called for redemption shall cease to accrue and such Securities and portions of Securities shall be deemed not to be outstanding hereunder and shall not be entitled to any benefit under this Indenture except for the right of the Holder(s) thereof to receive, in accordance with the next sentence, payment of the redemption price, together, if applicable, with accrued interest thereon, if any, to, but excluding, the date fixed for redemption. On presentation and surrender of such Securities, on or after the redemption date specified in the notice of redemption, such Securities or specified portions thereof shall be paid and redeemed by the Company at the applicable redemption price, together with interest accrued thereon, if any, to, but, excluding, the date fixed for redemption;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unless otherwise specified as contemplated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installments of interest that mature on Securities on or prior to the redemption date shall be payable to the Holders of such Securities, or one or more predecessor Securities, registered as such at the close of business on the relevant Regular Record Dates according to their terms and the provisions of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Upon presentation and surrender of any Security that is to be redeemed in part only, the Company shall execute, and the Trustee shall, upon receipt of a written order of the Company as described in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authenticate and deliver to the Holder or transfer by book entry, at the expense of the Company, a new Security or Securities of the same series of authorized denominations in principal amount equal to the unredeemed portion of the Security so surrendered.</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4.04</w:t>
      </w:r>
      <w:r>
        <w:rPr>
          <w:sz w:val="20"/>
          <w:szCs w:val="20"/>
          <w:color w:val="auto"/>
        </w:rPr>
        <w:tab/>
      </w:r>
      <w:r>
        <w:rPr>
          <w:rFonts w:ascii="Times New Roman" w:cs="Times New Roman" w:eastAsia="Times New Roman" w:hAnsi="Times New Roman"/>
          <w:sz w:val="19"/>
          <w:szCs w:val="19"/>
          <w:b w:val="1"/>
          <w:bCs w:val="1"/>
          <w:color w:val="auto"/>
        </w:rPr>
        <w:t>Deposit of Funds for Redemption of Securities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or prior to 11:00 a.m. Eastern Time on the date fixed for redemption of any Securities as provided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the Company shall deposit in trust with the Trustee or with any Paying Agent (or if and to the extent that the Company shall be acting as its own Paying Agent, the Company shall set aside, segregate and hold in trust) funds sufficient to redeem the Securities or portions thereof to be redeemed on such redemption date, at the applicable redemption price, together with interest accrued thereon, if any, to, but excluding, the redemption date. The Trustee or the Paying Agent, as applicable, will promptly return to the Company any money deposited with the Trustee or the Paying Agent, as applicable, by the Company in excess of the amounts necessary to pay the applicable redemption price, together with interest accrued thereon, if any, to, but excluding, the redemption date.</w:t>
      </w:r>
    </w:p>
    <w:p>
      <w:pPr>
        <w:spacing w:after="0" w:line="17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4.05</w:t>
      </w:r>
      <w:r>
        <w:rPr>
          <w:sz w:val="20"/>
          <w:szCs w:val="20"/>
          <w:color w:val="auto"/>
        </w:rPr>
        <w:tab/>
      </w:r>
      <w:r>
        <w:rPr>
          <w:rFonts w:ascii="Times New Roman" w:cs="Times New Roman" w:eastAsia="Times New Roman" w:hAnsi="Times New Roman"/>
          <w:sz w:val="19"/>
          <w:szCs w:val="19"/>
          <w:b w:val="1"/>
          <w:bCs w:val="1"/>
          <w:color w:val="auto"/>
        </w:rPr>
        <w:t>Mandatory Redemption</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Unless otherwise indicated for a particular series of Securities by an Officer’s Certificate, supplemental indenture or Board Resolution, the Company shall not be required to make any mandatory redemption or sinking fund payment with respect to any series of Securities.</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4.06</w:t>
      </w:r>
      <w:r>
        <w:rPr>
          <w:sz w:val="20"/>
          <w:szCs w:val="20"/>
          <w:color w:val="auto"/>
        </w:rPr>
        <w:tab/>
      </w:r>
      <w:r>
        <w:rPr>
          <w:rFonts w:ascii="Times New Roman" w:cs="Times New Roman" w:eastAsia="Times New Roman" w:hAnsi="Times New Roman"/>
          <w:sz w:val="19"/>
          <w:szCs w:val="19"/>
          <w:b w:val="1"/>
          <w:bCs w:val="1"/>
          <w:color w:val="auto"/>
        </w:rPr>
        <w:t>Other Transactions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Indenture, other than a redemption conducted pursuant to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4.04</w:t>
      </w:r>
      <w:r>
        <w:rPr>
          <w:rFonts w:ascii="Times New Roman" w:cs="Times New Roman" w:eastAsia="Times New Roman" w:hAnsi="Times New Roman"/>
          <w:sz w:val="20"/>
          <w:szCs w:val="20"/>
          <w:color w:val="auto"/>
        </w:rPr>
        <w:t xml:space="preserve"> of this Indenture, the Company and its Affiliates may, at any time and from time to time, purchase, repurchase, redeem, exchange, defease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20"/>
          <w:szCs w:val="20"/>
          <w:color w:val="auto"/>
        </w:rPr>
        <w:t>acquire or retire the Securities by any means from any Person, upon such terms and conditions, at such prices and with such considerations as the Company and its Affiliates may determine, including in negotiated transactions, open market purchases, by tender offer or any other transactions with one or more Holders and/or beneficial owners of Securities.</w:t>
      </w:r>
    </w:p>
    <w:p>
      <w:pPr>
        <w:spacing w:after="0" w:line="177" w:lineRule="exact"/>
        <w:rPr>
          <w:sz w:val="20"/>
          <w:szCs w:val="20"/>
          <w:color w:val="auto"/>
        </w:rPr>
      </w:pPr>
    </w:p>
    <w:p>
      <w:pPr>
        <w:ind w:left="4180" w:hanging="357"/>
        <w:spacing w:after="0"/>
        <w:tabs>
          <w:tab w:leader="none" w:pos="418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PARTICULAR COVENANTS</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5.01</w:t>
      </w:r>
      <w:r>
        <w:rPr>
          <w:sz w:val="20"/>
          <w:szCs w:val="20"/>
          <w:color w:val="auto"/>
        </w:rPr>
        <w:tab/>
      </w:r>
      <w:r>
        <w:rPr>
          <w:rFonts w:ascii="Times New Roman" w:cs="Times New Roman" w:eastAsia="Times New Roman" w:hAnsi="Times New Roman"/>
          <w:sz w:val="19"/>
          <w:szCs w:val="19"/>
          <w:b w:val="1"/>
          <w:bCs w:val="1"/>
          <w:color w:val="auto"/>
        </w:rPr>
        <w:t>Payments of Principal, Premium, if any, and Interest, if any</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covenants and agrees, for the benefit of each series of Securities, that it will duly and punctually pay or cause to be paid the principal of, premium, if any, and interest, if any, on the Securities of that series at the times and places and in the manner provided herein and in the Securities of that series.</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5.02</w:t>
      </w:r>
      <w:r>
        <w:rPr>
          <w:sz w:val="20"/>
          <w:szCs w:val="20"/>
          <w:color w:val="auto"/>
        </w:rPr>
        <w:tab/>
      </w:r>
      <w:r>
        <w:rPr>
          <w:rFonts w:ascii="Times New Roman" w:cs="Times New Roman" w:eastAsia="Times New Roman" w:hAnsi="Times New Roman"/>
          <w:sz w:val="19"/>
          <w:szCs w:val="19"/>
          <w:b w:val="1"/>
          <w:bCs w:val="1"/>
          <w:color w:val="auto"/>
        </w:rPr>
        <w:t>Office or Agency for Certain Purposes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Company will maintain an office or agency where Securities may be presented or surrendered for payment, where Securities may be surrendered for registration of transfer or exchange and where notices and demands to or upon the Company in respect of such Securities and this Indenture may be served. The Company will give prompt written notice to the Trustee of the location, and any change in the location, of any such office or agency.</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designation or rescission shall in any manner relieve the Company of its obligation to maintain an office or agency in accordance with the requirements set forth above.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5.03</w:t>
      </w:r>
      <w:r>
        <w:rPr>
          <w:sz w:val="20"/>
          <w:szCs w:val="20"/>
          <w:color w:val="auto"/>
        </w:rPr>
        <w:tab/>
      </w:r>
      <w:r>
        <w:rPr>
          <w:rFonts w:ascii="Times New Roman" w:cs="Times New Roman" w:eastAsia="Times New Roman" w:hAnsi="Times New Roman"/>
          <w:sz w:val="19"/>
          <w:szCs w:val="19"/>
          <w:b w:val="1"/>
          <w:bCs w:val="1"/>
          <w:color w:val="auto"/>
        </w:rPr>
        <w:t>Waiver of Certain Covenants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Company may omit in any particular instance to comply with any term, provision or condition with respect to the Securities of any series and, if expressly provided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any additional covenants applicable to the Securities of such series if, before the time for such compliance, the Holders of at least a majority in aggregate principal amount of the Outstanding Securities of such series,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0"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5.04</w:t>
      </w:r>
      <w:r>
        <w:rPr>
          <w:sz w:val="20"/>
          <w:szCs w:val="20"/>
          <w:color w:val="auto"/>
        </w:rPr>
        <w:tab/>
      </w:r>
      <w:r>
        <w:rPr>
          <w:rFonts w:ascii="Times New Roman" w:cs="Times New Roman" w:eastAsia="Times New Roman" w:hAnsi="Times New Roman"/>
          <w:sz w:val="19"/>
          <w:szCs w:val="19"/>
          <w:b w:val="1"/>
          <w:bCs w:val="1"/>
          <w:color w:val="auto"/>
        </w:rPr>
        <w:t>Appointments to Fill Vacancies in Trustee’s Office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0"/>
          <w:szCs w:val="20"/>
          <w:color w:val="auto"/>
        </w:rPr>
        <w:t xml:space="preserve">The Company, whenever necessary to avoid or fill a vacancy in the office of the Trustee, will appoint, in the manner provided in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a Trustee, so that there shall at all times be a Trustee hereunder.</w:t>
      </w:r>
    </w:p>
    <w:p>
      <w:pPr>
        <w:spacing w:after="0" w:line="15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5.05</w:t>
      </w:r>
      <w:r>
        <w:rPr>
          <w:sz w:val="20"/>
          <w:szCs w:val="20"/>
          <w:color w:val="auto"/>
        </w:rPr>
        <w:tab/>
      </w:r>
      <w:r>
        <w:rPr>
          <w:rFonts w:ascii="Times New Roman" w:cs="Times New Roman" w:eastAsia="Times New Roman" w:hAnsi="Times New Roman"/>
          <w:sz w:val="19"/>
          <w:szCs w:val="19"/>
          <w:b w:val="1"/>
          <w:bCs w:val="1"/>
          <w:color w:val="auto"/>
        </w:rPr>
        <w:t>Provisions as to Paying Agent</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56"/>
        <w:spacing w:after="0" w:line="253" w:lineRule="auto"/>
        <w:tabs>
          <w:tab w:leader="none" w:pos="109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Company shall appoint a Paying Agent other than the Trustee with respect to any series of Securities, the Company will cause such Paying Agent to execute and deliver to the Trustee an instrument in which such agent shall agree with the Trustee subject to this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that it will, in addition to fulfilling the duties provided in Section 317 of the Trust Indenture Act, at any time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71" w:name="page72"/>
    <w:bookmarkEnd w:id="71"/>
    <w:p>
      <w:pPr>
        <w:spacing w:after="0" w:line="283" w:lineRule="auto"/>
        <w:rPr>
          <w:sz w:val="20"/>
          <w:szCs w:val="20"/>
          <w:color w:val="auto"/>
        </w:rPr>
      </w:pPr>
      <w:r>
        <w:rPr>
          <w:rFonts w:ascii="Times New Roman" w:cs="Times New Roman" w:eastAsia="Times New Roman" w:hAnsi="Times New Roman"/>
          <w:sz w:val="20"/>
          <w:szCs w:val="20"/>
          <w:color w:val="auto"/>
        </w:rPr>
        <w:t>continuance any such default, upon the written request of the Trustee, forthwith pay to the Trustee all sums so held in trust by such Paying Agent.</w:t>
      </w:r>
    </w:p>
    <w:p>
      <w:pPr>
        <w:spacing w:after="0" w:line="146" w:lineRule="exact"/>
        <w:rPr>
          <w:sz w:val="20"/>
          <w:szCs w:val="20"/>
          <w:color w:val="auto"/>
        </w:rPr>
      </w:pPr>
    </w:p>
    <w:p>
      <w:pPr>
        <w:ind w:right="20" w:firstLine="656"/>
        <w:spacing w:after="0" w:line="283"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shall act as its own Paying Agent with respect to any series of Securities, it will comply with Section 317 of the Trust Indenture Act.</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12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Company shall have one or more Paying Agents for any series of Securities, it will, on or prior to 11:00 a.m. Eastern Time on each due date of the principal of, premium, if any, or interest, if any, on any Securities of that series, deposit with a Paying Agent a sum sufficient to pay the principal, premium, if any, or interest, if any, so becoming due, such sum to be held in trust for the benefit of the Holders of such Securities, and (unless such Paying Agent is the Trustee) the Paying Agent shall promptly notify the Trustee of the Company’s action or failure so to act.</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to the contrary notwithstanding, the Company may, at its option, at any time, for the purpose of obtaining a satisfaction and discharge with respect to one or more or all series of Securities hereunder, or for any other reason, pay or cause to be paid to the Trustee (or Paying Agent) all sums held in trust for any such series by it, or by any Paying Agent hereunder, as required by this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such sums to be held by the Trustee upon the trusts herein contained.</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10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to the contrary notwithstanding, the agreement to hold sums in trust as provided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5.05</w:t>
      </w:r>
      <w:r>
        <w:rPr>
          <w:rFonts w:ascii="Times New Roman" w:cs="Times New Roman" w:eastAsia="Times New Roman" w:hAnsi="Times New Roman"/>
          <w:sz w:val="20"/>
          <w:szCs w:val="20"/>
          <w:color w:val="auto"/>
        </w:rPr>
        <w:t xml:space="preserve"> is subject to </w:t>
      </w:r>
      <w:r>
        <w:rPr>
          <w:rFonts w:ascii="Times New Roman" w:cs="Times New Roman" w:eastAsia="Times New Roman" w:hAnsi="Times New Roman"/>
          <w:sz w:val="20"/>
          <w:szCs w:val="20"/>
          <w:u w:val="single" w:color="auto"/>
          <w:color w:val="auto"/>
        </w:rPr>
        <w:t>Section 13.04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13.05</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5.06</w:t>
      </w:r>
      <w:r>
        <w:rPr>
          <w:sz w:val="20"/>
          <w:szCs w:val="20"/>
          <w:color w:val="auto"/>
        </w:rPr>
        <w:tab/>
      </w:r>
      <w:r>
        <w:rPr>
          <w:rFonts w:ascii="Times New Roman" w:cs="Times New Roman" w:eastAsia="Times New Roman" w:hAnsi="Times New Roman"/>
          <w:sz w:val="19"/>
          <w:szCs w:val="19"/>
          <w:b w:val="1"/>
          <w:bCs w:val="1"/>
          <w:color w:val="auto"/>
        </w:rPr>
        <w:t>Statement by Officers as to Default</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The Company shall deliver to the Trustee, within 120 days after the end of its fiscal year, a written statement (which need not be contained in or accompanied by an Officer’s Certificate) signed by the Company’s principal executive officer, principal financial officer or principal accounting officer, stating whether or not, to the best of his or her knowledge, the Company is in default in the performance and observance of any of the terms, provisions and conditions of this Indenture (without regard to notice requirements or grace periods) and if the Company shall be in default, specifying all such defaults and the nature and status thereof of which he or she may have knowledge. Such certificates need not comply with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of this Indenture.</w:t>
      </w:r>
    </w:p>
    <w:p>
      <w:pPr>
        <w:spacing w:after="0" w:line="194" w:lineRule="exact"/>
        <w:rPr>
          <w:sz w:val="20"/>
          <w:szCs w:val="20"/>
          <w:color w:val="auto"/>
        </w:rPr>
      </w:pPr>
    </w:p>
    <w:p>
      <w:pPr>
        <w:ind w:left="1720"/>
        <w:spacing w:after="0"/>
        <w:tabs>
          <w:tab w:leader="none" w:pos="218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19"/>
          <w:szCs w:val="19"/>
          <w:b w:val="1"/>
          <w:bCs w:val="1"/>
          <w:color w:val="auto"/>
        </w:rPr>
        <w:t>REMEDIES OF THE TRUSTEE AND HOLDERS ON EVENT OF DEFAULT</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wherever used herein with respect to Securities of any series, means any one of the following events unless such event is specifically deleted or modified in or pursuant to the supplemental indenture or Officer’s Certificate establishing the terms of such series pursuant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of this Indenture:</w:t>
      </w:r>
    </w:p>
    <w:p>
      <w:pPr>
        <w:spacing w:after="0" w:line="214" w:lineRule="exact"/>
        <w:rPr>
          <w:sz w:val="20"/>
          <w:szCs w:val="20"/>
          <w:color w:val="auto"/>
        </w:rPr>
      </w:pPr>
    </w:p>
    <w:p>
      <w:pPr>
        <w:ind w:left="1960" w:hanging="656"/>
        <w:spacing w:after="0" w:line="254" w:lineRule="auto"/>
        <w:tabs>
          <w:tab w:leader="none" w:pos="183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any interest on any of the Securities of such series when such interest becomes due and payable, and continuance of such default for a period of 30 days (unless the entire amount of such payment is deposited by the Company with the Trustee or with a Paying Agent prior to 11:00 a.m., New York City time, on the 30th day of such period);</w:t>
      </w:r>
    </w:p>
    <w:p>
      <w:pPr>
        <w:spacing w:after="0" w:line="18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any principal of or premium, if any, on, any of the Securities of such series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72" w:name="page73"/>
    <w:bookmarkEnd w:id="72"/>
    <w:p>
      <w:pPr>
        <w:ind w:left="1960" w:hanging="656"/>
        <w:spacing w:after="0" w:line="250" w:lineRule="auto"/>
        <w:tabs>
          <w:tab w:leader="none" w:pos="176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performance, or breach, of any covenant of the Company in this Indenture or any Security of such series (other than a covenant for which the consequences of breach or nonperformance are addressed elsewhere in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a covenant that has expressly been included in this Indenture, whether or not by means of a supplemental indenture, solely for the benefit of Securities of a series other than such series), and continuance of such default or breach (without such default or breach having been cured or waived in accordance with the provisions of this Indenture) for a period of 90 days after the Company has received written notice, by registered or certified mail or overnight air courier guaranteeing next day delivery, delivered by the Trustee or after the Company and the Trustee have received written notice, by registered or certified mail or overnight air courier guaranteeing next day delivery, delivered by the Holders of at least 25% in aggregate principal amount of the Outstanding Securities of such series, specifying such default or breach and requiring it to be remedied and stating that such notice is a “notice of default” hereunder;</w:t>
      </w:r>
    </w:p>
    <w:p>
      <w:pPr>
        <w:spacing w:after="0" w:line="199" w:lineRule="exact"/>
        <w:rPr>
          <w:rFonts w:ascii="Times New Roman" w:cs="Times New Roman" w:eastAsia="Times New Roman" w:hAnsi="Times New Roman"/>
          <w:sz w:val="20"/>
          <w:szCs w:val="20"/>
          <w:color w:val="auto"/>
        </w:rPr>
      </w:pPr>
    </w:p>
    <w:p>
      <w:pPr>
        <w:ind w:left="1960" w:hanging="656"/>
        <w:spacing w:after="0" w:line="251" w:lineRule="auto"/>
        <w:tabs>
          <w:tab w:leader="none" w:pos="176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entry by a court having jurisdiction in the premises of (A) a decree or order for relief in respect of the Company in an involuntary case or proceeding under any applicable bankruptcy, insolvency, reorganization or other similar law or (B) a decree or order adjudicating the Company bankrupt or insolvent, or appointing a custodian, receiver, conservator, liquidator, assignee, trustee, sequestrator or other similar official of the Company or for substantially all of the properties and assets of the Company, or ordering the winding up or liquidation of the affairs of the Company, other than as permitted under Article XII hereto, and the continuance of any such decree or order for relief unstayed and in effect for a period of 90 consecutive days;</w:t>
      </w:r>
    </w:p>
    <w:p>
      <w:pPr>
        <w:spacing w:after="0" w:line="192" w:lineRule="exact"/>
        <w:rPr>
          <w:rFonts w:ascii="Times New Roman" w:cs="Times New Roman" w:eastAsia="Times New Roman" w:hAnsi="Times New Roman"/>
          <w:sz w:val="20"/>
          <w:szCs w:val="20"/>
          <w:color w:val="auto"/>
        </w:rPr>
      </w:pPr>
    </w:p>
    <w:p>
      <w:pPr>
        <w:ind w:left="1960" w:hanging="656"/>
        <w:spacing w:after="0" w:line="251" w:lineRule="auto"/>
        <w:tabs>
          <w:tab w:leader="none" w:pos="180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by the Company of a voluntary case or proceeding under any applicable bankruptcy, insolvency, reorganization or other similar law or of any other case or proceeding to be adjudicated bankrupt or insolvent, or the consent by the Company to the entry of a decree or order for relief in respect of the Company in an involuntary case or proceeding under any applicable bankruptcy, insolvency, reorganization or other similar law or to the commencement of any bankruptcy or insolvency case or proceeding against the Company, or the consent by the Company to the filing of such petition or to the appointment of a custodian, receiver, conservator, liquidator, assignee, trustee, sequestrator or similar official of the Company or for substantially all of the properties and assets of the Company, or the making by the Company of an assignment for the benefit of creditors; or</w:t>
      </w:r>
    </w:p>
    <w:p>
      <w:pPr>
        <w:spacing w:after="0" w:line="181" w:lineRule="exact"/>
        <w:rPr>
          <w:rFonts w:ascii="Times New Roman" w:cs="Times New Roman" w:eastAsia="Times New Roman" w:hAnsi="Times New Roman"/>
          <w:sz w:val="20"/>
          <w:szCs w:val="20"/>
          <w:color w:val="auto"/>
        </w:rPr>
      </w:pPr>
    </w:p>
    <w:p>
      <w:pPr>
        <w:ind w:left="1960" w:hanging="656"/>
        <w:spacing w:after="0" w:line="283" w:lineRule="auto"/>
        <w:tabs>
          <w:tab w:leader="none" w:pos="175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of Default provided with respect to Securities of such series that is specified in an Officer’s Certificate or supplemental indenture hereto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6.02</w:t>
      </w:r>
      <w:r>
        <w:rPr>
          <w:sz w:val="20"/>
          <w:szCs w:val="20"/>
          <w:color w:val="auto"/>
        </w:rPr>
        <w:tab/>
      </w:r>
      <w:r>
        <w:rPr>
          <w:rFonts w:ascii="Times New Roman" w:cs="Times New Roman" w:eastAsia="Times New Roman" w:hAnsi="Times New Roman"/>
          <w:sz w:val="19"/>
          <w:szCs w:val="19"/>
          <w:b w:val="1"/>
          <w:bCs w:val="1"/>
          <w:color w:val="auto"/>
        </w:rPr>
        <w:t>Acceleration of Maturity; Rescission and Annulment</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 Event of Default (other than an Event of Default specified in </w:t>
      </w:r>
      <w:r>
        <w:rPr>
          <w:rFonts w:ascii="Times New Roman" w:cs="Times New Roman" w:eastAsia="Times New Roman" w:hAnsi="Times New Roman"/>
          <w:sz w:val="20"/>
          <w:szCs w:val="20"/>
          <w:u w:val="single" w:color="auto"/>
          <w:color w:val="auto"/>
        </w:rPr>
        <w:t>clauses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with respect to Securities of any series occurs and is continuing, then either the Trustee or the Holders of not fewer than 25% in aggregate principal amount of the Outstanding Securities of such series may declare the principal of all the Securities of such series, or such lesser amount as may be provided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in the Securities of such series, and accrued and unpaid interest, if any, thereon to be due and payable immediately, by a notice in writing to the Company (and to the Trustee if given by the Holders), and upon any such declaration such principal or such lesser amount, as the case may be, and such accrued and unpaid interest shall become immediately due and payable. If an Event of Default specified in </w:t>
      </w:r>
      <w:r>
        <w:rPr>
          <w:rFonts w:ascii="Times New Roman" w:cs="Times New Roman" w:eastAsia="Times New Roman" w:hAnsi="Times New Roman"/>
          <w:sz w:val="20"/>
          <w:szCs w:val="20"/>
          <w:u w:val="single" w:color="auto"/>
          <w:color w:val="auto"/>
        </w:rPr>
        <w:t>clauses (4)</w:t>
      </w:r>
      <w:r>
        <w:rPr>
          <w:rFonts w:ascii="Times New Roman" w:cs="Times New Roman" w:eastAsia="Times New Roman" w:hAnsi="Times New Roman"/>
          <w:sz w:val="20"/>
          <w:szCs w:val="20"/>
          <w:color w:val="auto"/>
        </w:rPr>
        <w:t xml:space="preserve"> or</w:t>
      </w:r>
    </w:p>
    <w:p>
      <w:pPr>
        <w:spacing w:after="0" w:line="1" w:lineRule="exact"/>
        <w:rPr>
          <w:sz w:val="20"/>
          <w:szCs w:val="20"/>
          <w:color w:val="auto"/>
        </w:rPr>
      </w:pPr>
    </w:p>
    <w:p>
      <w:pPr>
        <w:jc w:val="both"/>
        <w:ind w:firstLine="8"/>
        <w:spacing w:after="0" w:line="272" w:lineRule="auto"/>
        <w:tabs>
          <w:tab w:leader="none" w:pos="287" w:val="left"/>
        </w:tabs>
        <w:numPr>
          <w:ilvl w:val="0"/>
          <w:numId w:val="4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of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with respect to the Securities of any series occurs, then the principal of all of the Securities of such series, or such lesser amount as may be provided for in the Securities of such series, and accrued and unpaid interest, if any, thereon shall </w:t>
      </w:r>
      <w:r>
        <w:rPr>
          <w:rFonts w:ascii="Times New Roman" w:cs="Times New Roman" w:eastAsia="Times New Roman" w:hAnsi="Times New Roman"/>
          <w:sz w:val="19"/>
          <w:szCs w:val="19"/>
          <w:i w:val="1"/>
          <w:iCs w:val="1"/>
          <w:color w:val="auto"/>
        </w:rPr>
        <w:t>ipso facto</w:t>
      </w:r>
      <w:r>
        <w:rPr>
          <w:rFonts w:ascii="Times New Roman" w:cs="Times New Roman" w:eastAsia="Times New Roman" w:hAnsi="Times New Roman"/>
          <w:sz w:val="19"/>
          <w:szCs w:val="19"/>
          <w:color w:val="auto"/>
        </w:rPr>
        <w:t xml:space="preserve"> become and be immediately due and payable without any declaration or other act on the part of the Trustee or any Holder of the Securities of such series.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At any time after Securities of any series have been accelerated (whether by declaration of the Trustee or the Holders or automatically) and before a judgment or decree for payment of the money due has been obtained by the Trustee as hereinafter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provided, the Holders of not fewer than a majority in aggregate principal amount of the Outstanding Securities of such series, by written notice to the Company and the Trustee, may rescind and annul such acceleration and its consequences if all existing Events of Default with respect to that series have been cured or waived as provided in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except nonpayment of principal (or such lesser amount) or interest that has become due solely because of the acceleration, and amounts owing to the Trustee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have been paid. No such rescission shall affect any subsequent default.</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Any time period in this Indenture to cure any actual or alleged default or Event of Default may be extended or stayed by a court of competent jurisdiction.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Company and the Trustee may, to the extent provided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enter into one or more supplemental indentures with respect to any series of the Securities that may provide for additional, different or fewer Events of Default with respect to such series of Securities. Additional, different or fewer Events of Default with respect to such series of Securities may also be set forth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6.03</w:t>
      </w:r>
      <w:r>
        <w:rPr>
          <w:sz w:val="20"/>
          <w:szCs w:val="20"/>
          <w:color w:val="auto"/>
        </w:rPr>
        <w:tab/>
      </w:r>
      <w:r>
        <w:rPr>
          <w:rFonts w:ascii="Times New Roman" w:cs="Times New Roman" w:eastAsia="Times New Roman" w:hAnsi="Times New Roman"/>
          <w:sz w:val="19"/>
          <w:szCs w:val="19"/>
          <w:b w:val="1"/>
          <w:bCs w:val="1"/>
          <w:color w:val="auto"/>
        </w:rPr>
        <w:t>Collection of Indebtedness by Trustee; Trustee May Prove Debt</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The Company covenants that (i) in case a default shall be made in the payment of any installment of interest on any of the Securities, as and when the same shall become due and payable, and such default shall have continued for a period in excess of 30 days, or (ii) in case a default shall be made in the payment of the principal of or premium, if any, on any of the Securities when and as the same shall have become due and payable, whether upon maturity of the Securities or upon redemption or upon declaration or otherwise, then, upon demand of the Trustee, the Company will pay to the Trustee, for the benefit of the Holders of such Securities, the whole amount that then shall have become due and payable on such Securities for principal and premium, if any, interest, if any, with interest upon the overdue principal and premium, if any, of each such Security and (to the extent legally enforceable under applicable law) upon any installments of interest, at the rate borne by such Security, and, in addition thereto, such further amount as shall be sufficient to cover the costs and expenses of collection, including a reasonable compensation to the Trustee, its agents, attorneys and counsel, and any expenses or liabilities incurred by the Trustee hereunder other than through its gross negligence or willful misconduct.</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 relative thereto, and any such suit or proceeding instituted by the Trustee shall be brought, in accordance with Section 317 of the Trust Indenture Act as may be authorized therein, in its own name as trustee of an express trust, and any recovery of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74" w:name="page75"/>
    <w:bookmarkEnd w:id="74"/>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shall be for the ratable benefit of the Holders of the Securities of such series. In any proceedings brought by the Trustee (and also any proceedings involving the interpretation of any provision of this Indenture to which the Trustee shall be a party), the Trustee shall be held to represent all the Holders of the Securities of a series, and it shall not be necessary to make any Holders of the Securities of such series parties to any such proceedings.</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case of an Event of Default hereunder with respect to Securities of a particular series, the Trustee may, but shall not be under any obligation to, proceed to protect and enforce the rights vested in it by this Indenture by such appropriate judicial proceedings as the Trustee shall deem most effectual to protect and enforce any of such rights, either by suit in equity or by action at law or by proceedings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Securities allowed in any judicial proceedings relative to the Company (or any other obligor upon the Securities), its creditors or their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To the extent that the payment of any such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out of the estate in any such proceeding, shall be unpaid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The Trustee may, on behalf of the Holders, vote for the election of a trustee in bankruptcy or similar official and be a member of a creditors’ committee or other similar committee. Nothing herein contained shall be deemed to authorize the Trustee to authorize or consent to or accept or adopt on behalf of the Holder any plan of reorganization, arrangement, adjustment or composition affecting the Securities of any series or the rights of any Holder thereof, or to authorize the Trustee to vote in respect of the claim of any Holder in any such proceeding.</w:t>
      </w:r>
    </w:p>
    <w:p>
      <w:pPr>
        <w:spacing w:after="0" w:line="19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6.04</w:t>
      </w:r>
      <w:r>
        <w:rPr>
          <w:sz w:val="20"/>
          <w:szCs w:val="20"/>
          <w:color w:val="auto"/>
        </w:rPr>
        <w:tab/>
      </w:r>
      <w:r>
        <w:rPr>
          <w:rFonts w:ascii="Times New Roman" w:cs="Times New Roman" w:eastAsia="Times New Roman" w:hAnsi="Times New Roman"/>
          <w:sz w:val="19"/>
          <w:szCs w:val="19"/>
          <w:b w:val="1"/>
          <w:bCs w:val="1"/>
          <w:color w:val="auto"/>
        </w:rPr>
        <w:t>Application of Proceeds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Any money or property collected by the Trustee with respect to a series of Securities pursuant to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and after an Event of Default any money or other property distributable in respect of the Company’s obligations under this Indenture, shall be applied in the following order, at the date or dates fixed by the Trustee for the distribution of such moneys or property:</w:t>
      </w:r>
    </w:p>
    <w:p>
      <w:pPr>
        <w:spacing w:after="0" w:line="17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FIRST: To the payment of all costs and expenses in connection with the collection of such moneys, and all amounts payable to the Trustee, its agents and attorneys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and</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SECOND: To the payment of the entire amounts then due and unpaid upon the Securities in respect of which or for the benefit of which such moneys shall have been collected, without any preference or priority, ratably according to the amounts due and payable upon such Securities upon presentation of the several Securities and notation of such payment thereon, if partly paid, and upon surrender thereof, if fully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20"/>
          <w:szCs w:val="20"/>
          <w:color w:val="auto"/>
        </w:rPr>
        <w:t>Any surplus then remaining shall be paid to the Company.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6.05</w:t>
      </w:r>
      <w:r>
        <w:rPr>
          <w:sz w:val="20"/>
          <w:szCs w:val="20"/>
          <w:color w:val="auto"/>
        </w:rPr>
        <w:tab/>
      </w:r>
      <w:r>
        <w:rPr>
          <w:rFonts w:ascii="Times New Roman" w:cs="Times New Roman" w:eastAsia="Times New Roman" w:hAnsi="Times New Roman"/>
          <w:sz w:val="19"/>
          <w:szCs w:val="19"/>
          <w:b w:val="1"/>
          <w:bCs w:val="1"/>
          <w:color w:val="auto"/>
        </w:rPr>
        <w:t>Limitations on Suits by Holders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Except as set forth in Section 316(b) of the Trust Indenture Act, no Holder of any Security of any series shall have any right by virtue or by availing itself of any provision of this Indenture to institute any suit, action or proceeding in equity or at law upon or under or with respect to this Indenture or for the appointment of a receiver or trustee, or for any other remedy hereunder, unless (1) such Holder previously shall have given to the Trustee written notice of an Event of Default and of the continuance thereof with respect to the Securities of the series,</w:t>
      </w:r>
    </w:p>
    <w:p>
      <w:pPr>
        <w:spacing w:after="0" w:line="1" w:lineRule="exact"/>
        <w:rPr>
          <w:sz w:val="20"/>
          <w:szCs w:val="20"/>
          <w:color w:val="auto"/>
        </w:rPr>
      </w:pPr>
    </w:p>
    <w:p>
      <w:pPr>
        <w:jc w:val="both"/>
        <w:ind w:firstLine="8"/>
        <w:spacing w:after="0" w:line="263" w:lineRule="auto"/>
        <w:tabs>
          <w:tab w:leader="none" w:pos="303"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Holders of no fewer than 25% in aggregate principal amount of the Outstanding Securities of that series shall have made written request upon the Trustee to institute such action, suit or proceeding in its own name as Trustee hereunder and shall have offered, and if requested, provided to the Trustee such security or indemnity as it may require against the costs, expenses and liabilities which may be incurred therein or thereby, (3) the Trustee for 60 days after its receipt of such notice, request and offer of security or indemnity, shall have failed to institute any such action, suit or proceeding and (4) no direction inconsistent with such written request shall have been given to the Trustee pursuant to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it being understood and intended, and being expressly covenanted by the Holder of every Security of such series with every other Holder of Securities of such series and the Trustee, that no one or more Holders of Securities of such series shall have any right in any manner whatever by virtue or by availing itself of any provision of this Indenture to affect, disturb or prejudice the rights of the Holders of any other of Securities or to obtain priority over or preference to any other such Holder, or to enforce any right under this Indenture, except in the manner herein provided and for the equal, ratable and common benefit of all Holders of Securities of such series.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6.06</w:t>
      </w:r>
      <w:r>
        <w:rPr>
          <w:sz w:val="20"/>
          <w:szCs w:val="20"/>
          <w:color w:val="auto"/>
        </w:rPr>
        <w:tab/>
      </w:r>
      <w:r>
        <w:rPr>
          <w:rFonts w:ascii="Times New Roman" w:cs="Times New Roman" w:eastAsia="Times New Roman" w:hAnsi="Times New Roman"/>
          <w:sz w:val="19"/>
          <w:szCs w:val="19"/>
          <w:b w:val="1"/>
          <w:bCs w:val="1"/>
          <w:color w:val="auto"/>
        </w:rPr>
        <w:t>Powers and Remedies Cumulative; Delay or Omission Not Waiver</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All powers and remedies given by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to the Trustee or to the Holders of Securities of any series shall, to the extent permitted by law and subject to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be deemed cumulative and not exclusive of any other such powers and remedies or of any other powers or remedies available to the Trustee or such Holders, by judicial proceedings or otherwise, to enforce the performance or observance of the covenants and agreements contained in this Indenture, and no delay or omission of the Trustee or of any Holder of the Securities of any series to exercise any right or power accruing upon any default occurring and continuing as aforesaid, shall impair any such right or power, or shall be construed to be a waiver of any such default or an acquiescence therein, and, subject to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every power and remedy given by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by law to the Trustee or to such Holders may be exercised from time to time, and as often as shall be deemed expedient, by the Trustee or by such Holders.</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6.07</w:t>
      </w:r>
      <w:r>
        <w:rPr>
          <w:sz w:val="20"/>
          <w:szCs w:val="20"/>
          <w:color w:val="auto"/>
        </w:rPr>
        <w:tab/>
      </w:r>
      <w:r>
        <w:rPr>
          <w:rFonts w:ascii="Times New Roman" w:cs="Times New Roman" w:eastAsia="Times New Roman" w:hAnsi="Times New Roman"/>
          <w:sz w:val="19"/>
          <w:szCs w:val="19"/>
          <w:b w:val="1"/>
          <w:bCs w:val="1"/>
          <w:color w:val="auto"/>
        </w:rPr>
        <w:t>Control by Holders; Waiver of Default</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Securities of such series;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direction shall not be otherwise than in accordance with law and the provisions of this Indenture, involve the Trustee in personal liability or have been determined by the Trustee to be unduly prejudicial to the rights of other Holders (it being understood that the Trustee does not have an affirmative duty to ascertain whether or not any such directions are unduly prejudicial to such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nothing in this Indenture shall impair the right of the Trustee to take any action deemed proper by the Trustee and that is not inconsistent with such direction by such Holders. The Holders of at least a majority in aggregate principal amount of the Outstanding Securities of any series may on behalf of the Holders of all of the Securities of such series waive any past default hereunder with respect to the securities of such series and its consequences, except a default in the payment of the principal of, premium, if any, or interest, if any, on any of the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20"/>
          <w:szCs w:val="20"/>
          <w:color w:val="auto"/>
        </w:rPr>
        <w:t>(provided, however, that the Holders of a majority in principal amount of the Outstanding Securities of any series may rescind an acceleration and its consequences, including any related payment default that resulted from such acceleration). In the case of any such waiver, such default shall cease to exist, any Event of Default arising from such default shall be deemed to have been cured for every purpose of this Indenture, and the Company, the Trustee and the Holders of the Securities of such series shall be restored to their former positions and rights hereunder, respectively, but no such waiver shall extend to any subsequent or other default, except as may be provided for in the definition of “default.”</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6.08</w:t>
      </w:r>
      <w:r>
        <w:rPr>
          <w:sz w:val="20"/>
          <w:szCs w:val="20"/>
          <w:color w:val="auto"/>
        </w:rPr>
        <w:tab/>
      </w:r>
      <w:r>
        <w:rPr>
          <w:rFonts w:ascii="Times New Roman" w:cs="Times New Roman" w:eastAsia="Times New Roman" w:hAnsi="Times New Roman"/>
          <w:sz w:val="19"/>
          <w:szCs w:val="19"/>
          <w:b w:val="1"/>
          <w:bCs w:val="1"/>
          <w:color w:val="auto"/>
        </w:rPr>
        <w:t>Undertaking for Costs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shall not apply to a suit by the Trustee or the Company, a suit by a Holder pursuant to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hereof, or a suit by Holders of more than 10% in principal amount of the then Outstanding Securities of any series.</w:t>
      </w:r>
    </w:p>
    <w:p>
      <w:pPr>
        <w:spacing w:after="0" w:line="189" w:lineRule="exact"/>
        <w:rPr>
          <w:sz w:val="20"/>
          <w:szCs w:val="20"/>
          <w:color w:val="auto"/>
        </w:rPr>
      </w:pPr>
    </w:p>
    <w:p>
      <w:pPr>
        <w:ind w:left="3620"/>
        <w:spacing w:after="0"/>
        <w:tabs>
          <w:tab w:leader="none" w:pos="414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19"/>
          <w:szCs w:val="19"/>
          <w:b w:val="1"/>
          <w:bCs w:val="1"/>
          <w:color w:val="auto"/>
        </w:rPr>
        <w:t>CONCERNING THE TRUSTEE</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7.01</w:t>
      </w:r>
      <w:r>
        <w:rPr>
          <w:sz w:val="20"/>
          <w:szCs w:val="20"/>
          <w:color w:val="auto"/>
        </w:rPr>
        <w:tab/>
      </w:r>
      <w:r>
        <w:rPr>
          <w:rFonts w:ascii="Times New Roman" w:cs="Times New Roman" w:eastAsia="Times New Roman" w:hAnsi="Times New Roman"/>
          <w:sz w:val="19"/>
          <w:szCs w:val="19"/>
          <w:b w:val="1"/>
          <w:bCs w:val="1"/>
          <w:color w:val="auto"/>
        </w:rPr>
        <w:t>Certain Duties and Responsibilities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 actually known to a Responsible Officer of the Trustee,</w:t>
      </w:r>
    </w:p>
    <w:p>
      <w:pPr>
        <w:spacing w:after="0" w:line="213" w:lineRule="exact"/>
        <w:rPr>
          <w:rFonts w:ascii="Times New Roman" w:cs="Times New Roman" w:eastAsia="Times New Roman" w:hAnsi="Times New Roman"/>
          <w:sz w:val="20"/>
          <w:szCs w:val="20"/>
          <w:color w:val="auto"/>
        </w:rPr>
      </w:pPr>
    </w:p>
    <w:p>
      <w:pPr>
        <w:ind w:left="660" w:firstLine="644"/>
        <w:spacing w:after="0" w:line="269" w:lineRule="auto"/>
        <w:tabs>
          <w:tab w:leader="none" w:pos="171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undertakes to perform such duties and only such duties as are specifically set forth in this Indenture, and no implied covenants or obligations shall be read into this Indenture against the Trustee;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5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willful misconduct or gross negligence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78"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an Event of Default has occurred and is continuing and is actually known to a Responsible Officer of the Trustee,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1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shall be construed to relieve the Trustee from liability for its own negligent action, its own negligent failure to act, or its own willful misconduct, except that:</w:t>
      </w:r>
    </w:p>
    <w:p>
      <w:pPr>
        <w:spacing w:after="0" w:line="146"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shall not be construed to limit the effect of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6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error of judgment made in good faith by a Responsible Officer, unless it shall be proved that the Trustee was negligent in ascertaining the pertinent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77" w:name="page78"/>
    <w:bookmarkEnd w:id="77"/>
    <w:p>
      <w:pPr>
        <w:ind w:left="660" w:firstLine="644"/>
        <w:spacing w:after="0" w:line="283" w:lineRule="auto"/>
        <w:tabs>
          <w:tab w:leader="none" w:pos="182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not be liable with respect to any action taken or omitted to be taken by it in good faith in accordance with a direction received by it pursuant to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81" w:lineRule="auto"/>
        <w:tabs>
          <w:tab w:leader="none" w:pos="1803"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4" w:lineRule="exact"/>
        <w:rPr>
          <w:rFonts w:ascii="Times New Roman" w:cs="Times New Roman" w:eastAsia="Times New Roman" w:hAnsi="Times New Roman"/>
          <w:sz w:val="19"/>
          <w:szCs w:val="19"/>
          <w:color w:val="auto"/>
        </w:rPr>
      </w:pPr>
    </w:p>
    <w:p>
      <w:pPr>
        <w:ind w:firstLine="656"/>
        <w:spacing w:after="0" w:line="283" w:lineRule="auto"/>
        <w:tabs>
          <w:tab w:leader="none" w:pos="109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or not therein expressly so provided, 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06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required to give any bond or surety in respect of the performance of its powers or duties hereunder. The permissive rights or powers of the Trustee to do things enumerated in this Indenture shall not be construed as a duty of the Trustee.</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7.02</w:t>
      </w:r>
      <w:r>
        <w:rPr>
          <w:sz w:val="20"/>
          <w:szCs w:val="20"/>
          <w:color w:val="auto"/>
        </w:rPr>
        <w:tab/>
      </w:r>
      <w:r>
        <w:rPr>
          <w:rFonts w:ascii="Times New Roman" w:cs="Times New Roman" w:eastAsia="Times New Roman" w:hAnsi="Times New Roman"/>
          <w:sz w:val="19"/>
          <w:szCs w:val="19"/>
          <w:b w:val="1"/>
          <w:bCs w:val="1"/>
          <w:color w:val="auto"/>
        </w:rPr>
        <w:t>Notice of Defaults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Within 90 days after the occurrence of any default hereunder with respect to the Securities of any series that as to which a Responsible Officer of the Trustee has actual knowledge, the Trustee shall transmit to all Holders of Securities of such series notice of such default hereunder actually known to a Responsible Officer of the Trustee, unless such default shall have been cured or waived;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except in the case of a default in the payment of the principal of (or premium, if any), or interest, if any, on any Security of such series, the Trustee shall be protected in withholding such notice if and so long as the Trustee in good faith determines that the withholding of such notice is in the interest of the Holders of Securities of such series; and provided, further, that in the case of any default of the character specified in Section 6.01(3) with respect to Securities of such series, no such notice to Holders shall be given until at least 30 days after the occurrence thereof.</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7.03</w:t>
      </w:r>
      <w:r>
        <w:rPr>
          <w:sz w:val="20"/>
          <w:szCs w:val="20"/>
          <w:color w:val="auto"/>
        </w:rPr>
        <w:tab/>
      </w:r>
      <w:r>
        <w:rPr>
          <w:rFonts w:ascii="Times New Roman" w:cs="Times New Roman" w:eastAsia="Times New Roman" w:hAnsi="Times New Roman"/>
          <w:sz w:val="19"/>
          <w:szCs w:val="19"/>
          <w:b w:val="1"/>
          <w:bCs w:val="1"/>
          <w:color w:val="auto"/>
        </w:rPr>
        <w:t>Certain Rights of Trustee</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left="1960" w:hanging="656"/>
        <w:spacing w:after="0" w:line="251" w:lineRule="auto"/>
        <w:tabs>
          <w:tab w:leader="none" w:pos="182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and shall be protected in acting, or refraining from acting, upon any resolution, certificate, statement, instrument, opinion, report, notice, request, consent, order, bond, debenture or other paper or document (whether in its original or electronic form) believed by it to be genuine and to have been signed or presented by the proper party or parties;</w:t>
      </w:r>
    </w:p>
    <w:p>
      <w:pPr>
        <w:spacing w:after="0" w:line="190" w:lineRule="exact"/>
        <w:rPr>
          <w:rFonts w:ascii="Times New Roman" w:cs="Times New Roman" w:eastAsia="Times New Roman" w:hAnsi="Times New Roman"/>
          <w:sz w:val="20"/>
          <w:szCs w:val="20"/>
          <w:color w:val="auto"/>
        </w:rPr>
      </w:pPr>
    </w:p>
    <w:p>
      <w:pPr>
        <w:ind w:left="1960" w:hanging="656"/>
        <w:spacing w:after="0" w:line="253" w:lineRule="auto"/>
        <w:tabs>
          <w:tab w:leader="none" w:pos="185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direction, order or demand of the Company mentioned herein shall be sufficiently evidenced by an instrument signed in the name of the Company by an Authorized Officer thereof (unless other evidence in respect thereof be herein specifically prescribed); and any resolution of the Board of Directors of the Company may be evidenced to the Trustee by a copy thereof certified by the Secretary or an Assistant Secretary, or another appropriate officer, of the Company;</w:t>
      </w:r>
    </w:p>
    <w:p>
      <w:pPr>
        <w:spacing w:after="0" w:line="191" w:lineRule="exact"/>
        <w:rPr>
          <w:rFonts w:ascii="Times New Roman" w:cs="Times New Roman" w:eastAsia="Times New Roman" w:hAnsi="Times New Roman"/>
          <w:sz w:val="20"/>
          <w:szCs w:val="20"/>
          <w:color w:val="auto"/>
        </w:rPr>
      </w:pPr>
    </w:p>
    <w:p>
      <w:pPr>
        <w:ind w:left="1960" w:hanging="656"/>
        <w:spacing w:after="0" w:line="261" w:lineRule="auto"/>
        <w:tabs>
          <w:tab w:leader="none" w:pos="174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consult with counsel of its selection, and the advice of counsel or any Opinion of Counsel shall be full and complete authorization and protection in respect of any action taken, suffered or omitted by it hereunder in good faith and in reliance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78" w:name="page79"/>
    <w:bookmarkEnd w:id="78"/>
    <w:p>
      <w:pPr>
        <w:ind w:left="840" w:hanging="656"/>
        <w:spacing w:after="0" w:line="258" w:lineRule="auto"/>
        <w:tabs>
          <w:tab w:leader="none" w:pos="68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under no obligation to exercise any of the rights or powers vested in it by this Indenture at the request, order or direction of any of the Holders, pursuant to the provisions of this Indenture, unless such Holders shall have offered, and if requested, provided to the Trustee security or indemnity satisfactory to the Trustee against the costs, expenses and liabilities which may be incurred therein or thereby;</w:t>
      </w:r>
    </w:p>
    <w:p>
      <w:pPr>
        <w:spacing w:after="0" w:line="172" w:lineRule="exact"/>
        <w:rPr>
          <w:rFonts w:ascii="Times New Roman" w:cs="Times New Roman" w:eastAsia="Times New Roman" w:hAnsi="Times New Roman"/>
          <w:sz w:val="20"/>
          <w:szCs w:val="20"/>
          <w:color w:val="auto"/>
        </w:rPr>
      </w:pPr>
    </w:p>
    <w:p>
      <w:pPr>
        <w:ind w:left="840" w:right="20" w:hanging="656"/>
        <w:spacing w:after="0" w:line="283" w:lineRule="auto"/>
        <w:tabs>
          <w:tab w:leader="none" w:pos="69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action taken, suffered or omitted by it in good faith and believed by it to be authorized or within the discretion or rights or powers conferred upon it by this Indenture;</w:t>
      </w:r>
    </w:p>
    <w:p>
      <w:pPr>
        <w:spacing w:after="0" w:line="159" w:lineRule="exact"/>
        <w:rPr>
          <w:rFonts w:ascii="Times New Roman" w:cs="Times New Roman" w:eastAsia="Times New Roman" w:hAnsi="Times New Roman"/>
          <w:sz w:val="20"/>
          <w:szCs w:val="20"/>
          <w:color w:val="auto"/>
        </w:rPr>
      </w:pPr>
    </w:p>
    <w:p>
      <w:pPr>
        <w:ind w:left="840" w:hanging="656"/>
        <w:spacing w:after="0" w:line="251" w:lineRule="auto"/>
        <w:tabs>
          <w:tab w:leader="none" w:pos="65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bound to make any investigation into the facts or matters stated in any resolution, certificate, statement, instrument, opinion, report, notice, request, consent, order, approval, appraisal, bond, debenture or other paper or document with respect to such series of Securities, but the Trustee, in its discretion, may make such further inquiry or investigation into such facts or matters as it may see fit, and, if the Trustee shall determine to make such further inquiry or investigation, it shall be entitled, during normal business hours of the Company and upon reasonable prior notice to the Company, to examine the books, records and premises of the Company, personally or by agent or attorney, the reasonable costs thereof to be reimbursed to the Trustee by the Company;</w:t>
      </w:r>
    </w:p>
    <w:p>
      <w:pPr>
        <w:spacing w:after="0" w:line="192" w:lineRule="exact"/>
        <w:rPr>
          <w:rFonts w:ascii="Times New Roman" w:cs="Times New Roman" w:eastAsia="Times New Roman" w:hAnsi="Times New Roman"/>
          <w:sz w:val="20"/>
          <w:szCs w:val="20"/>
          <w:color w:val="auto"/>
        </w:rPr>
      </w:pPr>
    </w:p>
    <w:p>
      <w:pPr>
        <w:ind w:left="840" w:hanging="656"/>
        <w:spacing w:after="0" w:line="261" w:lineRule="auto"/>
        <w:tabs>
          <w:tab w:leader="none" w:pos="63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rFonts w:ascii="Times New Roman" w:cs="Times New Roman" w:eastAsia="Times New Roman" w:hAnsi="Times New Roman"/>
          <w:sz w:val="20"/>
          <w:szCs w:val="20"/>
          <w:color w:val="auto"/>
        </w:rPr>
      </w:pPr>
    </w:p>
    <w:p>
      <w:pPr>
        <w:ind w:left="840" w:hanging="656"/>
        <w:spacing w:after="0" w:line="261" w:lineRule="auto"/>
        <w:tabs>
          <w:tab w:leader="none" w:pos="64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Trustee be responsible or liable to any Holder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67" w:lineRule="exact"/>
        <w:rPr>
          <w:rFonts w:ascii="Times New Roman" w:cs="Times New Roman" w:eastAsia="Times New Roman" w:hAnsi="Times New Roman"/>
          <w:sz w:val="20"/>
          <w:szCs w:val="20"/>
          <w:color w:val="auto"/>
        </w:rPr>
      </w:pPr>
    </w:p>
    <w:p>
      <w:pPr>
        <w:ind w:left="840" w:hanging="656"/>
        <w:spacing w:after="0" w:line="257" w:lineRule="auto"/>
        <w:tabs>
          <w:tab w:leader="none" w:pos="69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only be deemed to have knowledge of any default or Event of Default (except with respect to an Event of Default pursuant to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6.01(2)</w:t>
      </w:r>
      <w:r>
        <w:rPr>
          <w:rFonts w:ascii="Times New Roman" w:cs="Times New Roman" w:eastAsia="Times New Roman" w:hAnsi="Times New Roman"/>
          <w:sz w:val="20"/>
          <w:szCs w:val="20"/>
          <w:color w:val="auto"/>
        </w:rPr>
        <w:t xml:space="preserve"> only if the Trustee is also the Paying Agent) with respect to the Securities of any series if written notice of any event which is in fact such a default or Event of Default is received by a Responsible Officer of the Trustee at the Corporate Trust Office of the Trustee, and such notice references the Securities of such series and this Indenture;</w:t>
      </w:r>
    </w:p>
    <w:p>
      <w:pPr>
        <w:spacing w:after="0" w:line="172" w:lineRule="exact"/>
        <w:rPr>
          <w:rFonts w:ascii="Times New Roman" w:cs="Times New Roman" w:eastAsia="Times New Roman" w:hAnsi="Times New Roman"/>
          <w:sz w:val="20"/>
          <w:szCs w:val="20"/>
          <w:color w:val="auto"/>
        </w:rPr>
      </w:pPr>
    </w:p>
    <w:p>
      <w:pPr>
        <w:jc w:val="right"/>
        <w:ind w:left="840" w:hanging="656"/>
        <w:spacing w:after="0" w:line="310" w:lineRule="auto"/>
        <w:tabs>
          <w:tab w:leader="none" w:pos="724"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privileges, protections, immunities and benefits given to the Trustee, including its right to be compensated, reimbursed, indemnified, are extended to, and shall be enforceable by, the Trustee in each of its capacities hereunder;</w:t>
      </w:r>
    </w:p>
    <w:p>
      <w:pPr>
        <w:spacing w:after="0" w:line="124" w:lineRule="exact"/>
        <w:rPr>
          <w:rFonts w:ascii="Times New Roman" w:cs="Times New Roman" w:eastAsia="Times New Roman" w:hAnsi="Times New Roman"/>
          <w:sz w:val="19"/>
          <w:szCs w:val="19"/>
          <w:color w:val="auto"/>
        </w:rPr>
      </w:pPr>
    </w:p>
    <w:p>
      <w:pPr>
        <w:ind w:left="840" w:right="20" w:hanging="656"/>
        <w:spacing w:after="0" w:line="283" w:lineRule="auto"/>
        <w:tabs>
          <w:tab w:leader="none" w:pos="7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of individuals and/or titles of officers authorized at such time to take specified actions pursuant to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0120"/>
          </w:cols>
          <w:pgMar w:left="1440" w:top="1413" w:right="339" w:bottom="1440" w:gutter="0" w:footer="0" w:header="0"/>
        </w:sectPr>
      </w:pPr>
    </w:p>
    <w:bookmarkStart w:id="79" w:name="page80"/>
    <w:bookmarkEnd w:id="79"/>
    <w:p>
      <w:pPr>
        <w:jc w:val="both"/>
        <w:ind w:left="1960" w:hanging="656"/>
        <w:spacing w:after="0" w:line="252" w:lineRule="auto"/>
        <w:tabs>
          <w:tab w:leader="none" w:pos="19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epidemics, recognized public emergencies, quarantine restrictions, nuclear or natural catastrophes or acts of God, and interruptions, loss or malfunctions of utilities, communications or computer (software and hardware) services, and hacking, cyber-attacks, or other use or infiltration of the Trustee’s technological infrastructure exceeding authorized access, or other unavailability of the Federal Reserve Bank wire or electronic or other wire or communication facility; it being understood that the Trustee shall use reasonable efforts that are consistent with accepted practices in the banking industry to resume performance as soon as practicable under the circumstances; and</w:t>
      </w:r>
    </w:p>
    <w:p>
      <w:pPr>
        <w:spacing w:after="0" w:line="175" w:lineRule="exact"/>
        <w:rPr>
          <w:rFonts w:ascii="Times New Roman" w:cs="Times New Roman" w:eastAsia="Times New Roman" w:hAnsi="Times New Roman"/>
          <w:sz w:val="20"/>
          <w:szCs w:val="20"/>
          <w:color w:val="auto"/>
        </w:rPr>
      </w:pPr>
    </w:p>
    <w:p>
      <w:pPr>
        <w:ind w:left="1960" w:hanging="656"/>
        <w:spacing w:after="0" w:line="268" w:lineRule="auto"/>
        <w:tabs>
          <w:tab w:leader="none" w:pos="187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Trustee acts or refrains from acting, it may require an Officer’s Certificate and/or an Opinion of Counsel. The Trustee shall not be liable for any action it takes or omits to take in good faith in reliance on an Officer’s Certificate or Opinion of Counsel.</w:t>
      </w:r>
    </w:p>
    <w:p>
      <w:pPr>
        <w:spacing w:after="0" w:line="15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7.04</w:t>
      </w:r>
      <w:r>
        <w:rPr>
          <w:sz w:val="20"/>
          <w:szCs w:val="20"/>
          <w:color w:val="auto"/>
        </w:rPr>
        <w:tab/>
      </w:r>
      <w:r>
        <w:rPr>
          <w:rFonts w:ascii="Times New Roman" w:cs="Times New Roman" w:eastAsia="Times New Roman" w:hAnsi="Times New Roman"/>
          <w:sz w:val="19"/>
          <w:szCs w:val="19"/>
          <w:b w:val="1"/>
          <w:bCs w:val="1"/>
          <w:color w:val="auto"/>
        </w:rPr>
        <w:t>Trustee Not Responsible for Recitals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The recitals contained herein and in the Securities, except the Trustee’s certificate of authentication and the representation as to the power of the Trustee to enter into this Indenture and perform its duties, shall be taken as the statements of the Company and the Trustee assumes no responsibility for the correctness of the same. The Trustee makes no representations as to the validity or sufficiency of this Indenture or of the Securities. The Trustee shall not be accountable for the use or application by the Company of any of the Securities or of the proceeds of such Securities or any money paid to the Company or upon the Company’s direction under any provision of this Indenture. The Trustee shall not be responsible for the use or application of any money received by any Paying Agent other than the Trustee. The Trustee shall not be bound to ascertain or inquire as to the performance or observance of any covenants, conditions, or agreements on the part of the Company but the Trustee may require full information and advice as to the performance of the aforementioned covenants. The Trustee shall not be responsible for any statement in any document in connection with the sale of the Securities other than information about the Trustee provided by the Trustee to the Company for incorporation or use in any such documents.</w:t>
      </w:r>
    </w:p>
    <w:p>
      <w:pPr>
        <w:spacing w:after="0" w:line="19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7.05</w:t>
      </w:r>
      <w:r>
        <w:rPr>
          <w:sz w:val="20"/>
          <w:szCs w:val="20"/>
          <w:color w:val="auto"/>
        </w:rPr>
        <w:tab/>
      </w:r>
      <w:r>
        <w:rPr>
          <w:rFonts w:ascii="Times New Roman" w:cs="Times New Roman" w:eastAsia="Times New Roman" w:hAnsi="Times New Roman"/>
          <w:sz w:val="19"/>
          <w:szCs w:val="19"/>
          <w:b w:val="1"/>
          <w:bCs w:val="1"/>
          <w:color w:val="auto"/>
        </w:rPr>
        <w:t>Trustee and Others May Hold Securities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The Trustee, any Paying Agent, the Security Registrar or any other agent of the Company or the Trustee, in its individual or any other capacity, may become the owner or pledgee of Securities and may otherwise deal with the Company or any other obligor on the Securities with the same rights it would have if it were not the Trustee, any such Paying Agent, the Security Registrar or any such other agent.</w:t>
      </w:r>
    </w:p>
    <w:p>
      <w:pPr>
        <w:spacing w:after="0" w:line="1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7.06</w:t>
      </w:r>
      <w:r>
        <w:rPr>
          <w:sz w:val="20"/>
          <w:szCs w:val="20"/>
          <w:color w:val="auto"/>
        </w:rPr>
        <w:tab/>
      </w:r>
      <w:r>
        <w:rPr>
          <w:rFonts w:ascii="Times New Roman" w:cs="Times New Roman" w:eastAsia="Times New Roman" w:hAnsi="Times New Roman"/>
          <w:sz w:val="19"/>
          <w:szCs w:val="19"/>
          <w:b w:val="1"/>
          <w:bCs w:val="1"/>
          <w:color w:val="auto"/>
        </w:rPr>
        <w:t>Moneys Held by Trustee or Paying Agent</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13.05</w:t>
      </w:r>
      <w:r>
        <w:rPr>
          <w:rFonts w:ascii="Times New Roman" w:cs="Times New Roman" w:eastAsia="Times New Roman" w:hAnsi="Times New Roman"/>
          <w:sz w:val="20"/>
          <w:szCs w:val="20"/>
          <w:color w:val="auto"/>
        </w:rPr>
        <w:t xml:space="preserve">, all moneys received by the Trustee or any Paying Agent, need not be segregated from other funds except to the extent required by law. Neither the Trustee nor any Paying Agent shall be under any liability for interest on any moneys received by it hereunder except such as it may agree in writing with the Company. The provisions of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shall not apply to the Company acting as its own Paying Agent pursuant to </w:t>
      </w:r>
      <w:r>
        <w:rPr>
          <w:rFonts w:ascii="Times New Roman" w:cs="Times New Roman" w:eastAsia="Times New Roman" w:hAnsi="Times New Roman"/>
          <w:sz w:val="20"/>
          <w:szCs w:val="20"/>
          <w:u w:val="single" w:color="auto"/>
          <w:color w:val="auto"/>
        </w:rPr>
        <w:t>Section 5.05(b)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80" w:name="page81"/>
    <w:bookmarkEnd w:id="80"/>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7.07</w:t>
      </w:r>
      <w:r>
        <w:rPr>
          <w:sz w:val="20"/>
          <w:szCs w:val="20"/>
          <w:color w:val="auto"/>
        </w:rPr>
        <w:tab/>
      </w:r>
      <w:r>
        <w:rPr>
          <w:rFonts w:ascii="Times New Roman" w:cs="Times New Roman" w:eastAsia="Times New Roman" w:hAnsi="Times New Roman"/>
          <w:sz w:val="19"/>
          <w:szCs w:val="19"/>
          <w:b w:val="1"/>
          <w:bCs w:val="1"/>
          <w:color w:val="auto"/>
        </w:rPr>
        <w:t>Compensation of Trustee and Its Lien</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The Company covenants and agrees to pay to the Trustee from time to time, and the Trustee shall be entitled to, compensation (which shall be agreed to in writing from time to time by the Company and the Trustee and which shall not be limited by any provision of law in regard to the compensation of a trustee of an express trust), and, except as herein otherwise expressly provided,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separate counsel) except any such expense, disbursement or advance as may arise from its gross negligence or willful misconduct, as determined by a final order of a court of competent jurisdiction. If any property other than cash shall at any time be subject to the lien of this Indenture, the Trustee, if and to the extent authorized by a receivership or bankruptcy court of competent jurisdiction or by the supplemental instrument subjecting such property to such lien, shall be entitled (but shall not be required) to make advances from funds collected or held in trust by the Trustee as such for the purpose of preserving such property or of discharging tax liens or other prior liens or encumbrances thereon. The Company also covenants and agrees to indemnify the Trustee, any predecessor Trustee and their agents for, and to hold them harmless against, any loss, liability claim, damage or expense incurred without gross negligence or willful misconduct on their part, as determined by a final order of a court of competent jurisdiction, arising out of or in connection with the acceptance or administration of the trust or trusts hereunder, including the costs and expenses of defending themselves against any claim (whether asserted by the Company or any Holder or any other Person) or liability in connection with the exercise or performance of any of the Trustee’s powers or duties hereunder, or in connection with the enforcement of the provisions of this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except to the extent that such loss, liability, claim, damage or expense is due to their own gross negligence or willful misconduct, as determined by a final order of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need not pay for any settlement made without its consent, which consent shall not be unreasonably withheld. The Trustee shall notify the Company promptly of any claim for which it may seek indemnification. The obligations of the Company under this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When the Trustee incurs expenses or renders services in connection with an Event of Default specified in </w:t>
      </w:r>
      <w:r>
        <w:rPr>
          <w:rFonts w:ascii="Times New Roman" w:cs="Times New Roman" w:eastAsia="Times New Roman" w:hAnsi="Times New Roman"/>
          <w:sz w:val="20"/>
          <w:szCs w:val="20"/>
          <w:u w:val="single" w:color="auto"/>
          <w:color w:val="auto"/>
        </w:rPr>
        <w:t>Section 6.01(4)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6.01(5)</w:t>
      </w:r>
      <w:r>
        <w:rPr>
          <w:rFonts w:ascii="Times New Roman" w:cs="Times New Roman" w:eastAsia="Times New Roman" w:hAnsi="Times New Roman"/>
          <w:sz w:val="20"/>
          <w:szCs w:val="20"/>
          <w:color w:val="auto"/>
        </w:rPr>
        <w:t>, the expenses (including the reasonable charges and expenses of its counsel) and the compensation for the services are intended to constitute expenses of administration under any applicable bankruptcy, insolvency, reorganization or other similar law.</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shall survive the resignation or removal of the Trustee and the discharge or other termination of this Indenture.</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7.08</w:t>
      </w:r>
      <w:r>
        <w:rPr>
          <w:sz w:val="20"/>
          <w:szCs w:val="20"/>
          <w:color w:val="auto"/>
        </w:rPr>
        <w:tab/>
      </w:r>
      <w:r>
        <w:rPr>
          <w:rFonts w:ascii="Times New Roman" w:cs="Times New Roman" w:eastAsia="Times New Roman" w:hAnsi="Times New Roman"/>
          <w:sz w:val="19"/>
          <w:szCs w:val="19"/>
          <w:b w:val="1"/>
          <w:bCs w:val="1"/>
          <w:color w:val="auto"/>
        </w:rPr>
        <w:t>Right of Trustee to Rely on Certificate of Certain Officers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Whenever in the administration of the provisions of this Indenture the Trustee shall deem it necessary or desirable that a matter be proved or established prior to taking or suffering any action hereunder, such matter (unless other evidence in respect 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by it under the provisions of this Indenture upon the faith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09" w:right="339" w:bottom="1440" w:gutter="0" w:footer="0" w:header="0"/>
        </w:sectPr>
      </w:pPr>
    </w:p>
    <w:bookmarkStart w:id="81" w:name="page82"/>
    <w:bookmarkEnd w:id="81"/>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7.09</w:t>
      </w:r>
      <w:r>
        <w:rPr>
          <w:sz w:val="20"/>
          <w:szCs w:val="20"/>
          <w:color w:val="auto"/>
        </w:rPr>
        <w:tab/>
      </w:r>
      <w:r>
        <w:rPr>
          <w:rFonts w:ascii="Times New Roman" w:cs="Times New Roman" w:eastAsia="Times New Roman" w:hAnsi="Times New Roman"/>
          <w:sz w:val="19"/>
          <w:szCs w:val="19"/>
          <w:b w:val="1"/>
          <w:bCs w:val="1"/>
          <w:color w:val="auto"/>
        </w:rPr>
        <w:t>Persons Eligible for Appointment As Trustee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There shall at all times be a Trustee hereunder that is an entity organized and doing business under the laws of the United States, any state or territory thereof or the District of Columbia, authorized under such laws to exercise corporate trust powers, having a combined capital and surplus of at least $50,000,000 and subject to supervision or examination by U.S. federal, state, territorial or District of Columbia authority. If such entity publishes reports of condition at least annually, pursuant to law or to the requirements of a supervising or examining authority, then for the purposes of this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xml:space="preserve">, the combined capital and surplus of such entity shall be deemed to be its combined capital and surplus as set forth in its most recent report of condition so published. In case at any time the Trustee shall cease to be eligible in accordance with this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xml:space="preserve"> or the Trust Indenture Act, the Trustee shall resign immediately in the manner and with the effect specified in </w:t>
      </w:r>
      <w:r>
        <w:rPr>
          <w:rFonts w:ascii="Times New Roman" w:cs="Times New Roman" w:eastAsia="Times New Roman" w:hAnsi="Times New Roman"/>
          <w:sz w:val="19"/>
          <w:szCs w:val="19"/>
          <w:u w:val="single" w:color="auto"/>
          <w:color w:val="auto"/>
        </w:rPr>
        <w:t>Section 7.10</w:t>
      </w:r>
      <w:r>
        <w:rPr>
          <w:rFonts w:ascii="Times New Roman" w:cs="Times New Roman" w:eastAsia="Times New Roman" w:hAnsi="Times New Roman"/>
          <w:sz w:val="19"/>
          <w:szCs w:val="19"/>
          <w:color w:val="auto"/>
        </w:rPr>
        <w:t>. Neither the Company nor any Affiliate of the Company shall serve as Trustee for the Securities of any series issued hereunder.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 or any other indenture of the Company.</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7.10</w:t>
      </w:r>
      <w:r>
        <w:rPr>
          <w:sz w:val="20"/>
          <w:szCs w:val="20"/>
          <w:color w:val="auto"/>
        </w:rPr>
        <w:tab/>
      </w:r>
      <w:r>
        <w:rPr>
          <w:rFonts w:ascii="Times New Roman" w:cs="Times New Roman" w:eastAsia="Times New Roman" w:hAnsi="Times New Roman"/>
          <w:sz w:val="19"/>
          <w:szCs w:val="19"/>
          <w:b w:val="1"/>
          <w:bCs w:val="1"/>
          <w:color w:val="auto"/>
        </w:rPr>
        <w:t>Resignation and Removal of Trustee; Appointment of Successor</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56"/>
        <w:spacing w:after="0" w:line="264" w:lineRule="auto"/>
        <w:tabs>
          <w:tab w:leader="none" w:pos="107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Trustee, or any Trustee or Trustees hereafter appointed, may at any time resign with respect to any one or more or all series of Securities by giving 30 days prior written notice to the Company and by giving notice of such resignation to the Holders of Securities in the manner provided in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Upon receiving such notice of resignation, the Company shall use its commercially reasonable efforts to promptly appoint a successor Trustee or Trustees with respect to the applicable series by written instrument executed by order of the Board of Directors, one copy of which instrument shall be delivered to the resigning Trustee and one copy to the successor Trustee. If no successor Trustee shall have been so appointed with respect to a particular series and have accepted appointment within 30 days after the sending of such notice of resignation, the resigning Trustee may petition, at the expense of the Company, any court of competent jurisdiction for the appointment of a successor Trustee, or any Holder who has been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Holder of a Security or Securities of the applicable series for at least 6 months may, on behalf of such Holder and all others similarly situated, petition any such court for the appointment of a successor Trustee. Such court may thereupon after such notice, if any, as it may deem proper and prescribe, appoint a successor Trustee.</w:t>
      </w:r>
    </w:p>
    <w:p>
      <w:pPr>
        <w:spacing w:after="0" w:line="166" w:lineRule="exact"/>
        <w:rPr>
          <w:rFonts w:ascii="Times New Roman" w:cs="Times New Roman" w:eastAsia="Times New Roman" w:hAnsi="Times New Roman"/>
          <w:sz w:val="19"/>
          <w:szCs w:val="19"/>
          <w:color w:val="auto"/>
        </w:rPr>
      </w:pPr>
    </w:p>
    <w:p>
      <w:pPr>
        <w:ind w:left="1080" w:hanging="424"/>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at any time any of the following shall occur:</w:t>
      </w:r>
    </w:p>
    <w:p>
      <w:pPr>
        <w:spacing w:after="0" w:line="229" w:lineRule="exact"/>
        <w:rPr>
          <w:rFonts w:ascii="Times New Roman" w:cs="Times New Roman" w:eastAsia="Times New Roman" w:hAnsi="Times New Roman"/>
          <w:sz w:val="20"/>
          <w:szCs w:val="20"/>
          <w:color w:val="auto"/>
        </w:rPr>
      </w:pPr>
    </w:p>
    <w:p>
      <w:pPr>
        <w:ind w:left="660" w:firstLine="1292"/>
        <w:spacing w:after="0" w:line="269" w:lineRule="auto"/>
        <w:tabs>
          <w:tab w:leader="none" w:pos="239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cease to be eligible under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 xml:space="preserve"> and shall fail to resign after written request therefor by the Company or by any such Holder, or</w:t>
      </w:r>
    </w:p>
    <w:p>
      <w:pPr>
        <w:spacing w:after="0" w:line="172"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55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become incapable of acting, or shall be adjudged bankrupt or insolvent, commence a voluntary bankruptcy proceeding, or a receiver of the Trustee or of its property shall be appointed, or any public officer shall take charge or control of the Trustee or of its property or affairs for the purpose of rehabilitation, conservation or liquidation, then, in any such case, the Company upon 30 days prior written notice may remove the Trustee with respect to the applicable series of Securities and appoint a successor Trustee by written instrument, in duplicate, executed by order of the Board of Directors, one copy of which instrument shall be delivered to the Trustee so removed and one copy to the successor Trustee, or any Holder who has been a </w:t>
      </w:r>
      <w:r>
        <w:rPr>
          <w:rFonts w:ascii="Times New Roman" w:cs="Times New Roman" w:eastAsia="Times New Roman" w:hAnsi="Times New Roman"/>
          <w:sz w:val="20"/>
          <w:szCs w:val="20"/>
          <w:i w:val="1"/>
          <w:iCs w:val="1"/>
          <w:color w:val="auto"/>
        </w:rPr>
        <w:t>bona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fide </w:t>
      </w:r>
      <w:r>
        <w:rPr>
          <w:rFonts w:ascii="Times New Roman" w:cs="Times New Roman" w:eastAsia="Times New Roman" w:hAnsi="Times New Roman"/>
          <w:sz w:val="20"/>
          <w:szCs w:val="20"/>
          <w:color w:val="auto"/>
        </w:rPr>
        <w:t>Holder of a Security or Securities of any such series for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09" w:right="339" w:bottom="1440" w:gutter="0" w:footer="0" w:header="0"/>
        </w:sectPr>
      </w:pPr>
    </w:p>
    <w:bookmarkStart w:id="82" w:name="page83"/>
    <w:bookmarkEnd w:id="82"/>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least 6 months may, on behalf of such Holder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 with respect to such series.</w:t>
      </w:r>
    </w:p>
    <w:p>
      <w:pPr>
        <w:spacing w:after="0" w:line="181" w:lineRule="exact"/>
        <w:rPr>
          <w:sz w:val="20"/>
          <w:szCs w:val="20"/>
          <w:color w:val="auto"/>
        </w:rPr>
      </w:pPr>
    </w:p>
    <w:p>
      <w:pPr>
        <w:jc w:val="both"/>
        <w:ind w:firstLine="656"/>
        <w:spacing w:after="0" w:line="251" w:lineRule="auto"/>
        <w:tabs>
          <w:tab w:leader="none" w:pos="110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Holders of a majority in aggregate principal amount of the Outstanding Securities of any series may at any time upon 30 days prior written notice remove the Trustee with respect to that series and appoint with respect to such series a successor Trustee by delivering to the Trustee so removed, to the successor Trustee so appointed and to the Company, the evidence provided for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of the action taken by the Holders, unless within 10 days after notice to the Company of such nomination, the Company objects thereto, in which case, the Trustee so removed or any Holder who has been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Holder of a Security or Securities of the applicable series for at least six months may, on behalf of himself and all others similarly situated, and at the expense of the Company, petition any court of competent jurisdiction for the appointment of a successor Trustee.</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17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resignation or removal of the Trustee and any appointment of a successor Trustee pursuant to this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shall become effective only upon acceptance of appointment by the successor Trustee as provided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7.11</w:t>
      </w:r>
      <w:r>
        <w:rPr>
          <w:sz w:val="20"/>
          <w:szCs w:val="20"/>
          <w:color w:val="auto"/>
        </w:rPr>
        <w:tab/>
      </w:r>
      <w:r>
        <w:rPr>
          <w:rFonts w:ascii="Times New Roman" w:cs="Times New Roman" w:eastAsia="Times New Roman" w:hAnsi="Times New Roman"/>
          <w:sz w:val="19"/>
          <w:szCs w:val="19"/>
          <w:b w:val="1"/>
          <w:bCs w:val="1"/>
          <w:color w:val="auto"/>
        </w:rPr>
        <w:t>Acceptance of Appointment by Successor Trustee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Any successor Trustee appointed under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shall execute, acknowledge and deliver to the Company and to the predecessor Trustee with respect to any and all applicable series an instrument accepting such appointment hereunder, and thereupon the resignation or removal of the predecessor Trustee shall become effective and such successor Trustee, without any further act, deed, or conveyance, shall become vested with all the rights, powers, trusts, duties and obligations with respect of such series of its predecessor hereunder, with like effect as if originally named as Trustee herein; but, nevertheless, on the written request of the Company or of the successor Trustee, the Trustee ceasing to act shall, upon payment of any such amounts then due it pursuant to the provisions of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execute and deliver an instrument transferring to such successor Trustee all the rights, powers and trusts with respect to such series of the Trustee so ceasing to act. Upon the reasonable request of any such successor Trustee, the Company shall execute any and all instruments in writing more fully and certainly vesting in and confirming to such successor Trustee all such rights and powers. Any Trustee ceasing to act shall, nevertheless, retain a lien upon all property or funds held or collected by such Trustee to secure any amounts then due it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the case of the appointment hereunder of a successor Trustee with respect to the Securities of one or more (but not all) series, the Company, the predecessor Trustee and each successor Trustee with respect to the Securities of any applicable series shall execute and deliver a supplemental indenture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co-Trustees of the same trust and that each such Trustee shall be trustee of a trust or trusts hereunder separate and apart from any trust or trusts hereunder administered by any other such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83" w:name="page84"/>
    <w:bookmarkEnd w:id="8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No successor Trustee with respect to any series of Securities shall accept appointment as provided in this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unless at the time of such acceptance such successor Trustee shall with respect to such series be eligible under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Upon acceptance of appointment by a successor Trustee with respect to the Securities of any series, the Company shall give notice of the succession of such Trustee hereunder to the Holders of Securities in the manner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If the Company fails to give such notice within 10 days after acceptance of appointment by the successor Trustee, the successor Trustee shall cause such notice to be given at the expense of the Company.</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7.12</w:t>
      </w:r>
      <w:r>
        <w:rPr>
          <w:sz w:val="20"/>
          <w:szCs w:val="20"/>
          <w:color w:val="auto"/>
        </w:rPr>
        <w:tab/>
      </w:r>
      <w:r>
        <w:rPr>
          <w:rFonts w:ascii="Times New Roman" w:cs="Times New Roman" w:eastAsia="Times New Roman" w:hAnsi="Times New Roman"/>
          <w:sz w:val="19"/>
          <w:szCs w:val="19"/>
          <w:b w:val="1"/>
          <w:bCs w:val="1"/>
          <w:color w:val="auto"/>
        </w:rPr>
        <w:t>Merger, Conversion or Consolidation of Trustee</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 xml:space="preserve">Any entity into which the Trustee may be merged or converted or with which it may be consolidated, or any entity resulting from any merger, conversion or consolidation to which the Trustee shall be a party, or any entity succeeding to all or substantially all the corporate trust business of the Trustee, shall be the successor of the Trustee hereunder without the execution or filing of any paper or any further act on the part of any of the parties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successor Trustee shall be eligible under the provisions of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xml:space="preserve"> hereof and Sections 310(a)(1), (2) and (5) of the Trust Indenture Act. The Trustee is subject to Section 310(b) of the Trust Indenture Act.</w:t>
      </w:r>
    </w:p>
    <w:p>
      <w:pPr>
        <w:spacing w:after="0" w:line="158"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7.13</w:t>
      </w:r>
      <w:r>
        <w:rPr>
          <w:sz w:val="20"/>
          <w:szCs w:val="20"/>
          <w:color w:val="auto"/>
        </w:rPr>
        <w:tab/>
      </w:r>
      <w:r>
        <w:rPr>
          <w:rFonts w:ascii="Times New Roman" w:cs="Times New Roman" w:eastAsia="Times New Roman" w:hAnsi="Times New Roman"/>
          <w:sz w:val="19"/>
          <w:szCs w:val="19"/>
          <w:b w:val="1"/>
          <w:bCs w:val="1"/>
          <w:color w:val="auto"/>
        </w:rPr>
        <w:t>Authenticating Agents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Trustee may appoint an agent (the “</w:t>
      </w:r>
      <w:r>
        <w:rPr>
          <w:rFonts w:ascii="Times New Roman" w:cs="Times New Roman" w:eastAsia="Times New Roman" w:hAnsi="Times New Roman"/>
          <w:sz w:val="20"/>
          <w:szCs w:val="20"/>
          <w:u w:val="single" w:color="auto"/>
          <w:color w:val="auto"/>
        </w:rPr>
        <w:t>Authenticating Agent</w:t>
      </w:r>
      <w:r>
        <w:rPr>
          <w:rFonts w:ascii="Times New Roman" w:cs="Times New Roman" w:eastAsia="Times New Roman" w:hAnsi="Times New Roman"/>
          <w:sz w:val="20"/>
          <w:szCs w:val="20"/>
          <w:color w:val="auto"/>
        </w:rPr>
        <w:t>”) reasonably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Authenticating Agent shall at all times be an entity organized and doing business under the U.S. federal or state laws, with a combined capital and surplus of at least $50,000,000 and authorized under such laws to act as an authenticating agent, duly registered to act as such, if and to the extent required by applicable law and subject to supervision or examination by U.S. federal or state authority. If such entity publishes reports of its condition at least annually, pursuant to law or the requirements of such authority, then for the purposes of this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the combined capital and surplus of such entity shall be deemed to be its combined capital and surplus as set forth in its most recent report of condition so published. If at any time an Authenticating Agent shall cease to be eligible to act as such in accordance with the provisions of this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it shall resign immediately in the manner and with the effect herein specified in this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Any entity into which any Authenticating Agent may be merged or converted or with which it may be consolidated, or any entity resulting from any merger, conversion or consolidation to which any Authenticating Agent shall be a party, or any entity succeeding to all or substantially all the corporate agency business of any Authenticating Agent, shall be the successor of the Authenticating Agent hereunder, if such successor entity is otherwise eligible to act as such in accordance with the provisions of this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without the execution or filing of any paper or any further act on the part of the Trustee or the Authenticating Agent or such successor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84" w:name="page85"/>
    <w:bookmarkEnd w:id="8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Any Authenticating Agent may at any time resign by giving written notice of resignation to the Trustee and the Company. The Trustee may at any time terminate the agency of any Authenticating Agent by giving written notice of termination to such Authenticating Agent and to the Company. Upon receiving such a notice or resignation or upon a termination, or in case at any time any Authenticating Agent shall cease to be eligible to act as such in accordance with the provisions of this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the Trustee may appoint a successor authenticating agent. Upon the appointment, at any time after the original issuance of any of the Securities, of any successor, additional or new authenticating agent, the Trustee shall give written notice of such appointment to the Company and shall at the expense of the Company give notice of such appointment to all Holders of Securities of the series with respect to which such Authenticating Agent will serve in the manner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Any successor authenticating agent upon acceptance of its appointment pursuant to the provisions of this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shall become vested with all the rights, powers, duties and obligations of its predecessor hereunder, with like effect as if initially appointed as an Authenticating Agent. No successor authenticating agent shall be appointed unless eligible to act as such in accordance with the provisions of this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Authenticating Agent, by the acceptance of its appointment, shall be deemed to have agreed with the Trustee to indemnify the Trustee against any loss, liability or expense incurred by the Trustee and to defend any claim asserted against the Trustee by reason of any acts or failures to act of such Authenticating Agent, but such Authenticating Agent shall have no liability for any action taken by it in accordance with the specific written direction of the Trustee.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agrees to pay to each Authenticating Agent from time to time reasonable compensation and expenses for its services.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 xml:space="preserve"> shall inure to the benefit of each Authenticating Agent to the same extent that they inure to the benefit of the Trustee.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If an appointment with respect to one or more series is made pursuant to this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the Securities of such series may have endorsed thereon, in addition to the Trustee’s certificate of authentication, an alternate certificate of authentication in substantially the following form:</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is one of the Securities of the series designated therein issued under the within-mentioned Indenture.</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00" w:lineRule="exact"/>
        <w:rPr>
          <w:sz w:val="20"/>
          <w:szCs w:val="20"/>
          <w:color w:val="auto"/>
        </w:rPr>
      </w:pPr>
    </w:p>
    <w:p>
      <w:pPr>
        <w:spacing w:after="0" w:line="245" w:lineRule="exact"/>
        <w:rPr>
          <w:sz w:val="20"/>
          <w:szCs w:val="20"/>
          <w:color w:val="auto"/>
        </w:rPr>
      </w:pPr>
    </w:p>
    <w:p>
      <w:pPr>
        <w:ind w:left="4540" w:right="120"/>
        <w:spacing w:after="0" w:line="269" w:lineRule="auto"/>
        <w:rPr>
          <w:sz w:val="20"/>
          <w:szCs w:val="20"/>
          <w:color w:val="auto"/>
        </w:rPr>
      </w:pPr>
      <w:r>
        <w:rPr>
          <w:rFonts w:ascii="Times New Roman" w:cs="Times New Roman" w:eastAsia="Times New Roman" w:hAnsi="Times New Roman"/>
          <w:sz w:val="20"/>
          <w:szCs w:val="20"/>
          <w:color w:val="auto"/>
        </w:rPr>
        <w:t>By: [FULL LEGAL NAME OF AUTHENTICATING AGENT], as Authenticating Agent</w:t>
      </w:r>
    </w:p>
    <w:p>
      <w:pPr>
        <w:spacing w:after="0" w:line="3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85" w:name="page86"/>
    <w:bookmarkEnd w:id="85"/>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7.14</w:t>
      </w:r>
      <w:r>
        <w:rPr>
          <w:sz w:val="20"/>
          <w:szCs w:val="20"/>
          <w:color w:val="auto"/>
        </w:rPr>
        <w:tab/>
      </w:r>
      <w:r>
        <w:rPr>
          <w:rFonts w:ascii="Times New Roman" w:cs="Times New Roman" w:eastAsia="Times New Roman" w:hAnsi="Times New Roman"/>
          <w:sz w:val="19"/>
          <w:szCs w:val="19"/>
          <w:b w:val="1"/>
          <w:bCs w:val="1"/>
          <w:color w:val="auto"/>
        </w:rPr>
        <w:t>Preferential Collection of Claims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and when the Trustee shall be or become a creditor of the Company (or any other obligor upon the Securities), the Trustee shall be subject to Section 311(a) of the Trust Indenture Act regarding the collection of claims against the Company (or any other obligor upon the Securities), excluding any creditor relationship listed in Trust Indenture Act Section 311(b).</w:t>
      </w:r>
    </w:p>
    <w:p>
      <w:pPr>
        <w:spacing w:after="0" w:line="171" w:lineRule="exact"/>
        <w:rPr>
          <w:sz w:val="20"/>
          <w:szCs w:val="20"/>
          <w:color w:val="auto"/>
        </w:rPr>
      </w:pPr>
    </w:p>
    <w:p>
      <w:pPr>
        <w:ind w:left="2060"/>
        <w:spacing w:after="0"/>
        <w:tabs>
          <w:tab w:leader="none" w:pos="266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19"/>
          <w:szCs w:val="19"/>
          <w:b w:val="1"/>
          <w:bCs w:val="1"/>
          <w:color w:val="auto"/>
        </w:rPr>
        <w:t>HOLDERS LISTS AND REPORTS BY TRUSTEE AND COMPANY</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8.01</w:t>
      </w:r>
      <w:r>
        <w:rPr>
          <w:sz w:val="20"/>
          <w:szCs w:val="20"/>
          <w:color w:val="auto"/>
        </w:rPr>
        <w:tab/>
      </w:r>
      <w:r>
        <w:rPr>
          <w:rFonts w:ascii="Times New Roman" w:cs="Times New Roman" w:eastAsia="Times New Roman" w:hAnsi="Times New Roman"/>
          <w:sz w:val="19"/>
          <w:szCs w:val="19"/>
          <w:b w:val="1"/>
          <w:bCs w:val="1"/>
          <w:color w:val="auto"/>
        </w:rPr>
        <w:t>Company to Furnish Trustee Names and Addresses of Holders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accordance with Section 312(a) of the Trust Indenture Act, the Company (and to the extent applicable under Section 312(a)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 Indenture Act, any other obligor) shall furnish, or cause to be furnished to the Trustee:</w:t>
      </w:r>
    </w:p>
    <w:p>
      <w:pPr>
        <w:spacing w:after="0" w:line="207" w:lineRule="exact"/>
        <w:rPr>
          <w:sz w:val="20"/>
          <w:szCs w:val="20"/>
          <w:color w:val="auto"/>
        </w:rPr>
      </w:pPr>
    </w:p>
    <w:p>
      <w:pPr>
        <w:jc w:val="both"/>
        <w:ind w:firstLine="656"/>
        <w:spacing w:after="0" w:line="261" w:lineRule="auto"/>
        <w:tabs>
          <w:tab w:leader="none" w:pos="112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semi-annually with respect to Securities of each series, within 15 days after each Regular Record Date, of each year or upon such other dates as are set forth in or pursuant to the Board Resolution or supplemental indenture authorizing such series, a list, in each case in such form as the Trustee may reasonably require, of the names and addresses of Holders as of the applicable date; and</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30 days after the receipt by the Company of any written request from the Trustee, a list of similar form and content as of a date not more than 15 days prior to the time such list is furnished;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so long as the Trustee is the Security Registrar no such list shall be required to be furnished.</w:t>
      </w:r>
    </w:p>
    <w:p>
      <w:pPr>
        <w:spacing w:after="0" w:line="16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8.02</w:t>
      </w:r>
      <w:r>
        <w:rPr>
          <w:sz w:val="20"/>
          <w:szCs w:val="20"/>
          <w:color w:val="auto"/>
        </w:rPr>
        <w:tab/>
      </w:r>
      <w:r>
        <w:rPr>
          <w:rFonts w:ascii="Times New Roman" w:cs="Times New Roman" w:eastAsia="Times New Roman" w:hAnsi="Times New Roman"/>
          <w:sz w:val="19"/>
          <w:szCs w:val="19"/>
          <w:b w:val="1"/>
          <w:bCs w:val="1"/>
          <w:color w:val="auto"/>
        </w:rPr>
        <w:t>Reports by Trustee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56"/>
        <w:spacing w:after="0" w:line="250" w:lineRule="auto"/>
        <w:tabs>
          <w:tab w:leader="none" w:pos="118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anniversary date following the first issuance of Securities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transmit, pursuant to Section 313(c) of the Trust Indenture Act, a brief report dated as of such anniversary date with respect to any of the events specified in said Sections 313(a) and 313(b)(2) of the Trust Indenture Act which may have occurred since the later of the immediately preceding anniversary date and the date of this Indenture.</w:t>
      </w:r>
    </w:p>
    <w:p>
      <w:pPr>
        <w:spacing w:after="0" w:line="180"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transmit the reports required by Section 313(a) of the Trust Indenture Act at the times specified therein.</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13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Reports pursuant to this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shall be transmitted in the manner and to the Persons required by Sections 313(c) and 313(d) of the Trust Indenture Act.</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8.03</w:t>
      </w:r>
      <w:r>
        <w:rPr>
          <w:sz w:val="20"/>
          <w:szCs w:val="20"/>
          <w:color w:val="auto"/>
        </w:rPr>
        <w:tab/>
      </w:r>
      <w:r>
        <w:rPr>
          <w:rFonts w:ascii="Times New Roman" w:cs="Times New Roman" w:eastAsia="Times New Roman" w:hAnsi="Times New Roman"/>
          <w:sz w:val="19"/>
          <w:szCs w:val="19"/>
          <w:b w:val="1"/>
          <w:bCs w:val="1"/>
          <w:color w:val="auto"/>
        </w:rPr>
        <w:t>Reports by the Company</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56"/>
        <w:spacing w:after="0" w:line="250" w:lineRule="auto"/>
        <w:tabs>
          <w:tab w:leader="none" w:pos="106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required by Section 314(a) of the Trust Indenture Act, the Company shall, so long as the Securities of any series of Securities are outstanding, file with the Trustee such information, documents and other reports as may be required to comply with the provisions of Section 314(a) of the Trust Indenture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failure of the Company to comply with this provision shall not constitute a default or an Event of Default and (ii) only the Trustee, acting at the written direction of Holders of a majority of the aggregate outstanding principal amount of the Securities of the applicable series, may institute a legal proceeding against the Company to enforce such delivery obligation.</w:t>
      </w:r>
    </w:p>
    <w:p>
      <w:pPr>
        <w:spacing w:after="0" w:line="180" w:lineRule="exact"/>
        <w:rPr>
          <w:rFonts w:ascii="Times New Roman" w:cs="Times New Roman" w:eastAsia="Times New Roman" w:hAnsi="Times New Roman"/>
          <w:sz w:val="20"/>
          <w:szCs w:val="20"/>
          <w:color w:val="auto"/>
        </w:rPr>
      </w:pPr>
    </w:p>
    <w:p>
      <w:pPr>
        <w:ind w:firstLine="656"/>
        <w:spacing w:after="0" w:line="283" w:lineRule="auto"/>
        <w:tabs>
          <w:tab w:leader="none" w:pos="121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extent the Company files the information and reports referred to in the preceding paragraph with the Commission (including on behalf of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09"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Person) and such information is publicly available on the Commission’s EDGAR database (or any successor database thereto) or any other publicly available database, the Company shall be deemed to be in compliance with its obligations to furnish or file such information to the Trustee pursuant to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56"/>
        <w:spacing w:after="0" w:line="253" w:lineRule="auto"/>
        <w:tabs>
          <w:tab w:leader="none" w:pos="109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Delivery of reports, information and documents to the Trustee under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are for informational purposes only, and the Trustee’s receipt of the foregoing shall not constitute constructive or actual notice or knowledge of any information contained therein or determinable from information contained therein, including the Company’s compliance with any of its covenants hereunder (as to which the Trustee is entitled to rely exclusively on Officer’s Certificates). The Trustee shall have no obligation whatsoever to determine whether or not such information, documents or reports have been filed under any filing system or posted to any website.</w:t>
      </w:r>
    </w:p>
    <w:p>
      <w:pPr>
        <w:spacing w:after="0" w:line="188" w:lineRule="exact"/>
        <w:rPr>
          <w:sz w:val="20"/>
          <w:szCs w:val="20"/>
          <w:color w:val="auto"/>
        </w:rPr>
      </w:pPr>
    </w:p>
    <w:p>
      <w:pPr>
        <w:ind w:left="3640"/>
        <w:spacing w:after="0"/>
        <w:tabs>
          <w:tab w:leader="none" w:pos="408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19"/>
          <w:szCs w:val="19"/>
          <w:b w:val="1"/>
          <w:bCs w:val="1"/>
          <w:color w:val="auto"/>
        </w:rPr>
        <w:t>CONCERNING THE HOLDERS</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9.01</w:t>
      </w:r>
      <w:r>
        <w:rPr>
          <w:sz w:val="20"/>
          <w:szCs w:val="20"/>
          <w:color w:val="auto"/>
        </w:rPr>
        <w:tab/>
      </w:r>
      <w:r>
        <w:rPr>
          <w:rFonts w:ascii="Times New Roman" w:cs="Times New Roman" w:eastAsia="Times New Roman" w:hAnsi="Times New Roman"/>
          <w:sz w:val="19"/>
          <w:szCs w:val="19"/>
          <w:b w:val="1"/>
          <w:bCs w:val="1"/>
          <w:color w:val="auto"/>
        </w:rPr>
        <w:t>Evidence of Action Taken by Holders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(i) by any instrument or any number of instruments of similar tenor executed by Holders in person or by agent or proxy appointed in writing, (ii) by the record of the Holders of Securities voting in favor thereof at any meeting of Holders duly called and held in accordance with the rules and procedures established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or (iii) by a combination of such instrument or instruments and any such record of such a meeting of Holders.</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Members of, or participants in, a Depositary shall have no rights under this Indenture with respect to any Global Security held on their behalf by the Depositary or by the Depositary Custodian or under such Global Security, and the Depositary may be treated by the Company, the Trustee and any agent of the Company or the Trustee as the absolute owner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Security.</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9.02</w:t>
      </w:r>
      <w:r>
        <w:rPr>
          <w:sz w:val="20"/>
          <w:szCs w:val="20"/>
          <w:color w:val="auto"/>
        </w:rPr>
        <w:tab/>
      </w:r>
      <w:r>
        <w:rPr>
          <w:rFonts w:ascii="Times New Roman" w:cs="Times New Roman" w:eastAsia="Times New Roman" w:hAnsi="Times New Roman"/>
          <w:sz w:val="19"/>
          <w:szCs w:val="19"/>
          <w:b w:val="1"/>
          <w:bCs w:val="1"/>
          <w:color w:val="auto"/>
        </w:rPr>
        <w:t>Proof of Execution of Instruments and of Holding of Securities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Section 315 of the Trust Indenture Act, proof of the execution of any instrument by a Holder or its agent or proxy and proof of the holding by any Person of any of the Securities shall be sufficient if made in the following manner: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fact and date of the execution by any such Person of any instrument may be proved by the certificate of any notary public or other officer authorized to take acknowledgments of deeds to be recorded in any state within the United States, that the Person executing such instrument acknowledged to such notary or other officer the execution thereof, or by an affidavit of a witness to such execution sworn to before any such notary or other such officer. Where such execution is by an officer of a corporation or association or a member of a partnership on behalf of such corporation, association or partnership, such certificate or affidavit shall also constitute sufficient proof of such officer’s or member’s authority.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color w:val="auto"/>
        </w:rPr>
        <w:t>fact and date of the execution of any such instrument may also be proved in any other manner which the Trustee may deem sufficient.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ownership of Securities may be proved by the Security Register or by a certificate of the Security Registrar.</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If the Company shall solicit from the Holders of Securities of any series any request, demand, authorization, direction, notice, consent, waiver or other act, the Company may, at its option, by Board Resolution, fix in advance a record date for the determination of Holders of Securities entitled to give such request, demand, authorization, direction, notice, consent, waiver or other act, but the Company shall have no obligation to do so. Any such record date shall be fixed at the discretion of the Company. If such a record date is fixed, such request, demand, authorization, direction, notice, consent, waiver or other act may be sought or given before or after the record date, but only the Holders of Securities of record at the close of business on such record date shall be deemed to be the Holders of Securities for the purpose of determining whether Holders of the requisite proportion of Securities of such series outstanding have authorized or agreed or consented to such request, demand, authorization, direction, notice, consent, waiver or other act, and for that purpose the Securities of such series outstanding shall be computed as of such record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Trustee may require such additional proof, if any, of any matter referred to in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as it shall deem necessary.</w:t>
      </w:r>
    </w:p>
    <w:p>
      <w:pPr>
        <w:spacing w:after="0" w:line="21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9.03</w:t>
      </w:r>
      <w:r>
        <w:rPr>
          <w:sz w:val="20"/>
          <w:szCs w:val="20"/>
          <w:color w:val="auto"/>
        </w:rPr>
        <w:tab/>
      </w:r>
      <w:r>
        <w:rPr>
          <w:rFonts w:ascii="Times New Roman" w:cs="Times New Roman" w:eastAsia="Times New Roman" w:hAnsi="Times New Roman"/>
          <w:sz w:val="19"/>
          <w:szCs w:val="19"/>
          <w:b w:val="1"/>
          <w:bCs w:val="1"/>
          <w:color w:val="auto"/>
        </w:rPr>
        <w:t>Right of Revocation of Action Taken</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At any time prior to (but not after) the evidencing to the Trustee, as provided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of the taking of any action by the Holders of the percentage in aggregate principal amount of the Securities or of any series of Securities specified in this Indenture in connection with such action, any Holder of a Security which is shown, by evidence, to be included in the Securities the Holders of which have consented to such action may, by filing written notice with the Trustee at its principal office and upon proof of holding as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or in place thereof, irrespective of whether or not any notation in regard thereto is made upon such Security or any Security issued in exchange therefor or in place thereof. Any action taken by the Holders of the percentage in aggregate principal amount of the Securities specified in this Indenture in connection with such action shall be conclusively binding upon the Company, the Trustee and the Holders of all the Securities.</w:t>
      </w:r>
    </w:p>
    <w:p>
      <w:pPr>
        <w:spacing w:after="0" w:line="196" w:lineRule="exact"/>
        <w:rPr>
          <w:sz w:val="20"/>
          <w:szCs w:val="20"/>
          <w:color w:val="auto"/>
        </w:rPr>
      </w:pPr>
    </w:p>
    <w:p>
      <w:pPr>
        <w:ind w:left="4040"/>
        <w:spacing w:after="0"/>
        <w:tabs>
          <w:tab w:leader="none" w:pos="4400" w:val="left"/>
        </w:tabs>
        <w:rPr>
          <w:sz w:val="20"/>
          <w:szCs w:val="20"/>
          <w:color w:val="auto"/>
        </w:rPr>
      </w:pPr>
      <w:r>
        <w:rPr>
          <w:rFonts w:ascii="Times New Roman" w:cs="Times New Roman" w:eastAsia="Times New Roman" w:hAnsi="Times New Roman"/>
          <w:sz w:val="20"/>
          <w:szCs w:val="20"/>
          <w:b w:val="1"/>
          <w:bCs w:val="1"/>
          <w:color w:val="auto"/>
        </w:rPr>
        <w:t>X.</w:t>
      </w:r>
      <w:r>
        <w:rPr>
          <w:sz w:val="20"/>
          <w:szCs w:val="20"/>
          <w:color w:val="auto"/>
        </w:rPr>
        <w:tab/>
      </w:r>
      <w:r>
        <w:rPr>
          <w:rFonts w:ascii="Times New Roman" w:cs="Times New Roman" w:eastAsia="Times New Roman" w:hAnsi="Times New Roman"/>
          <w:sz w:val="19"/>
          <w:szCs w:val="19"/>
          <w:b w:val="1"/>
          <w:bCs w:val="1"/>
          <w:color w:val="auto"/>
        </w:rPr>
        <w:t>HOLDERS’ MEETINGS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Times New Roman" w:cs="Times New Roman" w:eastAsia="Times New Roman" w:hAnsi="Times New Roman"/>
          <w:sz w:val="19"/>
          <w:szCs w:val="19"/>
          <w:b w:val="1"/>
          <w:bCs w:val="1"/>
          <w:color w:val="auto"/>
        </w:rPr>
        <w:t>Rules for Meetings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Trustee may make reasonable rules and procedures for meetings of Holders.</w:t>
      </w:r>
    </w:p>
    <w:p>
      <w:pPr>
        <w:spacing w:after="0" w:line="196" w:lineRule="exact"/>
        <w:rPr>
          <w:sz w:val="20"/>
          <w:szCs w:val="20"/>
          <w:color w:val="auto"/>
        </w:rPr>
      </w:pPr>
    </w:p>
    <w:p>
      <w:pPr>
        <w:ind w:left="3580"/>
        <w:spacing w:after="0"/>
        <w:tabs>
          <w:tab w:leader="none" w:pos="4040" w:val="left"/>
        </w:tabs>
        <w:rPr>
          <w:sz w:val="20"/>
          <w:szCs w:val="20"/>
          <w:color w:val="auto"/>
        </w:rPr>
      </w:pPr>
      <w:r>
        <w:rPr>
          <w:rFonts w:ascii="Times New Roman" w:cs="Times New Roman" w:eastAsia="Times New Roman" w:hAnsi="Times New Roman"/>
          <w:sz w:val="20"/>
          <w:szCs w:val="20"/>
          <w:b w:val="1"/>
          <w:bCs w:val="1"/>
          <w:color w:val="auto"/>
        </w:rPr>
        <w:t>XI.</w:t>
      </w:r>
      <w:r>
        <w:rPr>
          <w:sz w:val="20"/>
          <w:szCs w:val="20"/>
          <w:color w:val="auto"/>
        </w:rPr>
        <w:tab/>
      </w:r>
      <w:r>
        <w:rPr>
          <w:rFonts w:ascii="Times New Roman" w:cs="Times New Roman" w:eastAsia="Times New Roman" w:hAnsi="Times New Roman"/>
          <w:sz w:val="19"/>
          <w:szCs w:val="19"/>
          <w:b w:val="1"/>
          <w:bCs w:val="1"/>
          <w:color w:val="auto"/>
        </w:rPr>
        <w:t>SUPPLEMENTAL INDENTURES</w:t>
      </w:r>
    </w:p>
    <w:p>
      <w:pPr>
        <w:spacing w:after="0" w:line="22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11.01</w:t>
      </w:r>
      <w:r>
        <w:rPr>
          <w:sz w:val="20"/>
          <w:szCs w:val="20"/>
          <w:color w:val="auto"/>
        </w:rPr>
        <w:tab/>
      </w:r>
      <w:r>
        <w:rPr>
          <w:rFonts w:ascii="Times New Roman" w:cs="Times New Roman" w:eastAsia="Times New Roman" w:hAnsi="Times New Roman"/>
          <w:sz w:val="19"/>
          <w:szCs w:val="19"/>
          <w:b w:val="1"/>
          <w:bCs w:val="1"/>
          <w:color w:val="auto"/>
        </w:rPr>
        <w:t>Supplemental Indentures Without Consent of Holders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and the Trustee may from time to time and at any time enter into one or more supplemental indentures hereto (which shall, but only to the extent applicable, conform to the provisions of the Trust Indenture Act as it shall be in force at the date of execution of such supplemental indenture or indentures) for one or more of the following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88" w:name="page89"/>
    <w:bookmarkEnd w:id="88"/>
    <w:p>
      <w:pPr>
        <w:ind w:left="840" w:hanging="656"/>
        <w:spacing w:after="0" w:line="283" w:lineRule="auto"/>
        <w:tabs>
          <w:tab w:leader="none" w:pos="66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convey, transfer, assign, mortgage or pledge to the Trustee as security for the Securities any property or assets that the Company may desire;</w:t>
      </w:r>
    </w:p>
    <w:p>
      <w:pPr>
        <w:spacing w:after="0" w:line="146" w:lineRule="exact"/>
        <w:rPr>
          <w:rFonts w:ascii="Times New Roman" w:cs="Times New Roman" w:eastAsia="Times New Roman" w:hAnsi="Times New Roman"/>
          <w:sz w:val="20"/>
          <w:szCs w:val="20"/>
          <w:color w:val="auto"/>
        </w:rPr>
      </w:pPr>
    </w:p>
    <w:p>
      <w:pPr>
        <w:ind w:left="840" w:hanging="656"/>
        <w:spacing w:after="0" w:line="283" w:lineRule="auto"/>
        <w:tabs>
          <w:tab w:leader="none" w:pos="62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evidence the succession of another corporation to the Company, or successive successions, and the assumption by the successor corporation of the covenants, agreements and obligations of the Company pursuant to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840" w:hanging="656"/>
        <w:spacing w:after="0" w:line="258" w:lineRule="auto"/>
        <w:tabs>
          <w:tab w:leader="none" w:pos="65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to or modify the covenants and agreements of the Company such further covenants, agreements, restrictions or conditions for the protection of the Holders of the Securities of all or any series (and if such covenants, agreements, restrictions or conditions are to be for the benefit of fewer than all series of Securities, stating that such covenants, agreements, restrictions or conditions are expressly being included solely for the benefit of such series);</w:t>
      </w:r>
    </w:p>
    <w:p>
      <w:pPr>
        <w:spacing w:after="0" w:line="185" w:lineRule="exact"/>
        <w:rPr>
          <w:rFonts w:ascii="Times New Roman" w:cs="Times New Roman" w:eastAsia="Times New Roman" w:hAnsi="Times New Roman"/>
          <w:sz w:val="20"/>
          <w:szCs w:val="20"/>
          <w:color w:val="auto"/>
        </w:rPr>
      </w:pPr>
    </w:p>
    <w:p>
      <w:pPr>
        <w:ind w:left="840" w:hanging="656"/>
        <w:spacing w:after="0" w:line="261" w:lineRule="auto"/>
        <w:tabs>
          <w:tab w:leader="none" w:pos="65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or modify any Events of Default for the benefit of the Holders of the Securities of all or any series (and if such additional or modified Events of Default are to be for the benefit of fewer than all series of Securities, stating that such additional or modified Events of Default are expressly being included solely for the benefit of such series);</w:t>
      </w:r>
    </w:p>
    <w:p>
      <w:pPr>
        <w:spacing w:after="0" w:line="181"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prohibit the authentication and delivery of additional series of Securities;</w:t>
      </w:r>
    </w:p>
    <w:p>
      <w:pPr>
        <w:spacing w:after="0" w:line="215"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omission, mistake, defect or inconsistency;</w:t>
      </w:r>
    </w:p>
    <w:p>
      <w:pPr>
        <w:spacing w:after="0" w:line="229" w:lineRule="exact"/>
        <w:rPr>
          <w:rFonts w:ascii="Times New Roman" w:cs="Times New Roman" w:eastAsia="Times New Roman" w:hAnsi="Times New Roman"/>
          <w:sz w:val="20"/>
          <w:szCs w:val="20"/>
          <w:color w:val="auto"/>
        </w:rPr>
      </w:pPr>
    </w:p>
    <w:p>
      <w:pPr>
        <w:ind w:left="840" w:hanging="656"/>
        <w:spacing w:after="0" w:line="261" w:lineRule="auto"/>
        <w:tabs>
          <w:tab w:leader="none" w:pos="64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such other provisions in regard to matters or questions arising under this Indenture as shall not be inconsistent with the provisions of this Indenture or any supplemental indenture; provided that such action shall not adversely affect the rights of Holders of Securities of any series in any material respect;</w:t>
      </w:r>
    </w:p>
    <w:p>
      <w:pPr>
        <w:spacing w:after="0" w:line="181" w:lineRule="exact"/>
        <w:rPr>
          <w:rFonts w:ascii="Times New Roman" w:cs="Times New Roman" w:eastAsia="Times New Roman" w:hAnsi="Times New Roman"/>
          <w:sz w:val="20"/>
          <w:szCs w:val="20"/>
          <w:color w:val="auto"/>
        </w:rPr>
      </w:pPr>
    </w:p>
    <w:p>
      <w:pPr>
        <w:ind w:left="840" w:hanging="656"/>
        <w:spacing w:after="0" w:line="271" w:lineRule="auto"/>
        <w:tabs>
          <w:tab w:leader="none" w:pos="67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establish the form and terms of the Securities of any series as permitted in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74" w:lineRule="exact"/>
        <w:rPr>
          <w:rFonts w:ascii="Times New Roman" w:cs="Times New Roman" w:eastAsia="Times New Roman" w:hAnsi="Times New Roman"/>
          <w:sz w:val="19"/>
          <w:szCs w:val="19"/>
          <w:color w:val="auto"/>
        </w:rPr>
      </w:pPr>
    </w:p>
    <w:p>
      <w:pPr>
        <w:ind w:left="840" w:hanging="656"/>
        <w:spacing w:after="0" w:line="258" w:lineRule="auto"/>
        <w:tabs>
          <w:tab w:leader="none" w:pos="75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evidence and provide for the acceptance of appointment hereunder by a successor Trustee with respect to the Securities of one or more series or to add to or change any of the provisions of this Indenture as shall be necessary to provide for or facilitate the administration of the trusts hereunder by more than one Trustee, pursuant to the requirements of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Securities in addition to or in place of certificated Securities;</w:t>
      </w:r>
    </w:p>
    <w:p>
      <w:pPr>
        <w:spacing w:after="0" w:line="229" w:lineRule="exact"/>
        <w:rPr>
          <w:rFonts w:ascii="Times New Roman" w:cs="Times New Roman" w:eastAsia="Times New Roman" w:hAnsi="Times New Roman"/>
          <w:sz w:val="20"/>
          <w:szCs w:val="20"/>
          <w:color w:val="auto"/>
        </w:rPr>
      </w:pPr>
    </w:p>
    <w:p>
      <w:pPr>
        <w:jc w:val="both"/>
        <w:ind w:left="840" w:hanging="656"/>
        <w:spacing w:after="0" w:line="254" w:lineRule="auto"/>
        <w:tabs>
          <w:tab w:leader="none" w:pos="80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delete, amend or supplement any provision contained herein or in any supplemental indenture (which deletion, amendment or supplement may apply to one or more series of Securities or may apply to this Indenture generally, including the amendment and restatement of this Indenture), provided that such amendment or supplement does not</w:t>
      </w:r>
    </w:p>
    <w:p>
      <w:pPr>
        <w:ind w:left="8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apply to any Security of any series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0120"/>
          </w:cols>
          <w:pgMar w:left="1440" w:top="1413" w:right="339" w:bottom="1440" w:gutter="0" w:footer="0" w:header="0"/>
        </w:sectPr>
      </w:pPr>
    </w:p>
    <w:bookmarkStart w:id="89" w:name="page90"/>
    <w:bookmarkEnd w:id="89"/>
    <w:p>
      <w:pPr>
        <w:jc w:val="both"/>
        <w:ind w:left="1960"/>
        <w:spacing w:after="0" w:line="258" w:lineRule="auto"/>
        <w:rPr>
          <w:sz w:val="20"/>
          <w:szCs w:val="20"/>
          <w:color w:val="auto"/>
        </w:rPr>
      </w:pPr>
      <w:r>
        <w:rPr>
          <w:rFonts w:ascii="Times New Roman" w:cs="Times New Roman" w:eastAsia="Times New Roman" w:hAnsi="Times New Roman"/>
          <w:sz w:val="20"/>
          <w:szCs w:val="20"/>
          <w:color w:val="auto"/>
        </w:rPr>
        <w:t>Outstanding created or issued prior to the date of the supplemental indenture pursuant to which such deletion, amendment or supplement, as the case may be, is made and entitled to the benefit of such provision deleted, amended or supplemented by such supplemental indenture or (ii) adversely modify the rights of the Holder of any such Security;</w:t>
      </w:r>
    </w:p>
    <w:p>
      <w:pPr>
        <w:spacing w:after="0" w:line="172" w:lineRule="exact"/>
        <w:rPr>
          <w:sz w:val="20"/>
          <w:szCs w:val="20"/>
          <w:color w:val="auto"/>
        </w:rPr>
      </w:pPr>
    </w:p>
    <w:p>
      <w:pPr>
        <w:ind w:left="1960" w:right="20" w:hanging="656"/>
        <w:spacing w:after="0" w:line="283" w:lineRule="auto"/>
        <w:tabs>
          <w:tab w:leader="none" w:pos="185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guarantors or co-obligors for the benefit of the Securities of all or any series or to release guarantors from their guarantees of Securities in accordance with the terms of the applicable series of Securities;</w:t>
      </w:r>
    </w:p>
    <w:p>
      <w:pPr>
        <w:spacing w:after="0" w:line="159" w:lineRule="exact"/>
        <w:rPr>
          <w:rFonts w:ascii="Times New Roman" w:cs="Times New Roman" w:eastAsia="Times New Roman" w:hAnsi="Times New Roman"/>
          <w:sz w:val="20"/>
          <w:szCs w:val="20"/>
          <w:color w:val="auto"/>
        </w:rPr>
      </w:pPr>
    </w:p>
    <w:p>
      <w:pPr>
        <w:ind w:left="1960" w:hanging="656"/>
        <w:spacing w:after="0" w:line="269" w:lineRule="auto"/>
        <w:tabs>
          <w:tab w:leader="none" w:pos="186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or facilitate the release, termination, defeasance or discharge of a guarantee of the Securities of all or any series when such release, termination or defeasance, discharge is permitted under the provisions of this Indenture;</w:t>
      </w:r>
    </w:p>
    <w:p>
      <w:pPr>
        <w:spacing w:after="0" w:line="172"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secure the Securities of all or any series;</w:t>
      </w:r>
    </w:p>
    <w:p>
      <w:pPr>
        <w:spacing w:after="0" w:line="215"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applicable procedures of the applicable Depositary;</w:t>
      </w:r>
    </w:p>
    <w:p>
      <w:pPr>
        <w:spacing w:after="0" w:line="229"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87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Trust Indenture Act or maintain the qualification of this Indenture under the Trust Indenture Act; and</w:t>
      </w:r>
    </w:p>
    <w:p>
      <w:pPr>
        <w:spacing w:after="0" w:line="146"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9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conform the provisions of this Indenture and the Securities to the description thereof contained in the applicable prospectus and any related prospectus supplement.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Upon request of the Company, the Trustee is hereby authorized to join with the Company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if the Trustee reasonably concludes that such supplemental indenture adversely affects the Trustee’s own rights, duties or immunities under this Indenture.</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Any supplemental indenture authorized by the provisions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shall be executed by the Company and the Trustee and shall not require the consent of the Holders of any of the Securities at the time outstanding, notwithstanding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11.02</w:t>
      </w:r>
      <w:r>
        <w:rPr>
          <w:sz w:val="20"/>
          <w:szCs w:val="20"/>
          <w:color w:val="auto"/>
        </w:rPr>
        <w:tab/>
      </w:r>
      <w:r>
        <w:rPr>
          <w:rFonts w:ascii="Times New Roman" w:cs="Times New Roman" w:eastAsia="Times New Roman" w:hAnsi="Times New Roman"/>
          <w:sz w:val="19"/>
          <w:szCs w:val="19"/>
          <w:b w:val="1"/>
          <w:bCs w:val="1"/>
          <w:color w:val="auto"/>
        </w:rPr>
        <w:t>Supplemental Indentures With Consent of Holders</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With the consent (evidenced as provided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of the Holders of not fewer than a majority of the aggregate principal amount of the Outstanding Securities of any series affected by such supplemental indenture, the Company and the Trustee may from time to time and at any time enter into an indenture or supplemental indentures hereto (which shall, but only to the extent applicable, conform to the provisions of the Trust Indenture Act as shall be in force at the date of execution of such supplemental indenture or indentures) for the purpose, with respect to Securities of such series, of adding any provisions to or changing in any manner or eliminating any of the provisions of this Indenture or of any supplemental indenture with respect to Securities of such series or of modifying in any manner the rights of the Holders of the Securities of such series;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supplemental indenture shall, without the consent of the Holder of each Security so affected:</w:t>
      </w:r>
    </w:p>
    <w:p>
      <w:pPr>
        <w:spacing w:after="0" w:line="195" w:lineRule="exact"/>
        <w:rPr>
          <w:sz w:val="20"/>
          <w:szCs w:val="20"/>
          <w:color w:val="auto"/>
        </w:rPr>
      </w:pPr>
    </w:p>
    <w:p>
      <w:pPr>
        <w:ind w:firstLine="656"/>
        <w:spacing w:after="0" w:line="269" w:lineRule="auto"/>
        <w:tabs>
          <w:tab w:leader="none" w:pos="106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Stated Maturity of the principal of, or any installment of principal of or interest, if any, on any Security, or reduce the principal amount thereof or the rate (or modify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calculation of such rate) of interest thereon, or reduce the amount payable upon redemption thereof at the option of the Company, or reduce the amount of the principal of any Original Issue Discount Security that would be due and payable upon a declaration of acceleration of the maturity thereof pursuant to </w:t>
      </w:r>
      <w:r>
        <w:rPr>
          <w:rFonts w:ascii="Times New Roman" w:cs="Times New Roman" w:eastAsia="Times New Roman" w:hAnsi="Times New Roman"/>
          <w:sz w:val="20"/>
          <w:szCs w:val="20"/>
          <w:u w:val="single" w:color="auto"/>
          <w:color w:val="auto"/>
        </w:rPr>
        <w:t>Section 6.02;</w:t>
      </w:r>
    </w:p>
    <w:p>
      <w:pPr>
        <w:spacing w:after="0" w:line="181" w:lineRule="exact"/>
        <w:rPr>
          <w:sz w:val="20"/>
          <w:szCs w:val="20"/>
          <w:color w:val="auto"/>
        </w:rPr>
      </w:pPr>
    </w:p>
    <w:p>
      <w:pPr>
        <w:jc w:val="both"/>
        <w:ind w:firstLine="656"/>
        <w:spacing w:after="0" w:line="258" w:lineRule="auto"/>
        <w:tabs>
          <w:tab w:leader="none" w:pos="118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the right of any Holder to receive payment of the principal of and interest on any Security on the Stated Maturity thereof or impair the right to institute suit for the enforcement of any such payment on or after the Stated Maturity thereof, in each case as such Stated Maturity may, if applicable, be extended in accordance with the terms of such Security, or, in the case of redemption at the option of the Company, on or after the Redemption Date;</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currency in which the principal of, any premium or interest on, any Security is payable;</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of this Indenture; or</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modify any of the provisions of this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except to increase any such percentage or to provide that certain other provisions of this Indenture cannot be modified or waived without the consent of the Holder of each Outstanding Security affected thereby.</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Upon the written request of the Company and upon the filing with the Trustee of evidence of the consent of the Holders as aforesaid, the Trustee shall join with the Company in the execution of such supplemental indenture unless the Trustee reasonably concludes that such supplemental indenture adversely affects the Trustee’s own rights, duties or immunities under this Indenture, in which case the Trustee may in its discretion but shall not be obligated to enter into such supplemental indenture.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 supplemental indenture which changes or eliminates any provision of this Indenture or of any series of Securities that has expressly been included solely for the benefit of one or more particular series of Securities, or that modifies the rights of Holders of Securities of such series with respect to such provisions, shall be deemed not to affect the rights under this Indenture of the Holders of Securities of any other series.</w:t>
      </w:r>
    </w:p>
    <w:p>
      <w:pPr>
        <w:spacing w:after="0" w:line="18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It shall not be necessary for the consent of the Holders under this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to approve the particular form of any proposed supplemental indenture, but it shall be sufficient if such consent shall approve the substance thereof.</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Promptly after the execution by the Company and the Trustee of any supplemental indenture under this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the Company shall give notice, setting forth in general terms the substance of such supplemental indenture, to the Holders of Securities in the manner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Any failure of the Company to give such notice, or any defect therein, shall not, however, in any way impair or affect the validity of any such supplemental indenture.</w:t>
      </w:r>
    </w:p>
    <w:p>
      <w:pPr>
        <w:spacing w:after="0" w:line="18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11.03</w:t>
      </w:r>
      <w:r>
        <w:rPr>
          <w:sz w:val="20"/>
          <w:szCs w:val="20"/>
          <w:color w:val="auto"/>
        </w:rPr>
        <w:tab/>
      </w:r>
      <w:r>
        <w:rPr>
          <w:rFonts w:ascii="Times New Roman" w:cs="Times New Roman" w:eastAsia="Times New Roman" w:hAnsi="Times New Roman"/>
          <w:sz w:val="19"/>
          <w:szCs w:val="19"/>
          <w:b w:val="1"/>
          <w:bCs w:val="1"/>
          <w:color w:val="auto"/>
        </w:rPr>
        <w:t>Effect of Supplemental Indentures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Upon the execution of any supplemental indenture pursuant to the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this Indenture shall be and be deemed to be modified and amended in accordance therewith and the respective rights, limitation of rights, obligations, duties and immunities under this Indenture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61" w:lineRule="auto"/>
        <w:rPr>
          <w:sz w:val="20"/>
          <w:szCs w:val="20"/>
          <w:color w:val="auto"/>
        </w:rPr>
      </w:pPr>
      <w:r>
        <w:rPr>
          <w:rFonts w:ascii="Times New Roman" w:cs="Times New Roman" w:eastAsia="Times New Roman" w:hAnsi="Times New Roman"/>
          <w:sz w:val="20"/>
          <w:szCs w:val="20"/>
          <w:color w:val="auto"/>
        </w:rPr>
        <w:t>Trustee, the Company and the Holders of Securities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11.04</w:t>
      </w:r>
      <w:r>
        <w:rPr>
          <w:sz w:val="20"/>
          <w:szCs w:val="20"/>
          <w:color w:val="auto"/>
        </w:rPr>
        <w:tab/>
      </w:r>
      <w:r>
        <w:rPr>
          <w:rFonts w:ascii="Times New Roman" w:cs="Times New Roman" w:eastAsia="Times New Roman" w:hAnsi="Times New Roman"/>
          <w:sz w:val="19"/>
          <w:szCs w:val="19"/>
          <w:b w:val="1"/>
          <w:bCs w:val="1"/>
          <w:color w:val="auto"/>
        </w:rPr>
        <w:t>Notation on Securities in Respect of Supplemental Indentures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Securities authenticated and delivered after the execution of any supplemental indenture pursuant to the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or after any action taken at a Holders meeting pursuant to the provisions of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may, and if required by the Trustee shall, bear a notation in form approved by the Trustee as to any matter provided for in such supplemental indenture or as to any such action. If the Company and the Trustee shall so determine, new Securities of any series so modified as to conform, in the opinion of the Company and the Trustee, to any modification of this Indenture contained in any such supplemental indenture may be prepared by the Company, authenticated by the Trustee and delivered in exchange for the Securities of such series then outstanding.</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11.05</w:t>
      </w:r>
      <w:r>
        <w:rPr>
          <w:sz w:val="20"/>
          <w:szCs w:val="20"/>
          <w:color w:val="auto"/>
        </w:rPr>
        <w:tab/>
      </w:r>
      <w:r>
        <w:rPr>
          <w:rFonts w:ascii="Times New Roman" w:cs="Times New Roman" w:eastAsia="Times New Roman" w:hAnsi="Times New Roman"/>
          <w:sz w:val="19"/>
          <w:szCs w:val="19"/>
          <w:b w:val="1"/>
          <w:bCs w:val="1"/>
          <w:color w:val="auto"/>
        </w:rPr>
        <w:t>Opinion of Counsel and Officer’s Certificate to Be Given to Trustee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Trustee, subject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to the extent applicable, Section 315 of the Trust Indenture Act, shall be entitled to conclusively rely upon and shall be fully protected in acting upon, or refraining from acting upon, an Opinion of Counsel and an Officer’s Certificate stating that any such supplemental indenture is authorized or permitted by the terms of this Indenture.</w:t>
      </w:r>
    </w:p>
    <w:p>
      <w:pPr>
        <w:spacing w:after="0" w:line="171" w:lineRule="exact"/>
        <w:rPr>
          <w:sz w:val="20"/>
          <w:szCs w:val="20"/>
          <w:color w:val="auto"/>
        </w:rPr>
      </w:pPr>
    </w:p>
    <w:p>
      <w:pPr>
        <w:ind w:left="3160"/>
        <w:spacing w:after="0"/>
        <w:tabs>
          <w:tab w:leader="none" w:pos="3700" w:val="left"/>
        </w:tabs>
        <w:rPr>
          <w:sz w:val="20"/>
          <w:szCs w:val="20"/>
          <w:color w:val="auto"/>
        </w:rPr>
      </w:pPr>
      <w:r>
        <w:rPr>
          <w:rFonts w:ascii="Times New Roman" w:cs="Times New Roman" w:eastAsia="Times New Roman" w:hAnsi="Times New Roman"/>
          <w:sz w:val="20"/>
          <w:szCs w:val="20"/>
          <w:b w:val="1"/>
          <w:bCs w:val="1"/>
          <w:color w:val="auto"/>
        </w:rPr>
        <w:t>XII.</w:t>
      </w:r>
      <w:r>
        <w:rPr>
          <w:sz w:val="20"/>
          <w:szCs w:val="20"/>
          <w:color w:val="auto"/>
        </w:rPr>
        <w:tab/>
      </w:r>
      <w:r>
        <w:rPr>
          <w:rFonts w:ascii="Times New Roman" w:cs="Times New Roman" w:eastAsia="Times New Roman" w:hAnsi="Times New Roman"/>
          <w:sz w:val="19"/>
          <w:szCs w:val="19"/>
          <w:b w:val="1"/>
          <w:bCs w:val="1"/>
          <w:color w:val="auto"/>
        </w:rPr>
        <w:t>CONSOLIDATION, MERGER AND SALE</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12.01</w:t>
      </w:r>
      <w:r>
        <w:rPr>
          <w:sz w:val="20"/>
          <w:szCs w:val="20"/>
          <w:color w:val="auto"/>
        </w:rPr>
        <w:tab/>
      </w:r>
      <w:r>
        <w:rPr>
          <w:rFonts w:ascii="Times New Roman" w:cs="Times New Roman" w:eastAsia="Times New Roman" w:hAnsi="Times New Roman"/>
          <w:sz w:val="19"/>
          <w:szCs w:val="19"/>
          <w:b w:val="1"/>
          <w:bCs w:val="1"/>
          <w:color w:val="auto"/>
        </w:rPr>
        <w:t>Company May Consolidate or Merge, Etc.</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12.02</w:t>
      </w:r>
      <w:r>
        <w:rPr>
          <w:rFonts w:ascii="Times New Roman" w:cs="Times New Roman" w:eastAsia="Times New Roman" w:hAnsi="Times New Roman"/>
          <w:sz w:val="20"/>
          <w:szCs w:val="20"/>
          <w:color w:val="auto"/>
        </w:rPr>
        <w:t>, nothing contained in this Indenture shall prevent any consolidation of the Company with or the merger of the Company into any other Person, or any merger of any other Person into the Company or successive consolidations or mergers to which the Company or its successor or successors shall be a party or parties, or shall prevent any sale or transfer of all or substantially all of the properties and assets of the Company to any other Person.</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12.02</w:t>
      </w:r>
      <w:r>
        <w:rPr>
          <w:sz w:val="20"/>
          <w:szCs w:val="20"/>
          <w:color w:val="auto"/>
        </w:rPr>
        <w:tab/>
      </w:r>
      <w:r>
        <w:rPr>
          <w:rFonts w:ascii="Times New Roman" w:cs="Times New Roman" w:eastAsia="Times New Roman" w:hAnsi="Times New Roman"/>
          <w:sz w:val="19"/>
          <w:szCs w:val="19"/>
          <w:b w:val="1"/>
          <w:bCs w:val="1"/>
          <w:color w:val="auto"/>
        </w:rPr>
        <w:t>Conditions to the Company’s Consolidation or Merger, Etc.</w:t>
      </w:r>
    </w:p>
    <w:p>
      <w:pPr>
        <w:spacing w:after="0" w:line="26" w:lineRule="exact"/>
        <w:rPr>
          <w:sz w:val="20"/>
          <w:szCs w:val="20"/>
          <w:color w:val="auto"/>
        </w:rPr>
      </w:pPr>
    </w:p>
    <w:p>
      <w:pPr>
        <w:jc w:val="both"/>
        <w:ind w:firstLine="656"/>
        <w:spacing w:after="0" w:line="249" w:lineRule="auto"/>
        <w:tabs>
          <w:tab w:leader="none" w:pos="106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consolidate with or merge into any other Person or sell or transfer all or substantially all of its properties and assets to another Person unless the successor entity is organized and validly existing under the laws of the United States of America, any state thereof or the District of Columbia and (i) in the case of a merger, the Company shall be the continuing Person or (ii) in case the Company shall consolidate with or merge into another Person (and the Company shall not be the continuing Person), or sell or transfer all or substantially all of its properties and assets to another Person, (1) the Person formed by such consolidation or into which the Company is merged or the Person that acquires by sale or transfer all or substantially all of the properties and assets of the Company shall assume, by a supplemental indenture executed and delivered to the Trustee, the due and punctual payment of the principal of (and premium, if any) and interest, if any, on the Securities, and the Company’s other obligations under this Indenture and (2) immediately after giving effect to such transaction, no Event of Default shall have occurred and be continuing which has not otherwise been waived or remedied in accordance with this Indenture.</w:t>
      </w:r>
    </w:p>
    <w:p>
      <w:pPr>
        <w:spacing w:after="0" w:line="183" w:lineRule="exact"/>
        <w:rPr>
          <w:rFonts w:ascii="Times New Roman" w:cs="Times New Roman" w:eastAsia="Times New Roman" w:hAnsi="Times New Roman"/>
          <w:sz w:val="20"/>
          <w:szCs w:val="20"/>
          <w:color w:val="auto"/>
        </w:rPr>
      </w:pPr>
    </w:p>
    <w:p>
      <w:pPr>
        <w:jc w:val="both"/>
        <w:ind w:firstLine="656"/>
        <w:spacing w:after="0" w:line="288" w:lineRule="auto"/>
        <w:tabs>
          <w:tab w:leader="none" w:pos="1095"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Every such successor Person, upon executing such supplemental indenture, shall succeed to the Company, with the same effect as if it had been an original party hereto (which succession shall relieve the Company of all liabilities and discharge the Company from all obligations and covenants, in each case under this Indenture and the Securities), and such successor Person shall possess and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to time may exercise each and every power hereunder of the Company and may execute and deliver Securities hereunder in the name of such successor Person, and any act or proceeding required by this Indenture to be done or performed by any board or officer of the Company may be done or performed with like force and effect by the like board, governing body, officer of such successor Person. In case of any such consolidation, merger, sale or transfer, such changes in phraseology and form (but not in substance) may be made in the Securities thereafter to be issued as may be appropriate. To the extent that a Board Resolution, Officer’s Certificate or supplemental indenture pertaining to any series of Securities provides for different provisions relating to the subject matter of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the provisions in such Board Resolution, Officer’s Certificate or supplemental indenture shall govern for purposes of such series of Securities.</w:t>
      </w:r>
    </w:p>
    <w:p>
      <w:pPr>
        <w:spacing w:after="0" w:line="179" w:lineRule="exact"/>
        <w:rPr>
          <w:sz w:val="20"/>
          <w:szCs w:val="20"/>
          <w:color w:val="auto"/>
        </w:rPr>
      </w:pPr>
    </w:p>
    <w:p>
      <w:pPr>
        <w:jc w:val="both"/>
        <w:ind w:firstLine="656"/>
        <w:spacing w:after="0" w:line="261" w:lineRule="auto"/>
        <w:tabs>
          <w:tab w:leader="none" w:pos="115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 any Subsidiary of the Company may consolidate with or merge with or into, or convey, transfer or lease or otherwise dispose of all or part of its properties and assets to the Company or any of its Subsidiaries and (ii) the Company may convert into a corporation, partnership, limited partnership, limited liability company, trust or other entity.</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12.03</w:t>
      </w:r>
      <w:r>
        <w:rPr>
          <w:sz w:val="20"/>
          <w:szCs w:val="20"/>
          <w:color w:val="auto"/>
        </w:rPr>
        <w:tab/>
      </w:r>
      <w:r>
        <w:rPr>
          <w:rFonts w:ascii="Times New Roman" w:cs="Times New Roman" w:eastAsia="Times New Roman" w:hAnsi="Times New Roman"/>
          <w:sz w:val="19"/>
          <w:szCs w:val="19"/>
          <w:b w:val="1"/>
          <w:bCs w:val="1"/>
          <w:color w:val="auto"/>
        </w:rPr>
        <w:t>Documents and Opinion to Be Furnished to the Trustee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If the Company shall consolidate with or merge into any other Person, or if it shall sell or transfer all or substantially all of its properties and assets, it will promptly furnish to the Trustee an Officer’s Certificate and an Opinion of Counsel, each stating that its covenants contained in </w:t>
      </w:r>
      <w:r>
        <w:rPr>
          <w:rFonts w:ascii="Times New Roman" w:cs="Times New Roman" w:eastAsia="Times New Roman" w:hAnsi="Times New Roman"/>
          <w:sz w:val="20"/>
          <w:szCs w:val="20"/>
          <w:u w:val="single" w:color="auto"/>
          <w:color w:val="auto"/>
        </w:rPr>
        <w:t>Section 12.02</w:t>
      </w:r>
      <w:r>
        <w:rPr>
          <w:rFonts w:ascii="Times New Roman" w:cs="Times New Roman" w:eastAsia="Times New Roman" w:hAnsi="Times New Roman"/>
          <w:sz w:val="20"/>
          <w:szCs w:val="20"/>
          <w:color w:val="auto"/>
        </w:rPr>
        <w:t>, as and to the extent applicable, have been complied with.</w:t>
      </w:r>
    </w:p>
    <w:p>
      <w:pPr>
        <w:spacing w:after="0" w:line="171" w:lineRule="exact"/>
        <w:rPr>
          <w:sz w:val="20"/>
          <w:szCs w:val="20"/>
          <w:color w:val="auto"/>
        </w:rPr>
      </w:pPr>
    </w:p>
    <w:p>
      <w:pPr>
        <w:ind w:left="2580"/>
        <w:spacing w:after="0"/>
        <w:tabs>
          <w:tab w:leader="none" w:pos="3180" w:val="left"/>
        </w:tabs>
        <w:rPr>
          <w:sz w:val="20"/>
          <w:szCs w:val="20"/>
          <w:color w:val="auto"/>
        </w:rPr>
      </w:pPr>
      <w:r>
        <w:rPr>
          <w:rFonts w:ascii="Times New Roman" w:cs="Times New Roman" w:eastAsia="Times New Roman" w:hAnsi="Times New Roman"/>
          <w:sz w:val="20"/>
          <w:szCs w:val="20"/>
          <w:b w:val="1"/>
          <w:bCs w:val="1"/>
          <w:color w:val="auto"/>
        </w:rPr>
        <w:t>XIII.</w:t>
      </w:r>
      <w:r>
        <w:rPr>
          <w:sz w:val="20"/>
          <w:szCs w:val="20"/>
          <w:color w:val="auto"/>
        </w:rPr>
        <w:tab/>
      </w:r>
      <w:r>
        <w:rPr>
          <w:rFonts w:ascii="Times New Roman" w:cs="Times New Roman" w:eastAsia="Times New Roman" w:hAnsi="Times New Roman"/>
          <w:sz w:val="19"/>
          <w:szCs w:val="19"/>
          <w:b w:val="1"/>
          <w:bCs w:val="1"/>
          <w:color w:val="auto"/>
        </w:rPr>
        <w:t>SATISFACTION AND DISCHARGE OF INDENTURE;</w:t>
      </w:r>
    </w:p>
    <w:p>
      <w:pPr>
        <w:spacing w:after="0" w:line="3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DEFEASANCE; UNCLAIMED MONEYS</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13.01</w:t>
      </w:r>
      <w:r>
        <w:rPr>
          <w:sz w:val="20"/>
          <w:szCs w:val="20"/>
          <w:color w:val="auto"/>
        </w:rPr>
        <w:tab/>
      </w:r>
      <w:r>
        <w:rPr>
          <w:rFonts w:ascii="Times New Roman" w:cs="Times New Roman" w:eastAsia="Times New Roman" w:hAnsi="Times New Roman"/>
          <w:sz w:val="19"/>
          <w:szCs w:val="19"/>
          <w:b w:val="1"/>
          <w:bCs w:val="1"/>
          <w:color w:val="auto"/>
        </w:rPr>
        <w:t>Satisfaction and Discharge</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Unless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is declared not applicable with respect to the Securities of any series, upon the direction of the Company by a written order, this Indenture shall cease to be of further effect with respect to any series of Securities specified in such written order, and the Trustee, on receipt of such written order, the amounts, the Officer’s Certificate and the Opinion of Counsel required by this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at the expense of the Company, shall execute instruments reasonably requested by the Company acknowledging satisfaction and discharge of this Indenture as to such series, when</w:t>
      </w:r>
    </w:p>
    <w:p>
      <w:pPr>
        <w:spacing w:after="0" w:line="194"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5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Securities of such series theretofore authenticated and delivered (other than (1) Securities of such series that have been destroyed, lost or stolen and that have been replaced or paid as provided in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and (2) Securities of such series for whose payment money has theretofore been deposited in trust or segregated and held in trust by the Company and thereafter repaid to the Company or discharged from such trust, as provided in </w:t>
      </w:r>
      <w:r>
        <w:rPr>
          <w:rFonts w:ascii="Times New Roman" w:cs="Times New Roman" w:eastAsia="Times New Roman" w:hAnsi="Times New Roman"/>
          <w:sz w:val="20"/>
          <w:szCs w:val="20"/>
          <w:u w:val="single" w:color="auto"/>
          <w:color w:val="auto"/>
        </w:rPr>
        <w:t>Section 13.05</w:t>
      </w:r>
      <w:r>
        <w:rPr>
          <w:rFonts w:ascii="Times New Roman" w:cs="Times New Roman" w:eastAsia="Times New Roman" w:hAnsi="Times New Roman"/>
          <w:sz w:val="20"/>
          <w:szCs w:val="20"/>
          <w:color w:val="auto"/>
        </w:rPr>
        <w:t>) have been delivered to the Trustee for cancellation; or</w:t>
      </w:r>
    </w:p>
    <w:p>
      <w:pPr>
        <w:spacing w:after="0" w:line="18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Securities of such series not theretofore delivered to the Trustee for cancellation:</w:t>
      </w:r>
    </w:p>
    <w:p>
      <w:pPr>
        <w:spacing w:after="0" w:line="229"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become due and payable,</w:t>
      </w:r>
    </w:p>
    <w:p>
      <w:pPr>
        <w:spacing w:after="0" w:line="215"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become due and payable at their Stated Maturity within one year,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93" w:name="page94"/>
    <w:bookmarkEnd w:id="93"/>
    <w:p>
      <w:pPr>
        <w:jc w:val="both"/>
        <w:ind w:left="2600" w:hanging="648"/>
        <w:spacing w:after="0" w:line="261" w:lineRule="auto"/>
        <w:tabs>
          <w:tab w:leader="none" w:pos="259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redeemable at the option of the Company, are to be called for redemption within one year under arrangements reasonably satisfactory to the Trustee for the giving of notice of redemption by the Trustee in the name, and at the expense, of the Company,</w:t>
      </w:r>
    </w:p>
    <w:p>
      <w:pPr>
        <w:spacing w:after="0" w:line="181"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0"/>
          <w:szCs w:val="20"/>
          <w:color w:val="auto"/>
        </w:rPr>
        <w:t>and the Company, in the case of (1), (2) or (3) above, has deposited or caused to be deposited with the Trustee as trust funds in trust for such purpose, money in the currency in which the Securities are payable, or Government Obligations (determined on the basis of the currency in which such Securities are then specified as payable at Stated Maturity), or a combination thereof, as applicable, in an amount sufficient to pay and discharge the entire indebtedness on such Securities not theretofore delivered to the Trustee for cancellation, including the principal of, any premium and interest on such Securities, to the date of such deposit (in the case of Securities which have become due and payable) or to the Stated Maturity thereof or Redemption Date, as the case may be;</w:t>
      </w:r>
    </w:p>
    <w:p>
      <w:pPr>
        <w:spacing w:after="0" w:line="193" w:lineRule="exact"/>
        <w:rPr>
          <w:sz w:val="20"/>
          <w:szCs w:val="20"/>
          <w:color w:val="auto"/>
        </w:rPr>
      </w:pPr>
    </w:p>
    <w:p>
      <w:pPr>
        <w:ind w:right="20" w:firstLine="656"/>
        <w:spacing w:after="0" w:line="283" w:lineRule="auto"/>
        <w:tabs>
          <w:tab w:leader="none" w:pos="110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paid or caused to be paid all other sums payable hereunder by the Company with respect to the Outstanding Securities of such series; and</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has delivered to the Trustee an Officer’s Certificate and an Opinion of Counsel, each stating that all conditions precedent herein provided for relating to the satisfaction and discharge of this Indenture as to such series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counsel may rely on any Officer’s Certificate as to matters of fact (including with respect to clauses (a) and (b) above).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In the event there are Securities of two or more series Outstanding hereunder, the Trustee of each such series shall be required to execute an instrument acknowledging satisfaction and discharge of this Indenture only with respect to Securities of such series as to which it is Trustee and if the other conditions specified in this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are met.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the satisfaction and discharge of this Indenture with respect to any series of Securities, the obligations of the Company to the Trustee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and, if money shall have been deposited with the Trustee pursuant to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the obligations of the Company and the Trustee with respect to the Securities of such series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13.06</w:t>
      </w:r>
      <w:r>
        <w:rPr>
          <w:rFonts w:ascii="Times New Roman" w:cs="Times New Roman" w:eastAsia="Times New Roman" w:hAnsi="Times New Roman"/>
          <w:sz w:val="20"/>
          <w:szCs w:val="20"/>
          <w:color w:val="auto"/>
        </w:rPr>
        <w:t xml:space="preserve">, any rights of Holders of the Securities of such series (unless otherwise provided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Securities of such series) to require the Company to repurchase or repay, and the obligations of the Company to repurchase or repay, such Securities at the option of the Holders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any rights of Holders of the Securities of such series (unless otherwise provided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Securities of such series) to convert or exchange, and the obligation of the Company to convert or exchange, such Securities into common stock or other securities, shall survive;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following the satisfaction and discharge of this Indenture with respect to any series of Securities whose Holders have the right to require the Company to repurchase or repay such Securities or to convert or exchange such Securities into common stock or other securities, the right of the Holder to require repurchase, repayment, conversion or exchange, as the case may be, of any such Security and the Company’s obligation to repurchase, repay, convert or exchange, as the case may be, any such Security shall (unless otherwise provided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Securities of such series) terminate immediately following the close of business on the final Stated Maturity of such Security or immediately following the close of business on any earlier redemption date of such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94" w:name="page95"/>
    <w:bookmarkEnd w:id="94"/>
    <w:p>
      <w:pPr>
        <w:spacing w:after="0" w:line="283" w:lineRule="auto"/>
        <w:rPr>
          <w:sz w:val="20"/>
          <w:szCs w:val="20"/>
          <w:color w:val="auto"/>
        </w:rPr>
      </w:pPr>
      <w:r>
        <w:rPr>
          <w:rFonts w:ascii="Times New Roman" w:cs="Times New Roman" w:eastAsia="Times New Roman" w:hAnsi="Times New Roman"/>
          <w:sz w:val="20"/>
          <w:szCs w:val="20"/>
          <w:color w:val="auto"/>
        </w:rPr>
        <w:t>(so long as the Company does not default in the payment of the redemption price plus accrued and unpaid interest, if any, due on such redemption date), as the case may be.</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13.02</w:t>
      </w:r>
      <w:r>
        <w:rPr>
          <w:sz w:val="20"/>
          <w:szCs w:val="20"/>
          <w:color w:val="auto"/>
        </w:rPr>
        <w:tab/>
      </w:r>
      <w:r>
        <w:rPr>
          <w:rFonts w:ascii="Times New Roman" w:cs="Times New Roman" w:eastAsia="Times New Roman" w:hAnsi="Times New Roman"/>
          <w:sz w:val="19"/>
          <w:szCs w:val="19"/>
          <w:b w:val="1"/>
          <w:bCs w:val="1"/>
          <w:color w:val="auto"/>
        </w:rPr>
        <w:t>Defeasance and Covenant Defeasance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56"/>
        <w:spacing w:after="0" w:line="260" w:lineRule="auto"/>
        <w:tabs>
          <w:tab w:leader="none" w:pos="110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either or both of (i) defeasance of the Securities of or within a series under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or (ii) covenant defeasance of the Securities of or within a series under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shall not be applicable with respect to the Securities of such series, then such provisions, together with the other provisions of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(with such modifications thereto as may be specified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with respect to any Securities), shall be applicable to such Securities, and the Company may at its option by Board Resolution, at any time, with respect to the Securities of or within such series, elect to have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13.02(b)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13.02(c)</w:t>
      </w:r>
      <w:r>
        <w:rPr>
          <w:rFonts w:ascii="Times New Roman" w:cs="Times New Roman" w:eastAsia="Times New Roman" w:hAnsi="Times New Roman"/>
          <w:sz w:val="19"/>
          <w:szCs w:val="19"/>
          <w:color w:val="auto"/>
        </w:rPr>
        <w:t xml:space="preserve"> be applied to such Outstanding Securities upon compliance with the conditions set forth below in this </w:t>
      </w:r>
      <w:r>
        <w:rPr>
          <w:rFonts w:ascii="Times New Roman" w:cs="Times New Roman" w:eastAsia="Times New Roman" w:hAnsi="Times New Roman"/>
          <w:sz w:val="19"/>
          <w:szCs w:val="19"/>
          <w:u w:val="single" w:color="auto"/>
          <w:color w:val="auto"/>
        </w:rPr>
        <w:t>Section</w:t>
      </w:r>
    </w:p>
    <w:p>
      <w:pPr>
        <w:spacing w:after="0" w:line="4" w:lineRule="exact"/>
        <w:rPr>
          <w:rFonts w:ascii="Times New Roman" w:cs="Times New Roman" w:eastAsia="Times New Roman" w:hAnsi="Times New Roman"/>
          <w:sz w:val="19"/>
          <w:szCs w:val="19"/>
          <w:color w:val="auto"/>
        </w:rPr>
      </w:pPr>
    </w:p>
    <w:p>
      <w:pPr>
        <w:jc w:val="both"/>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13.02</w:t>
      </w:r>
      <w:r>
        <w:rPr>
          <w:rFonts w:ascii="Times New Roman" w:cs="Times New Roman" w:eastAsia="Times New Roman" w:hAnsi="Times New Roman"/>
          <w:sz w:val="20"/>
          <w:szCs w:val="20"/>
          <w:color w:val="auto"/>
        </w:rPr>
        <w:t xml:space="preserve">. Unless otherwise specified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Securities of any series, defeasance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and covenant defeasance under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may be effected only with respect to all, and not fewer than all, of the Outstanding Securities of any series. To the extent that the terms of any Security established in or pursuant to this Indenture permit the Company or any Holder thereof to extend the date on which any payment of principal of, or premium, if any, or interest, if any, on with respect to such Security is due and payable, then unless otherwise provided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right to extend such date shall terminate upon defeasance or covenant defeasance, as the case may be.</w:t>
      </w:r>
    </w:p>
    <w:p>
      <w:pPr>
        <w:spacing w:after="0" w:line="193" w:lineRule="exact"/>
        <w:rPr>
          <w:rFonts w:ascii="Times New Roman" w:cs="Times New Roman" w:eastAsia="Times New Roman" w:hAnsi="Times New Roman"/>
          <w:sz w:val="19"/>
          <w:szCs w:val="19"/>
          <w:color w:val="auto"/>
        </w:rPr>
      </w:pPr>
    </w:p>
    <w:p>
      <w:pPr>
        <w:jc w:val="both"/>
        <w:ind w:firstLine="656"/>
        <w:spacing w:after="0" w:line="263" w:lineRule="auto"/>
        <w:tabs>
          <w:tab w:leader="none" w:pos="115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Company’s exercise of the option applicable to this </w:t>
      </w:r>
      <w:r>
        <w:rPr>
          <w:rFonts w:ascii="Times New Roman" w:cs="Times New Roman" w:eastAsia="Times New Roman" w:hAnsi="Times New Roman"/>
          <w:sz w:val="19"/>
          <w:szCs w:val="19"/>
          <w:u w:val="single" w:color="auto"/>
          <w:color w:val="auto"/>
        </w:rPr>
        <w:t>Section 13.02(b)</w:t>
      </w:r>
      <w:r>
        <w:rPr>
          <w:rFonts w:ascii="Times New Roman" w:cs="Times New Roman" w:eastAsia="Times New Roman" w:hAnsi="Times New Roman"/>
          <w:sz w:val="19"/>
          <w:szCs w:val="19"/>
          <w:color w:val="auto"/>
        </w:rPr>
        <w:t xml:space="preserve"> with respect to any Securities of or within a series, the Company shall be deemed to have been discharged from its obligations with respect to such Outstanding Securities, on the date the conditions set forth in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are satisfied (as used herein, “</w:t>
      </w:r>
      <w:r>
        <w:rPr>
          <w:rFonts w:ascii="Times New Roman" w:cs="Times New Roman" w:eastAsia="Times New Roman" w:hAnsi="Times New Roman"/>
          <w:sz w:val="19"/>
          <w:szCs w:val="19"/>
          <w:u w:val="single" w:color="auto"/>
          <w:color w:val="auto"/>
        </w:rPr>
        <w:t>defeasance</w:t>
      </w:r>
      <w:r>
        <w:rPr>
          <w:rFonts w:ascii="Times New Roman" w:cs="Times New Roman" w:eastAsia="Times New Roman" w:hAnsi="Times New Roman"/>
          <w:sz w:val="19"/>
          <w:szCs w:val="19"/>
          <w:color w:val="auto"/>
        </w:rPr>
        <w:t>”). For this purpose, such defeasance means that the Company shall be deemed to have paid and discharged the entire indebtedness represented by such Outstanding Securities, which shall thereafter be deemed to be “</w:t>
      </w:r>
      <w:r>
        <w:rPr>
          <w:rFonts w:ascii="Times New Roman" w:cs="Times New Roman" w:eastAsia="Times New Roman" w:hAnsi="Times New Roman"/>
          <w:sz w:val="19"/>
          <w:szCs w:val="19"/>
          <w:u w:val="single" w:color="auto"/>
          <w:color w:val="auto"/>
        </w:rPr>
        <w:t>Outstanding</w:t>
      </w:r>
      <w:r>
        <w:rPr>
          <w:rFonts w:ascii="Times New Roman" w:cs="Times New Roman" w:eastAsia="Times New Roman" w:hAnsi="Times New Roman"/>
          <w:sz w:val="19"/>
          <w:szCs w:val="19"/>
          <w:color w:val="auto"/>
        </w:rPr>
        <w:t xml:space="preserve">” only for the purposes of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and the other Sections of this Indenture referred to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of this paragraph, and to have satisfied all of its other obligations under such Securities and this Indenture insofar as such Securities are concerned (and the Trustee, at the expense of the Company, shall execute instruments reasonably requested by the Company acknowledging the same), except for the following which shall survive until otherwise terminated or discharged hereunder: (i) the rights of Holders of such Outstanding Securities to receive, solely (except as provided in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below) from the trust fund described in </w:t>
      </w:r>
      <w:r>
        <w:rPr>
          <w:rFonts w:ascii="Times New Roman" w:cs="Times New Roman" w:eastAsia="Times New Roman" w:hAnsi="Times New Roman"/>
          <w:sz w:val="19"/>
          <w:szCs w:val="19"/>
          <w:u w:val="single" w:color="auto"/>
          <w:color w:val="auto"/>
        </w:rPr>
        <w:t>clause (d)(1)</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and as more fully set forth in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13.03</w:t>
      </w:r>
      <w:r>
        <w:rPr>
          <w:rFonts w:ascii="Times New Roman" w:cs="Times New Roman" w:eastAsia="Times New Roman" w:hAnsi="Times New Roman"/>
          <w:sz w:val="19"/>
          <w:szCs w:val="19"/>
          <w:color w:val="auto"/>
        </w:rPr>
        <w:t xml:space="preserve">, payments in respect of the principal of (and premium, if any) and interest, if any, on such Securities when such payments are due, (ii) the obligations of the Company and the Trustee with respect to such Securities under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5.02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 xml:space="preserve">, with respect to any rights of Holders of such Securities (unless otherwise provided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with respect to the Securities of such series) to require the Company to repurchase or repay, and the obligations of the Company to repurchase or repay, such Securities at the option of the Holders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and with respect to any rights of Holders of such Securities (unless otherwise provided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w:t>
      </w:r>
      <w:r>
        <w:rPr>
          <w:rFonts w:ascii="Times New Roman" w:cs="Times New Roman" w:eastAsia="Times New Roman" w:hAnsi="Times New Roman"/>
          <w:sz w:val="19"/>
          <w:szCs w:val="19"/>
          <w:color w:val="auto"/>
        </w:rPr>
        <w:t xml:space="preserve"> with respect to the Securities of such series) to convert or exchange, and the obligations of the Company to convert or exchange, such Securities into common stock or other securities, (iii) the rights, powers, trusts, duties and immunities of the Trustee hereunder and (iv)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13.03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13.06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following defeasance with respect to any series of Securities whose Holders have the right to require the Company to repurchase or repay such Securities or to convert or exchange such Securities into common stock or other securities, the right of the Holder to require repurchase, repayment, conversion or exchange, as the case may be, of any such Security and the Company’s obligation to repurchase, repay, convert or exchange,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be, any such Security shall (unless otherwise provided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Securities of such series) terminate immediately following the close of business on the final Stated Maturity of such Security or immediately following the close of business on any earlier redemption date of such Security (so long as the Company does not default in the payment of the redemption price plus accrued and unpaid interest, if any, due on such redemption date), as the case may be.</w:t>
      </w:r>
    </w:p>
    <w:p>
      <w:pPr>
        <w:spacing w:after="0" w:line="172" w:lineRule="exact"/>
        <w:rPr>
          <w:sz w:val="20"/>
          <w:szCs w:val="20"/>
          <w:color w:val="auto"/>
        </w:rPr>
      </w:pPr>
    </w:p>
    <w:p>
      <w:pPr>
        <w:jc w:val="both"/>
        <w:ind w:firstLine="656"/>
        <w:spacing w:after="0" w:line="250" w:lineRule="auto"/>
        <w:tabs>
          <w:tab w:leader="none" w:pos="11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Company’s exercise of the option applicable to this </w:t>
      </w:r>
      <w:r>
        <w:rPr>
          <w:rFonts w:ascii="Times New Roman" w:cs="Times New Roman" w:eastAsia="Times New Roman" w:hAnsi="Times New Roman"/>
          <w:sz w:val="20"/>
          <w:szCs w:val="20"/>
          <w:u w:val="single" w:color="auto"/>
          <w:color w:val="auto"/>
        </w:rPr>
        <w:t>Section 13.02(c)</w:t>
      </w:r>
      <w:r>
        <w:rPr>
          <w:rFonts w:ascii="Times New Roman" w:cs="Times New Roman" w:eastAsia="Times New Roman" w:hAnsi="Times New Roman"/>
          <w:sz w:val="20"/>
          <w:szCs w:val="20"/>
          <w:color w:val="auto"/>
        </w:rPr>
        <w:t xml:space="preserve"> with respect to any Securities of or within a series, the Company shall be released from its obligations under this Indenture and, to the extent specified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any other covenant applicable to such Securities with respect to such Securities shall cease to be applicable to such Securities on and after the date the conditions set forth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are satisfied (as used herein, “</w:t>
      </w:r>
      <w:r>
        <w:rPr>
          <w:rFonts w:ascii="Times New Roman" w:cs="Times New Roman" w:eastAsia="Times New Roman" w:hAnsi="Times New Roman"/>
          <w:sz w:val="20"/>
          <w:szCs w:val="20"/>
          <w:u w:val="single" w:color="auto"/>
          <w:color w:val="auto"/>
        </w:rPr>
        <w:t>covenant defeasance</w:t>
      </w:r>
      <w:r>
        <w:rPr>
          <w:rFonts w:ascii="Times New Roman" w:cs="Times New Roman" w:eastAsia="Times New Roman" w:hAnsi="Times New Roman"/>
          <w:sz w:val="20"/>
          <w:szCs w:val="20"/>
          <w:color w:val="auto"/>
        </w:rPr>
        <w:t xml:space="preserve">”), and such Securities shall thereafter be deemed to be not “Outstanding” for the purposes of any direction, waiver, consent or declaration or act of Holders (and the consequences of any thereof) in connection with any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any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w:t>
      </w:r>
      <w:r>
        <w:rPr>
          <w:rFonts w:ascii="Times New Roman" w:cs="Times New Roman" w:eastAsia="Times New Roman" w:hAnsi="Times New Roman"/>
          <w:sz w:val="20"/>
          <w:szCs w:val="20"/>
          <w:u w:val="single" w:color="auto"/>
          <w:color w:val="auto"/>
        </w:rPr>
        <w:t>Section 6.01(3)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6.01(5)</w:t>
      </w:r>
      <w:r>
        <w:rPr>
          <w:rFonts w:ascii="Times New Roman" w:cs="Times New Roman" w:eastAsia="Times New Roman" w:hAnsi="Times New Roman"/>
          <w:sz w:val="20"/>
          <w:szCs w:val="20"/>
          <w:color w:val="auto"/>
        </w:rPr>
        <w:t>, as the case may be.</w:t>
      </w:r>
    </w:p>
    <w:p>
      <w:pPr>
        <w:spacing w:after="0" w:line="199" w:lineRule="exact"/>
        <w:rPr>
          <w:rFonts w:ascii="Times New Roman" w:cs="Times New Roman" w:eastAsia="Times New Roman" w:hAnsi="Times New Roman"/>
          <w:sz w:val="20"/>
          <w:szCs w:val="20"/>
          <w:color w:val="auto"/>
        </w:rPr>
      </w:pPr>
    </w:p>
    <w:p>
      <w:pPr>
        <w:ind w:firstLine="656"/>
        <w:spacing w:after="0" w:line="283" w:lineRule="auto"/>
        <w:tabs>
          <w:tab w:leader="none" w:pos="108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shall be the conditions to application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to any Outstanding Securities of or within a series:</w:t>
      </w:r>
    </w:p>
    <w:p>
      <w:pPr>
        <w:spacing w:after="0" w:line="146" w:lineRule="exact"/>
        <w:rPr>
          <w:rFonts w:ascii="Times New Roman" w:cs="Times New Roman" w:eastAsia="Times New Roman" w:hAnsi="Times New Roman"/>
          <w:sz w:val="20"/>
          <w:szCs w:val="20"/>
          <w:color w:val="auto"/>
        </w:rPr>
      </w:pPr>
    </w:p>
    <w:p>
      <w:pPr>
        <w:jc w:val="both"/>
        <w:ind w:left="660" w:firstLine="1292"/>
        <w:spacing w:after="0" w:line="250" w:lineRule="auto"/>
        <w:tabs>
          <w:tab w:leader="none" w:pos="244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irrevocably have deposited or caused to be deposited with the Trustee (or another entity satisfying the requirements of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 xml:space="preserve"> who shall agree to comply with the provisions of this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applicable to it) as trust funds in trust for the purpose of making the following payments, specifically pledged as security for, and dedicated solely to, the benefit of the Holders of such Securities, (i) an amount in the currency in which such Securities are then specified as payable at Stated Maturity or, if such defeasance or covenant defeasance is to be effected in compliance with </w:t>
      </w:r>
      <w:r>
        <w:rPr>
          <w:rFonts w:ascii="Times New Roman" w:cs="Times New Roman" w:eastAsia="Times New Roman" w:hAnsi="Times New Roman"/>
          <w:sz w:val="20"/>
          <w:szCs w:val="20"/>
          <w:u w:val="single" w:color="auto"/>
          <w:color w:val="auto"/>
        </w:rPr>
        <w:t>clause (5)</w:t>
      </w:r>
      <w:r>
        <w:rPr>
          <w:rFonts w:ascii="Times New Roman" w:cs="Times New Roman" w:eastAsia="Times New Roman" w:hAnsi="Times New Roman"/>
          <w:sz w:val="20"/>
          <w:szCs w:val="20"/>
          <w:color w:val="auto"/>
        </w:rPr>
        <w:t xml:space="preserve"> below, on the relevant redemption date, as the case may be, (ii) Government Obligations applicable to such Securities (determined on the basis of the currency in which such Securities are then specified as payable at Stated Maturity or, if such defeasance or covenant defeasance is to be effected in compliance with </w:t>
      </w:r>
      <w:r>
        <w:rPr>
          <w:rFonts w:ascii="Times New Roman" w:cs="Times New Roman" w:eastAsia="Times New Roman" w:hAnsi="Times New Roman"/>
          <w:sz w:val="20"/>
          <w:szCs w:val="20"/>
          <w:u w:val="single" w:color="auto"/>
          <w:color w:val="auto"/>
        </w:rPr>
        <w:t>clause (5)</w:t>
      </w:r>
      <w:r>
        <w:rPr>
          <w:rFonts w:ascii="Times New Roman" w:cs="Times New Roman" w:eastAsia="Times New Roman" w:hAnsi="Times New Roman"/>
          <w:sz w:val="20"/>
          <w:szCs w:val="20"/>
          <w:color w:val="auto"/>
        </w:rPr>
        <w:t xml:space="preserve"> below, on the relevant redemption date, as the case may be) which through the scheduled payment of principal and interest in respect thereof in accordance with their terms will provide, not later than one day before the due date of any payment of principal of (and premium, if any) and interest, if any, on such Securities, money in an amount, or (iii) a combination thereof, in any case,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(y) the principal of (and premium, if any) and interest, if any, on the Stated Maturity of such principal or installment of principal or interest or the applicable redemption date, as the case may be, and (z) any mandatory sinking fund payments or analogous payments applicable, if any, to such Outstanding Securities on the day on which such payments are due and payable in accordance with the terms of this Indenture and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96" w:name="page97"/>
    <w:bookmarkEnd w:id="96"/>
    <w:p>
      <w:pPr>
        <w:jc w:val="both"/>
        <w:ind w:left="660" w:firstLine="1292"/>
        <w:spacing w:after="0" w:line="258" w:lineRule="auto"/>
        <w:tabs>
          <w:tab w:leader="none" w:pos="249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Event of Default or default (other than that resulting from borrowing funds to be applied to make the deposit under clause (1) above and the granting of any liens in connection therewith) shall have occurred and be continuing on the date of such deposit, and, solely in the case of defeasance under </w:t>
      </w:r>
      <w:r>
        <w:rPr>
          <w:rFonts w:ascii="Times New Roman" w:cs="Times New Roman" w:eastAsia="Times New Roman" w:hAnsi="Times New Roman"/>
          <w:sz w:val="20"/>
          <w:szCs w:val="20"/>
          <w:u w:val="single" w:color="auto"/>
          <w:color w:val="auto"/>
        </w:rPr>
        <w:t>Section 13.02(b)</w:t>
      </w:r>
      <w:r>
        <w:rPr>
          <w:rFonts w:ascii="Times New Roman" w:cs="Times New Roman" w:eastAsia="Times New Roman" w:hAnsi="Times New Roman"/>
          <w:sz w:val="20"/>
          <w:szCs w:val="20"/>
          <w:color w:val="auto"/>
        </w:rPr>
        <w:t xml:space="preserve">, no Event of Default or default with respect to such Securities under </w:t>
      </w:r>
      <w:r>
        <w:rPr>
          <w:rFonts w:ascii="Times New Roman" w:cs="Times New Roman" w:eastAsia="Times New Roman" w:hAnsi="Times New Roman"/>
          <w:sz w:val="20"/>
          <w:szCs w:val="20"/>
          <w:u w:val="single" w:color="auto"/>
          <w:color w:val="auto"/>
        </w:rPr>
        <w:t>clause (4)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shall have occurred and be continuing on the date of such deposit.</w:t>
      </w:r>
    </w:p>
    <w:p>
      <w:pPr>
        <w:spacing w:after="0" w:line="172" w:lineRule="exact"/>
        <w:rPr>
          <w:rFonts w:ascii="Times New Roman" w:cs="Times New Roman" w:eastAsia="Times New Roman" w:hAnsi="Times New Roman"/>
          <w:sz w:val="20"/>
          <w:szCs w:val="20"/>
          <w:color w:val="auto"/>
        </w:rPr>
      </w:pPr>
    </w:p>
    <w:p>
      <w:pPr>
        <w:jc w:val="both"/>
        <w:ind w:left="660" w:firstLine="1292"/>
        <w:spacing w:after="0" w:line="250" w:lineRule="auto"/>
        <w:tabs>
          <w:tab w:leader="none" w:pos="246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defeasance pursuant to </w:t>
      </w:r>
      <w:r>
        <w:rPr>
          <w:rFonts w:ascii="Times New Roman" w:cs="Times New Roman" w:eastAsia="Times New Roman" w:hAnsi="Times New Roman"/>
          <w:sz w:val="20"/>
          <w:szCs w:val="20"/>
          <w:u w:val="single" w:color="auto"/>
          <w:color w:val="auto"/>
        </w:rPr>
        <w:t>Section 13.02(b)</w:t>
      </w:r>
      <w:r>
        <w:rPr>
          <w:rFonts w:ascii="Times New Roman" w:cs="Times New Roman" w:eastAsia="Times New Roman" w:hAnsi="Times New Roman"/>
          <w:sz w:val="20"/>
          <w:szCs w:val="20"/>
          <w:color w:val="auto"/>
        </w:rPr>
        <w:t xml:space="preserve">, the Company shall have delivered to the Trustee an Opinion of Counsel, subject to customary assumptions and exclusions, stating that (x) the Company has received from, or there has been published by, the Internal Revenue Service a ruling, or (y) since the date of this Indenture there has been a change in applicable U.S. federal income tax law, in either case to the effect that, and based thereon such Opinion of Counsel shall confirm that, the Holders of such Outstanding Securities will not recognize income, gain or loss for U.S. federal income tax purposes as a result of such defeasance and will be subject to U.S. federal income tax on the same amounts, in the same manner and at the same times as would have been the case if such defeasance had not occurred; or, in the case of covenant defeasance pursuant to </w:t>
      </w:r>
      <w:r>
        <w:rPr>
          <w:rFonts w:ascii="Times New Roman" w:cs="Times New Roman" w:eastAsia="Times New Roman" w:hAnsi="Times New Roman"/>
          <w:sz w:val="20"/>
          <w:szCs w:val="20"/>
          <w:u w:val="single" w:color="auto"/>
          <w:color w:val="auto"/>
        </w:rPr>
        <w:t>Section 13.02(c)</w:t>
      </w:r>
      <w:r>
        <w:rPr>
          <w:rFonts w:ascii="Times New Roman" w:cs="Times New Roman" w:eastAsia="Times New Roman" w:hAnsi="Times New Roman"/>
          <w:sz w:val="20"/>
          <w:szCs w:val="20"/>
          <w:color w:val="auto"/>
        </w:rPr>
        <w:t>, the Company shall have delivered to the Trustee an Opinion of Counsel, subject to customary assumptions and exclusions, to the effect that the Holders of such Outstanding Securities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99"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7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and an Opinion of Counsel, each stating that all conditions precedent to the defeasance or covenant defeasance, as the case may be, under this Indenture have been complied with.</w:t>
      </w:r>
    </w:p>
    <w:p>
      <w:pPr>
        <w:spacing w:after="0" w:line="181"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monies or Government Obligations or combination thereof, as the case may be, deposited under </w:t>
      </w:r>
      <w:r>
        <w:rPr>
          <w:rFonts w:ascii="Times New Roman" w:cs="Times New Roman" w:eastAsia="Times New Roman" w:hAnsi="Times New Roman"/>
          <w:sz w:val="20"/>
          <w:szCs w:val="20"/>
          <w:u w:val="single" w:color="auto"/>
          <w:color w:val="auto"/>
        </w:rPr>
        <w:t>clause</w:t>
      </w:r>
    </w:p>
    <w:p>
      <w:pPr>
        <w:spacing w:after="0" w:line="2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6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above are sufficient to pay the principal of, and premium, if any, and interest, if any, on and, to the extent provided in such </w:t>
      </w:r>
      <w:r>
        <w:rPr>
          <w:rFonts w:ascii="Times New Roman" w:cs="Times New Roman" w:eastAsia="Times New Roman" w:hAnsi="Times New Roman"/>
          <w:sz w:val="19"/>
          <w:szCs w:val="19"/>
          <w:u w:val="single" w:color="auto"/>
          <w:color w:val="auto"/>
        </w:rPr>
        <w:t>clause</w:t>
      </w:r>
    </w:p>
    <w:p>
      <w:pPr>
        <w:spacing w:after="0" w:line="18" w:lineRule="exact"/>
        <w:rPr>
          <w:sz w:val="20"/>
          <w:szCs w:val="20"/>
          <w:color w:val="auto"/>
        </w:rPr>
      </w:pPr>
    </w:p>
    <w:p>
      <w:pPr>
        <w:ind w:left="660" w:hanging="4"/>
        <w:spacing w:after="0" w:line="253" w:lineRule="auto"/>
        <w:tabs>
          <w:tab w:leader="none" w:pos="955" w:val="left"/>
        </w:tabs>
        <w:numPr>
          <w:ilvl w:val="0"/>
          <w:numId w:val="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 respect to a particular redemption date, the Company shall have given the Trustee irrevocable instructions to redeem such Securities on such date and to provide notice of such redemption to Holders as provided in or pursuant to this Indenture.</w:t>
      </w:r>
    </w:p>
    <w:p>
      <w:pPr>
        <w:spacing w:after="0" w:line="188" w:lineRule="exact"/>
        <w:rPr>
          <w:rFonts w:ascii="Times New Roman" w:cs="Times New Roman" w:eastAsia="Times New Roman" w:hAnsi="Times New Roman"/>
          <w:sz w:val="20"/>
          <w:szCs w:val="20"/>
          <w:u w:val="single" w:color="auto"/>
          <w:color w:val="auto"/>
        </w:rPr>
      </w:pPr>
    </w:p>
    <w:p>
      <w:pPr>
        <w:jc w:val="both"/>
        <w:ind w:left="660" w:firstLine="1292"/>
        <w:spacing w:after="0" w:line="261" w:lineRule="auto"/>
        <w:tabs>
          <w:tab w:leader="none" w:pos="239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w:t>
      </w:r>
      <w:r>
        <w:rPr>
          <w:rFonts w:ascii="Times New Roman" w:cs="Times New Roman" w:eastAsia="Times New Roman" w:hAnsi="Times New Roman"/>
          <w:sz w:val="20"/>
          <w:szCs w:val="20"/>
          <w:u w:val="single" w:color="auto"/>
          <w:color w:val="auto"/>
        </w:rPr>
        <w:t>Section 13.02(d)</w:t>
      </w:r>
      <w:r>
        <w:rPr>
          <w:rFonts w:ascii="Times New Roman" w:cs="Times New Roman" w:eastAsia="Times New Roman" w:hAnsi="Times New Roman"/>
          <w:sz w:val="20"/>
          <w:szCs w:val="20"/>
          <w:color w:val="auto"/>
        </w:rPr>
        <w:t xml:space="preserve">, such defeasance or covenant defeasance shall be effected in compliance with any additional or substitute terms, conditions or limitations which may be imposed on the Company in connection therewith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56"/>
        <w:spacing w:after="0" w:line="251" w:lineRule="auto"/>
        <w:tabs>
          <w:tab w:leader="none" w:pos="112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13.05</w:t>
      </w:r>
      <w:r>
        <w:rPr>
          <w:rFonts w:ascii="Times New Roman" w:cs="Times New Roman" w:eastAsia="Times New Roman" w:hAnsi="Times New Roman"/>
          <w:sz w:val="20"/>
          <w:szCs w:val="20"/>
          <w:color w:val="auto"/>
        </w:rPr>
        <w:t xml:space="preserve">, all money and Government Obligations (or other property as may be provided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(including the proceeds thereof) deposited with the Trustee (or other qualifying trustee, collectively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13.02(e)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clause (d)(1)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in respect of any Outstanding Securities of any series shall be held in trust and applied by the Trustee, in accordance with the provisions of such Securities and this Indenture, to the payment, either directly or through any Paying Agent (other than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97" w:name="page98"/>
    <w:bookmarkEnd w:id="97"/>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Company shall pay and the Company shall indemnify the Trustee against any tax, fee or other charge, imposed on or assessed against the Government Obligations deposited pursuant to this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or the principal or interest received in respect thereof other than any such tax, fee or other charge which by law is for the account of the Holders of such Outstanding Securities.</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Anything in this </w:t>
      </w:r>
      <w:r>
        <w:rPr>
          <w:rFonts w:ascii="Times New Roman" w:cs="Times New Roman" w:eastAsia="Times New Roman" w:hAnsi="Times New Roman"/>
          <w:sz w:val="19"/>
          <w:szCs w:val="19"/>
          <w:u w:val="single" w:color="auto"/>
          <w:color w:val="auto"/>
        </w:rPr>
        <w:t>Section 13.02</w:t>
      </w:r>
      <w:r>
        <w:rPr>
          <w:rFonts w:ascii="Times New Roman" w:cs="Times New Roman" w:eastAsia="Times New Roman" w:hAnsi="Times New Roman"/>
          <w:sz w:val="19"/>
          <w:szCs w:val="19"/>
          <w:color w:val="auto"/>
        </w:rPr>
        <w:t xml:space="preserve"> to the contrary notwithstanding, the Trustee shall deliver or pay to the Company from time to time upon written order any money or Government Obligations (or other property and any proceeds therefrom) held by it as provided in </w:t>
      </w:r>
      <w:r>
        <w:rPr>
          <w:rFonts w:ascii="Times New Roman" w:cs="Times New Roman" w:eastAsia="Times New Roman" w:hAnsi="Times New Roman"/>
          <w:sz w:val="19"/>
          <w:szCs w:val="19"/>
          <w:u w:val="single" w:color="auto"/>
          <w:color w:val="auto"/>
        </w:rPr>
        <w:t>clause (d)</w:t>
      </w:r>
    </w:p>
    <w:p>
      <w:pPr>
        <w:spacing w:after="0" w:line="2" w:lineRule="exact"/>
        <w:rPr>
          <w:sz w:val="20"/>
          <w:szCs w:val="20"/>
          <w:color w:val="auto"/>
        </w:rPr>
      </w:pPr>
    </w:p>
    <w:p>
      <w:pPr>
        <w:jc w:val="both"/>
        <w:ind w:firstLine="8"/>
        <w:spacing w:after="0" w:line="253" w:lineRule="auto"/>
        <w:tabs>
          <w:tab w:leader="none" w:pos="303" w:val="left"/>
        </w:tabs>
        <w:numPr>
          <w:ilvl w:val="0"/>
          <w:numId w:val="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w:t>
      </w:r>
      <w:r>
        <w:rPr>
          <w:rFonts w:ascii="Times New Roman" w:cs="Times New Roman" w:eastAsia="Times New Roman" w:hAnsi="Times New Roman"/>
          <w:sz w:val="20"/>
          <w:szCs w:val="20"/>
          <w:u w:val="single" w:color="auto"/>
          <w:color w:val="auto"/>
        </w:rPr>
        <w:t>Section 13.02(d)(1)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13.03</w:t>
      </w:r>
      <w:r>
        <w:rPr>
          <w:sz w:val="20"/>
          <w:szCs w:val="20"/>
          <w:color w:val="auto"/>
        </w:rPr>
        <w:tab/>
      </w:r>
      <w:r>
        <w:rPr>
          <w:rFonts w:ascii="Times New Roman" w:cs="Times New Roman" w:eastAsia="Times New Roman" w:hAnsi="Times New Roman"/>
          <w:sz w:val="19"/>
          <w:szCs w:val="19"/>
          <w:b w:val="1"/>
          <w:bCs w:val="1"/>
          <w:color w:val="auto"/>
        </w:rPr>
        <w:t>Application by Trustee of Funds Deposited for Payment of Securities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All money deposited with the Trustee pursuant to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or received by the Trustee in respect of obligations deposited with the Trustee pursuant to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shall be held in trust until such time as such money is to be applied by it to the payment, either directly or through any Paying Agent (including the Company acting as its own Paying Agent), to the Holders of the particular Securities, for the payment of which such moneys have been deposited with the Trustee, of all sums due and to become due thereon for the principal thereof, premium, if any, and interest, if any, thereon. Moneys held under this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need not be segregated from other funds except to the extent required by law, and the Trustee shall be under no liability with respect to interest on any such moneys.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13.04</w:t>
      </w:r>
      <w:r>
        <w:rPr>
          <w:sz w:val="20"/>
          <w:szCs w:val="20"/>
          <w:color w:val="auto"/>
        </w:rPr>
        <w:tab/>
      </w:r>
      <w:r>
        <w:rPr>
          <w:rFonts w:ascii="Times New Roman" w:cs="Times New Roman" w:eastAsia="Times New Roman" w:hAnsi="Times New Roman"/>
          <w:sz w:val="19"/>
          <w:szCs w:val="19"/>
          <w:b w:val="1"/>
          <w:bCs w:val="1"/>
          <w:color w:val="auto"/>
        </w:rPr>
        <w:t>Repayment of Moneys Held by Paying Agent</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satisfaction and discharge of this Indenture, all moneys then held by any Paying Agent, other than the Trustee, under this Indenture shall, upon and in accordance with demand of the Company, be paid to the Trustee, and thereupon such Paying Agent shall be released from all further liability with respect to such moneys.</w:t>
      </w:r>
    </w:p>
    <w:p>
      <w:pPr>
        <w:spacing w:after="0" w:line="19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13.05</w:t>
      </w:r>
      <w:r>
        <w:rPr>
          <w:sz w:val="20"/>
          <w:szCs w:val="20"/>
          <w:color w:val="auto"/>
        </w:rPr>
        <w:tab/>
      </w:r>
      <w:r>
        <w:rPr>
          <w:rFonts w:ascii="Times New Roman" w:cs="Times New Roman" w:eastAsia="Times New Roman" w:hAnsi="Times New Roman"/>
          <w:sz w:val="19"/>
          <w:szCs w:val="19"/>
          <w:b w:val="1"/>
          <w:bCs w:val="1"/>
          <w:color w:val="auto"/>
        </w:rPr>
        <w:t>Return of Unclaimed Moneys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Subject to applicable abandoned property law, any moneys deposited with the Trustee or any Paying Agent not applied but remaining unclaimed by the Holders of Securities for two years after the date upon which the principal of, premium, if any, or interest, if any, on such Securities shall have become due and payable shall be repaid to the Company by the Trustee or such agent on written demand. Thereafter, the Holder of any of the Securities entitled to receive such payment, as a general unsecured creditor, shall look only to the Company for the payment thereof unless applicable law designates another person, and the Company and the Trustee shall have no further liability with respect to such money.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13.06</w:t>
      </w:r>
      <w:r>
        <w:rPr>
          <w:sz w:val="20"/>
          <w:szCs w:val="20"/>
          <w:color w:val="auto"/>
        </w:rPr>
        <w:tab/>
      </w:r>
      <w:r>
        <w:rPr>
          <w:rFonts w:ascii="Times New Roman" w:cs="Times New Roman" w:eastAsia="Times New Roman" w:hAnsi="Times New Roman"/>
          <w:sz w:val="19"/>
          <w:szCs w:val="19"/>
          <w:b w:val="1"/>
          <w:bCs w:val="1"/>
          <w:color w:val="auto"/>
        </w:rPr>
        <w:t>Reinstatement</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If the Trustee (or other qualifying trustee appointed pursuant to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or any Paying Agent is unable to apply any moneys or Government Obligations deposited pursuant to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13.02(d)(1)</w:t>
      </w:r>
      <w:r>
        <w:rPr>
          <w:rFonts w:ascii="Times New Roman" w:cs="Times New Roman" w:eastAsia="Times New Roman" w:hAnsi="Times New Roman"/>
          <w:sz w:val="20"/>
          <w:szCs w:val="20"/>
          <w:color w:val="auto"/>
        </w:rPr>
        <w:t xml:space="preserve"> to pay any principal of or premium, if any, or interest, if any, on, with respect to the Securities of any series by reason of any legal proceeding or any order or judgment of any court or governmental authority enjoining, restraining or otherwise prohibiting such application, then the Company’s obligations under this Indenture and the Securities of such series shall be revived and reinstated as though no such deposit had occurred, until such time as the Trustee (or other qualifying trustee) or Paying Agent is permitted to apply all such moneys and Government Obligations to pay the principal of and premium, if any, and interest, if any, on the Securities of such series as contemplated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13.02</w:t>
      </w:r>
      <w:r>
        <w:rPr>
          <w:rFonts w:ascii="Times New Roman" w:cs="Times New Roman" w:eastAsia="Times New Roman" w:hAnsi="Times New Roman"/>
          <w:sz w:val="20"/>
          <w:szCs w:val="20"/>
          <w:color w:val="auto"/>
        </w:rPr>
        <w:t xml:space="preserve"> as the case may be, and </w:t>
      </w:r>
      <w:r>
        <w:rPr>
          <w:rFonts w:ascii="Times New Roman" w:cs="Times New Roman" w:eastAsia="Times New Roman" w:hAnsi="Times New Roman"/>
          <w:sz w:val="20"/>
          <w:szCs w:val="20"/>
          <w:u w:val="single" w:color="auto"/>
          <w:color w:val="auto"/>
        </w:rPr>
        <w:t>Section 13.03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Company makes any payment of the principal of or premium, if any, or interest, if any, on, in respect of the Securities of such series following the reinstatement of its obligations as aforesaid, the Company shall be subrogated to the rights of the Holders of such payment from the funds held by the Trustee (or other qualifying trustee) or Paying Agent.</w:t>
      </w:r>
    </w:p>
    <w:p>
      <w:pPr>
        <w:spacing w:after="0" w:line="168" w:lineRule="exact"/>
        <w:rPr>
          <w:sz w:val="20"/>
          <w:szCs w:val="20"/>
          <w:color w:val="auto"/>
        </w:rPr>
      </w:pPr>
    </w:p>
    <w:p>
      <w:pPr>
        <w:ind w:left="2500"/>
        <w:spacing w:after="0"/>
        <w:tabs>
          <w:tab w:leader="none" w:pos="3060" w:val="left"/>
        </w:tabs>
        <w:rPr>
          <w:sz w:val="20"/>
          <w:szCs w:val="20"/>
          <w:color w:val="auto"/>
        </w:rPr>
      </w:pPr>
      <w:r>
        <w:rPr>
          <w:rFonts w:ascii="Times New Roman" w:cs="Times New Roman" w:eastAsia="Times New Roman" w:hAnsi="Times New Roman"/>
          <w:sz w:val="20"/>
          <w:szCs w:val="20"/>
          <w:b w:val="1"/>
          <w:bCs w:val="1"/>
          <w:color w:val="auto"/>
        </w:rPr>
        <w:t>XIV.</w:t>
      </w:r>
      <w:r>
        <w:rPr>
          <w:sz w:val="20"/>
          <w:szCs w:val="20"/>
          <w:color w:val="auto"/>
        </w:rPr>
        <w:tab/>
      </w:r>
      <w:r>
        <w:rPr>
          <w:rFonts w:ascii="Times New Roman" w:cs="Times New Roman" w:eastAsia="Times New Roman" w:hAnsi="Times New Roman"/>
          <w:sz w:val="19"/>
          <w:szCs w:val="19"/>
          <w:b w:val="1"/>
          <w:bCs w:val="1"/>
          <w:color w:val="auto"/>
        </w:rPr>
        <w:t>IMMUNITY OF INCORPORATORS, STOCKHOLDERS,</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OFFICERS AND DIRECTORS</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14.01</w:t>
      </w:r>
      <w:r>
        <w:rPr>
          <w:sz w:val="20"/>
          <w:szCs w:val="20"/>
          <w:color w:val="auto"/>
        </w:rPr>
        <w:tab/>
      </w:r>
      <w:r>
        <w:rPr>
          <w:rFonts w:ascii="Times New Roman" w:cs="Times New Roman" w:eastAsia="Times New Roman" w:hAnsi="Times New Roman"/>
          <w:sz w:val="19"/>
          <w:szCs w:val="19"/>
          <w:b w:val="1"/>
          <w:bCs w:val="1"/>
          <w:color w:val="auto"/>
        </w:rPr>
        <w:t>Personal Immunity from Liability of Incorporators, Stockholders, Etc.</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No recourse under or upon any obligation, covenant or agreement of this Indenture or any supplemental indenture, or of any Security, or for any claim based thereon or otherwise in respect thereof, shall be had against any incorporator or against any past, present or future stockholder, partner, Subsidiary, employee, officer, director, Affiliate or controlling person, as such, of the Company or of any predecessor or successor corporation, either directly or through the Company or any predecessor or successor corporation, whether by virtue of any constitution, statute or rule of law, or by the enforcement of any assessment or penalty or otherwise, all such liability and any and all such claims being hereby expressly waived and released as a condition of, and as a consideration for, the execution of this Indenture and issue of the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Intentionally Left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Indenture to be duly executed as of the date first above written.</w:t>
      </w:r>
    </w:p>
    <w:p>
      <w:pPr>
        <w:sectPr>
          <w:pgSz w:w="11900" w:h="16838" w:orient="portrait"/>
          <w:cols w:equalWidth="0" w:num="1">
            <w:col w:w="10100"/>
          </w:cols>
          <w:pgMar w:left="980" w:top="140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COMMVAULT SYSTEMS, INC.,</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Company</w:t>
      </w:r>
    </w:p>
    <w:p>
      <w:pPr>
        <w:spacing w:after="0" w:line="207"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914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 w:lineRule="exact"/>
        <w:rPr>
          <w:sz w:val="20"/>
          <w:szCs w:val="20"/>
          <w:color w:val="auto"/>
        </w:rPr>
      </w:pPr>
    </w:p>
    <w:p>
      <w:pPr>
        <w:ind w:left="3240"/>
        <w:spacing w:after="0"/>
        <w:tabs>
          <w:tab w:leader="none" w:pos="39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Gary Merrill</w:t>
      </w:r>
    </w:p>
    <w:p>
      <w:pPr>
        <w:spacing w:after="0" w:line="6" w:lineRule="exact"/>
        <w:rPr>
          <w:sz w:val="20"/>
          <w:szCs w:val="20"/>
          <w:color w:val="auto"/>
        </w:rPr>
      </w:pP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40" w:right="1740"/>
        <w:spacing w:after="0" w:line="269" w:lineRule="auto"/>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173"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Gregory M.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297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3240"/>
        <w:spacing w:after="0"/>
        <w:tabs>
          <w:tab w:leader="none" w:pos="39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Gregory M. Jackson</w:t>
      </w:r>
    </w:p>
    <w:p>
      <w:pPr>
        <w:spacing w:after="0" w:line="6" w:lineRule="exact"/>
        <w:rPr>
          <w:sz w:val="20"/>
          <w:szCs w:val="20"/>
          <w:color w:val="auto"/>
        </w:rPr>
      </w:pP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10100"/>
          </w:cols>
          <w:pgMar w:left="980" w:top="1409" w:right="819" w:bottom="1440" w:gutter="0" w:footer="0" w:header="0"/>
          <w:type w:val="continuous"/>
        </w:sectPr>
      </w:pPr>
    </w:p>
    <w:bookmarkStart w:id="100" w:name="page101"/>
    <w:bookmarkEnd w:id="100"/>
    <w:p>
      <w:pPr>
        <w:ind w:left="1038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225425</wp:posOffset>
            </wp:positionV>
            <wp:extent cx="2040255"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204025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900" w:type="dxa"/>
        <w:tblCellMar>
          <w:top w:w="0" w:type="dxa"/>
          <w:left w:w="0" w:type="dxa"/>
          <w:bottom w:w="0" w:type="dxa"/>
          <w:right w:w="0" w:type="dxa"/>
        </w:tblCellMar>
      </w:tblPr>
      <w:tr>
        <w:trPr>
          <w:trHeight w:val="189"/>
        </w:trPr>
        <w:tc>
          <w:tcPr>
            <w:tcW w:w="2540" w:type="dxa"/>
            <w:vAlign w:val="bottom"/>
          </w:tcPr>
          <w:p>
            <w:pPr>
              <w:jc w:val="center"/>
              <w:ind w:right="1048"/>
              <w:spacing w:after="0"/>
              <w:rPr>
                <w:sz w:val="20"/>
                <w:szCs w:val="20"/>
                <w:color w:val="auto"/>
              </w:rPr>
            </w:pPr>
            <w:r>
              <w:rPr>
                <w:rFonts w:ascii="Arial" w:cs="Arial" w:eastAsia="Arial" w:hAnsi="Arial"/>
                <w:sz w:val="14"/>
                <w:szCs w:val="14"/>
                <w:color w:val="auto"/>
              </w:rPr>
              <w:t>601 Lexington Avenue</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40" w:type="dxa"/>
            <w:vAlign w:val="bottom"/>
          </w:tcPr>
          <w:p>
            <w:pPr>
              <w:jc w:val="center"/>
              <w:ind w:right="1048"/>
              <w:spacing w:after="0"/>
              <w:rPr>
                <w:sz w:val="20"/>
                <w:szCs w:val="20"/>
                <w:color w:val="auto"/>
              </w:rPr>
            </w:pPr>
            <w:r>
              <w:rPr>
                <w:rFonts w:ascii="Arial" w:cs="Arial" w:eastAsia="Arial" w:hAnsi="Arial"/>
                <w:sz w:val="14"/>
                <w:szCs w:val="14"/>
                <w:color w:val="auto"/>
              </w:rPr>
              <w:t>New York, NY 10022</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40" w:type="dxa"/>
            <w:vAlign w:val="bottom"/>
          </w:tcPr>
          <w:p>
            <w:pPr>
              <w:jc w:val="center"/>
              <w:ind w:right="1048"/>
              <w:spacing w:after="0"/>
              <w:rPr>
                <w:sz w:val="20"/>
                <w:szCs w:val="20"/>
                <w:color w:val="auto"/>
              </w:rPr>
            </w:pPr>
            <w:r>
              <w:rPr>
                <w:rFonts w:ascii="Arial" w:cs="Arial" w:eastAsia="Arial" w:hAnsi="Arial"/>
                <w:sz w:val="14"/>
                <w:szCs w:val="14"/>
                <w:color w:val="auto"/>
              </w:rPr>
              <w:t>United States</w:t>
            </w:r>
          </w:p>
        </w:tc>
        <w:tc>
          <w:tcPr>
            <w:tcW w:w="2180" w:type="dxa"/>
            <w:vAlign w:val="bottom"/>
            <w:vMerge w:val="restart"/>
          </w:tcPr>
          <w:p>
            <w:pPr>
              <w:jc w:val="center"/>
              <w:ind w:left="1028"/>
              <w:spacing w:after="0"/>
              <w:rPr>
                <w:sz w:val="20"/>
                <w:szCs w:val="20"/>
                <w:color w:val="auto"/>
              </w:rPr>
            </w:pPr>
            <w:r>
              <w:rPr>
                <w:rFonts w:ascii="Arial" w:cs="Arial" w:eastAsia="Arial" w:hAnsi="Arial"/>
                <w:sz w:val="14"/>
                <w:szCs w:val="14"/>
                <w:color w:val="auto"/>
              </w:rPr>
              <w:t>Facsimile:</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540" w:type="dxa"/>
            <w:vAlign w:val="bottom"/>
          </w:tcPr>
          <w:p>
            <w:pPr>
              <w:jc w:val="center"/>
              <w:ind w:right="1048"/>
              <w:spacing w:after="0"/>
              <w:rPr>
                <w:sz w:val="20"/>
                <w:szCs w:val="20"/>
                <w:color w:val="auto"/>
              </w:rPr>
            </w:pPr>
            <w:r>
              <w:rPr>
                <w:rFonts w:ascii="Arial" w:cs="Arial" w:eastAsia="Arial" w:hAnsi="Arial"/>
                <w:sz w:val="14"/>
                <w:szCs w:val="14"/>
                <w:color w:val="auto"/>
              </w:rPr>
              <w:t>+1 212 446 4800</w:t>
            </w:r>
          </w:p>
        </w:tc>
        <w:tc>
          <w:tcPr>
            <w:tcW w:w="2180" w:type="dxa"/>
            <w:vAlign w:val="bottom"/>
          </w:tcPr>
          <w:p>
            <w:pPr>
              <w:jc w:val="right"/>
              <w:spacing w:after="0"/>
              <w:rPr>
                <w:sz w:val="20"/>
                <w:szCs w:val="20"/>
                <w:color w:val="auto"/>
              </w:rPr>
            </w:pPr>
            <w:r>
              <w:rPr>
                <w:rFonts w:ascii="Arial" w:cs="Arial" w:eastAsia="Arial" w:hAnsi="Arial"/>
                <w:sz w:val="14"/>
                <w:szCs w:val="14"/>
                <w:color w:val="auto"/>
              </w:rPr>
              <w:t>+1 212 446 4900</w:t>
            </w:r>
          </w:p>
        </w:tc>
        <w:tc>
          <w:tcPr>
            <w:tcW w:w="0" w:type="dxa"/>
            <w:vAlign w:val="bottom"/>
          </w:tcPr>
          <w:p>
            <w:pPr>
              <w:spacing w:after="0"/>
              <w:rPr>
                <w:sz w:val="1"/>
                <w:szCs w:val="1"/>
                <w:color w:val="auto"/>
              </w:rPr>
            </w:pPr>
          </w:p>
        </w:tc>
      </w:tr>
      <w:tr>
        <w:trPr>
          <w:trHeight w:val="364"/>
        </w:trPr>
        <w:tc>
          <w:tcPr>
            <w:tcW w:w="2540" w:type="dxa"/>
            <w:vAlign w:val="bottom"/>
          </w:tcPr>
          <w:p>
            <w:pPr>
              <w:jc w:val="center"/>
              <w:ind w:right="1048"/>
              <w:spacing w:after="0"/>
              <w:rPr>
                <w:sz w:val="20"/>
                <w:szCs w:val="20"/>
                <w:color w:val="auto"/>
              </w:rPr>
            </w:pPr>
            <w:r>
              <w:rPr>
                <w:rFonts w:ascii="Arial" w:cs="Arial" w:eastAsia="Arial" w:hAnsi="Arial"/>
                <w:sz w:val="14"/>
                <w:szCs w:val="14"/>
                <w:color w:val="auto"/>
              </w:rPr>
              <w:t>www.kirkland.com</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28,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Commvault Systems,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Commvault 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Tinton Falls, New Jersey 07724</w:t>
      </w:r>
    </w:p>
    <w:p>
      <w:pPr>
        <w:spacing w:after="0" w:line="19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Re:</w:t>
        <w:tab/>
        <w:t>Registration Statement on Form S-3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are acting as special counsel to Commvault Systems, Inc., a Delaware corporation (“</w:t>
      </w:r>
      <w:r>
        <w:rPr>
          <w:rFonts w:ascii="Times New Roman" w:cs="Times New Roman" w:eastAsia="Times New Roman" w:hAnsi="Times New Roman"/>
          <w:sz w:val="22"/>
          <w:szCs w:val="22"/>
          <w:u w:val="single" w:color="auto"/>
          <w:color w:val="auto"/>
        </w:rPr>
        <w:t>Commvault</w:t>
      </w:r>
      <w:r>
        <w:rPr>
          <w:rFonts w:ascii="Times New Roman" w:cs="Times New Roman" w:eastAsia="Times New Roman" w:hAnsi="Times New Roman"/>
          <w:sz w:val="22"/>
          <w:szCs w:val="22"/>
          <w:color w:val="auto"/>
        </w:rPr>
        <w:t>”), in connection with the preparation and filing by Commvault of a Registration Statement on Form S-3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with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Registration Statement relates to the issuance and sale from time to time, pursuant to Rule 415 of the General Rules and Regulations promulgated under the Securities Act, of an unspecified amount of the following securities: (i) common stock of Commvault, par value $0.01 per share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(ii) preferred stock of Commvault, par value $0.01 per share (the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(iii) depositary shares of Commvault representing fractional interests of Preferred Stock (the “</w:t>
      </w:r>
      <w:r>
        <w:rPr>
          <w:rFonts w:ascii="Times New Roman" w:cs="Times New Roman" w:eastAsia="Times New Roman" w:hAnsi="Times New Roman"/>
          <w:sz w:val="21"/>
          <w:szCs w:val="21"/>
          <w:u w:val="single" w:color="auto"/>
          <w:color w:val="auto"/>
        </w:rPr>
        <w:t>Depositary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(iv) one or more series of debt securities of Commvault (the “</w:t>
      </w:r>
      <w:r>
        <w:rPr>
          <w:rFonts w:ascii="Times New Roman" w:cs="Times New Roman" w:eastAsia="Times New Roman" w:hAnsi="Times New Roman"/>
          <w:sz w:val="21"/>
          <w:szCs w:val="21"/>
          <w:u w:val="single" w:color="auto"/>
          <w:color w:val="auto"/>
        </w:rPr>
        <w:t>Debt Securities</w:t>
      </w:r>
      <w:r>
        <w:rPr>
          <w:rFonts w:ascii="Times New Roman" w:cs="Times New Roman" w:eastAsia="Times New Roman" w:hAnsi="Times New Roman"/>
          <w:sz w:val="21"/>
          <w:szCs w:val="21"/>
          <w:color w:val="auto"/>
        </w:rPr>
        <w:t>”); (v) warrants to purchase Debt Securities, Common Stock or Preferred Stock (the “</w:t>
      </w:r>
      <w:r>
        <w:rPr>
          <w:rFonts w:ascii="Times New Roman" w:cs="Times New Roman" w:eastAsia="Times New Roman" w:hAnsi="Times New Roman"/>
          <w:sz w:val="21"/>
          <w:szCs w:val="21"/>
          <w:u w:val="single" w:color="auto"/>
          <w:color w:val="auto"/>
        </w:rPr>
        <w:t>Warrants</w:t>
      </w:r>
      <w:r>
        <w:rPr>
          <w:rFonts w:ascii="Times New Roman" w:cs="Times New Roman" w:eastAsia="Times New Roman" w:hAnsi="Times New Roman"/>
          <w:sz w:val="21"/>
          <w:szCs w:val="21"/>
          <w:color w:val="auto"/>
        </w:rPr>
        <w:t>”); (vi) stock purchase contracts, pursuant to which the holder will purchase from Commvault a specified number of shares of Common Stock at a future date or dates (the “</w:t>
      </w:r>
      <w:r>
        <w:rPr>
          <w:rFonts w:ascii="Times New Roman" w:cs="Times New Roman" w:eastAsia="Times New Roman" w:hAnsi="Times New Roman"/>
          <w:sz w:val="21"/>
          <w:szCs w:val="21"/>
          <w:u w:val="single" w:color="auto"/>
          <w:color w:val="auto"/>
        </w:rPr>
        <w:t>Stock 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and (vii) stock purchase units, consisting of a Stock Purchase Contract and a security (of Commvault or another issuer) securing the holder’s obligation to purchase the Common Stock under the Stock Purchase Contracts (“</w:t>
      </w:r>
      <w:r>
        <w:rPr>
          <w:rFonts w:ascii="Times New Roman" w:cs="Times New Roman" w:eastAsia="Times New Roman" w:hAnsi="Times New Roman"/>
          <w:sz w:val="21"/>
          <w:szCs w:val="21"/>
          <w:u w:val="single" w:color="auto"/>
          <w:color w:val="auto"/>
        </w:rPr>
        <w:t>Stock 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and, collectively with the Common Stock, the Preferred Stock, the Depositary Shares, the Debt Securities, the Warrants and the Stock Purchase Contracts,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in one or more offerings from time to time on a delayed or continuous basis.</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You have advised us that (i) the Debt Securities will be issued under the Indenture, dated as of October 28, 2026, by and between Commvault and U.S. Bank Trust Company,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(including any amendments or supplements thereto,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(ii) the Depositary Shares will be issued pursuant to one or more deposit agreements (including a form of depositary receipt evidencing the Depositary Shares) (each, a “</w:t>
      </w:r>
      <w:r>
        <w:rPr>
          <w:rFonts w:ascii="Times New Roman" w:cs="Times New Roman" w:eastAsia="Times New Roman" w:hAnsi="Times New Roman"/>
          <w:sz w:val="22"/>
          <w:szCs w:val="22"/>
          <w:u w:val="single" w:color="auto"/>
          <w:color w:val="auto"/>
        </w:rPr>
        <w:t>Deposit Agreement</w:t>
      </w:r>
      <w:r>
        <w:rPr>
          <w:rFonts w:ascii="Times New Roman" w:cs="Times New Roman" w:eastAsia="Times New Roman" w:hAnsi="Times New Roman"/>
          <w:sz w:val="22"/>
          <w:szCs w:val="22"/>
          <w:color w:val="auto"/>
        </w:rPr>
        <w:t>”), by and between Commvault and a depositary (each, a “</w:t>
      </w:r>
      <w:r>
        <w:rPr>
          <w:rFonts w:ascii="Times New Roman" w:cs="Times New Roman" w:eastAsia="Times New Roman" w:hAnsi="Times New Roman"/>
          <w:sz w:val="22"/>
          <w:szCs w:val="22"/>
          <w:u w:val="single" w:color="auto"/>
          <w:color w:val="auto"/>
        </w:rPr>
        <w:t>Depositary</w:t>
      </w:r>
      <w:r>
        <w:rPr>
          <w:rFonts w:ascii="Times New Roman" w:cs="Times New Roman" w:eastAsia="Times New Roman" w:hAnsi="Times New Roman"/>
          <w:sz w:val="22"/>
          <w:szCs w:val="22"/>
          <w:color w:val="auto"/>
        </w:rPr>
        <w:t>”), in a form that will be filed as an exhibit to the Registration Statement or incorporated by reference therein, (iii) the Warrants will be issued pursuant to one or more warrant agreements (including a form of certificate evidencing the Warrants) (each, a “</w:t>
      </w:r>
      <w:r>
        <w:rPr>
          <w:rFonts w:ascii="Times New Roman" w:cs="Times New Roman" w:eastAsia="Times New Roman" w:hAnsi="Times New Roman"/>
          <w:sz w:val="22"/>
          <w:szCs w:val="22"/>
          <w:u w:val="single" w:color="auto"/>
          <w:color w:val="auto"/>
        </w:rPr>
        <w:t>Warrant Agreement</w:t>
      </w:r>
      <w:r>
        <w:rPr>
          <w:rFonts w:ascii="Times New Roman" w:cs="Times New Roman" w:eastAsia="Times New Roman" w:hAnsi="Times New Roman"/>
          <w:sz w:val="22"/>
          <w:szCs w:val="22"/>
          <w:color w:val="auto"/>
        </w:rPr>
        <w:t>”), by and between Commvault and a bank or trust company named</w:t>
      </w:r>
    </w:p>
    <w:p>
      <w:pPr>
        <w:sectPr>
          <w:pgSz w:w="11900" w:h="16838" w:orient="portrait"/>
          <w:cols w:equalWidth="0" w:num="1">
            <w:col w:w="11240"/>
          </w:cols>
          <w:pgMar w:left="320" w:top="171" w:right="339" w:bottom="1440" w:gutter="0" w:footer="0" w:header="0"/>
        </w:sectPr>
      </w:pPr>
    </w:p>
    <w:bookmarkStart w:id="101" w:name="page102"/>
    <w:bookmarkEnd w:id="101"/>
    <w:p>
      <w:pPr>
        <w:ind w:left="128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2951480</wp:posOffset>
            </wp:positionH>
            <wp:positionV relativeFrom="page">
              <wp:posOffset>217170</wp:posOffset>
            </wp:positionV>
            <wp:extent cx="165417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Commvault Systems, Inc.</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October 28, 2026</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Page 2</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therein as the warrant agent (the “</w:t>
      </w:r>
      <w:r>
        <w:rPr>
          <w:rFonts w:ascii="Times New Roman" w:cs="Times New Roman" w:eastAsia="Times New Roman" w:hAnsi="Times New Roman"/>
          <w:sz w:val="21"/>
          <w:szCs w:val="21"/>
          <w:u w:val="single" w:color="auto"/>
          <w:color w:val="auto"/>
        </w:rPr>
        <w:t>Warrant Agent</w:t>
      </w:r>
      <w:r>
        <w:rPr>
          <w:rFonts w:ascii="Times New Roman" w:cs="Times New Roman" w:eastAsia="Times New Roman" w:hAnsi="Times New Roman"/>
          <w:sz w:val="21"/>
          <w:szCs w:val="21"/>
          <w:color w:val="auto"/>
        </w:rPr>
        <w:t>”), in a form that will be filed as an exhibit to the Registration Statement or incorporated by reference therein, (iv) the Stock Purchase Contracts will be issued pursuant to one or more stock purchase contracts (including a form of Stock Purchase Contract), by and among Commvault and the other parties named therein, in a form that will be filed as an exhibit to the Registration Statement or incorporated by reference therein and (v) the Stock Purchase Units will be issued under one or more unit agreements (including a form of Stock Purchase Unit) (each, a “</w:t>
      </w:r>
      <w:r>
        <w:rPr>
          <w:rFonts w:ascii="Times New Roman" w:cs="Times New Roman" w:eastAsia="Times New Roman" w:hAnsi="Times New Roman"/>
          <w:sz w:val="21"/>
          <w:szCs w:val="21"/>
          <w:u w:val="single" w:color="auto"/>
          <w:color w:val="auto"/>
        </w:rPr>
        <w:t>Unit Agreement</w:t>
      </w:r>
      <w:r>
        <w:rPr>
          <w:rFonts w:ascii="Times New Roman" w:cs="Times New Roman" w:eastAsia="Times New Roman" w:hAnsi="Times New Roman"/>
          <w:sz w:val="21"/>
          <w:szCs w:val="21"/>
          <w:color w:val="auto"/>
        </w:rPr>
        <w:t>”), by and among Commvault and the other parties named therein, in a form that will be filed as an exhibit to the Registration Statement or incorporated by reference therein. The Indenture and each Deposit Agreement, Warrant Agreement, Stock Purchase Contract and Unit Agreement shall be referred to herein as a “</w:t>
      </w:r>
      <w:r>
        <w:rPr>
          <w:rFonts w:ascii="Times New Roman" w:cs="Times New Roman" w:eastAsia="Times New Roman" w:hAnsi="Times New Roman"/>
          <w:sz w:val="21"/>
          <w:szCs w:val="21"/>
          <w:u w:val="single" w:color="auto"/>
          <w:color w:val="auto"/>
        </w:rPr>
        <w:t>Governing Document</w:t>
      </w:r>
      <w:r>
        <w:rPr>
          <w:rFonts w:ascii="Times New Roman" w:cs="Times New Roman" w:eastAsia="Times New Roman" w:hAnsi="Times New Roman"/>
          <w:sz w:val="21"/>
          <w:szCs w:val="21"/>
          <w:color w:val="auto"/>
        </w:rPr>
        <w:t>.” The Trustee and each Depositary, Warrant Agent or other counterparty to a Governing Document shall be referred to herein as a “</w:t>
      </w:r>
      <w:r>
        <w:rPr>
          <w:rFonts w:ascii="Times New Roman" w:cs="Times New Roman" w:eastAsia="Times New Roman" w:hAnsi="Times New Roman"/>
          <w:sz w:val="21"/>
          <w:szCs w:val="21"/>
          <w:u w:val="single" w:color="auto"/>
          <w:color w:val="auto"/>
        </w:rPr>
        <w:t>Governing Document Counterparty</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connection with this opinion, we have examined originals, or copies certified or otherwise identified to our satisfaction, of such documents, corporate records and other instruments as we have deemed necessary for the purposes of this opinion, including (i) the Amended and Restated Certificate of Incorporation of Commvault, as amended, (ii) the Fifth Amended and Restated Bylaws of Commvault and (iii) the Registration Statement and the exhibits thereto.</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(other than, with respect to due authorization, Commvault). We have not independently established or verified any facts relevant to the opinions expressed herein, but have relied upon statements and representations of the officers and other representatives of Commvault and others as to factual matters.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have also assumed that:</w:t>
      </w:r>
    </w:p>
    <w:p>
      <w:pPr>
        <w:spacing w:after="0" w:line="193" w:lineRule="exact"/>
        <w:rPr>
          <w:sz w:val="20"/>
          <w:szCs w:val="20"/>
          <w:color w:val="auto"/>
        </w:rPr>
      </w:pPr>
    </w:p>
    <w:p>
      <w:pPr>
        <w:jc w:val="both"/>
        <w:ind w:right="20" w:firstLine="656"/>
        <w:spacing w:after="0" w:line="225" w:lineRule="auto"/>
        <w:tabs>
          <w:tab w:leader="none" w:pos="128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and any amendments thereto (including any post-effective amendments) will be effective and will comply with all applicable laws at the time the Securities are offered or issued as contemplated by the Registration Statement;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prospectus supplement or term sheet (each, a “</w:t>
      </w:r>
      <w:r>
        <w:rPr>
          <w:rFonts w:ascii="Times New Roman" w:cs="Times New Roman" w:eastAsia="Times New Roman" w:hAnsi="Times New Roman"/>
          <w:sz w:val="22"/>
          <w:szCs w:val="22"/>
          <w:u w:val="single" w:color="auto"/>
          <w:color w:val="auto"/>
        </w:rPr>
        <w:t>Prospectus Supplement</w:t>
      </w:r>
      <w:r>
        <w:rPr>
          <w:rFonts w:ascii="Times New Roman" w:cs="Times New Roman" w:eastAsia="Times New Roman" w:hAnsi="Times New Roman"/>
          <w:sz w:val="22"/>
          <w:szCs w:val="22"/>
          <w:color w:val="auto"/>
        </w:rPr>
        <w:t>”) will have been prepared and filed with the Commission, along with any exhibits necessary under the rules and regulations of the Commission, describing the Securities offered thereby and will comply with all applicable laws;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Securities will be issued and sold in compliance with applicable federal and state securities laws and in the manner and for the consideration stated in the Registration Statement and the applicable Prospectus Supplement;</w:t>
      </w:r>
    </w:p>
    <w:p>
      <w:pPr>
        <w:sectPr>
          <w:pgSz w:w="11900" w:h="16838" w:orient="portrait"/>
          <w:cols w:equalWidth="0" w:num="1">
            <w:col w:w="11240"/>
          </w:cols>
          <w:pgMar w:left="320" w:top="1030" w:right="339" w:bottom="1440" w:gutter="0" w:footer="0" w:header="0"/>
        </w:sectPr>
      </w:pPr>
    </w:p>
    <w:bookmarkStart w:id="102" w:name="page103"/>
    <w:bookmarkEnd w:id="102"/>
    <w:p>
      <w:pPr>
        <w:ind w:left="128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2951480</wp:posOffset>
            </wp:positionH>
            <wp:positionV relativeFrom="page">
              <wp:posOffset>217170</wp:posOffset>
            </wp:positionV>
            <wp:extent cx="165417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Commvault Systems, Inc.</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October 28, 2026</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Page 3</w:t>
      </w:r>
    </w:p>
    <w:p>
      <w:pPr>
        <w:spacing w:after="0" w:line="223" w:lineRule="exact"/>
        <w:rPr>
          <w:sz w:val="20"/>
          <w:szCs w:val="20"/>
          <w:color w:val="auto"/>
        </w:rPr>
      </w:pPr>
    </w:p>
    <w:p>
      <w:pPr>
        <w:ind w:firstLine="656"/>
        <w:spacing w:after="0" w:line="236" w:lineRule="auto"/>
        <w:tabs>
          <w:tab w:leader="none" w:pos="128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will be issued and sold in the form and containing the terms set forth in the Registration Statement, the applicable Prospectus Supplement and the relevant Governing Document;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the issuance, sale and delivery of each Security, (1) the authorization of such Security by Commvault will not have been modified or rescinded, and there will not have occurred any change in law affecting the validity, legally binding character or enforceability of such Security and (2) the issuance, sale and delivery of such Security, the terms of such Security, the terms of the applicable Governing Document and the compliance by Commvault with the terms of such Security and the terms of the applicable Governing Document will not violate any applicable law, any agreement or instrument then binding upon Commvault, or cause default thereunder, or any restriction imposed by any court or governmental body having jurisdiction over Commvault;</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Commvault will have obtained any legally required consents, approvals, authorizations and other orders of the Commission and any other regulatory authorities necessary to issue and sell the Securities being offered and to execute and deliver the applicable Governing Document;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 and the Trustee will have been qualified under the Trust Indenture Act of 1939, as amended;</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definitive purchase, underwriting, distribution, sales agent or similar agreement, if applicable (each, a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with respect to any Securities offered or issued will have been duly authorized and validly executed and delivered by Commvault and the other parties thereto; and</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8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Securities issuable upon conversion, exchange or exercise of any Security being offered or issued will be duly authorized, created and, if appropriate, reserved for issuance upon such conversion, exchange or exercise.</w:t>
      </w:r>
    </w:p>
    <w:p>
      <w:pPr>
        <w:spacing w:after="0" w:line="17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Based upon and subject to the foregoing qualifications, assumptions and limitations and the further limitations set forth herein, we are of the opinion that:</w:t>
      </w:r>
    </w:p>
    <w:p>
      <w:pPr>
        <w:spacing w:after="0" w:line="131" w:lineRule="exact"/>
        <w:rPr>
          <w:sz w:val="20"/>
          <w:szCs w:val="20"/>
          <w:color w:val="auto"/>
        </w:rPr>
      </w:pPr>
    </w:p>
    <w:p>
      <w:pPr>
        <w:jc w:val="both"/>
        <w:ind w:firstLine="656"/>
        <w:spacing w:after="0" w:line="211" w:lineRule="auto"/>
        <w:tabs>
          <w:tab w:leader="none" w:pos="12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as and if (a) the shares of Common Stock to be offered and sold by Commvault have been duly authorized by appropriate corporate action of Commvault and (b) such shares of Common Stock have been issued, sold and delivered against payment therefor (which shall be in an amount at least equal to the par value of the shares being issued and sold) in accordance with such authorization, the applicable Purchase Agreement and applicable law (including any shares of Common Stock delivered upon exercise, conversion or exchange of any Securities that are exercisable, convertible into or exchangeable for shares of Common Stock pursuant to the terms thereof, assuming that such Securities have been duly authorized and established in accordance with applicable law, appropriate corporate action has been taken to authorize the form, terms, issuance and delivery of such Securities and such Securities have been issued, sold and delivered against payment therefor by duly authorized officers in accordance with such authorization, the applicable Purchase Agreement, any applicable Governing Document and applicable law), such shares of Common Stock will be validly issued, fully paid and non-assessable.</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as and if (a) any particular series of Preferred Stock has been duly authorized and established in accordance with applicable law, (b) appropriate corporate action has been taken by Commvault to authorize the form, terms, issuance and delivery of shares of such Preferred Stock (including the filing of any required certificate of designation, amendment or supplement to the organizational documents of Commvault) and (c) the shares</w:t>
      </w:r>
    </w:p>
    <w:p>
      <w:pPr>
        <w:sectPr>
          <w:pgSz w:w="11900" w:h="16838" w:orient="portrait"/>
          <w:cols w:equalWidth="0" w:num="1">
            <w:col w:w="11240"/>
          </w:cols>
          <w:pgMar w:left="320" w:top="1030" w:right="339" w:bottom="1440" w:gutter="0" w:footer="0" w:header="0"/>
        </w:sectPr>
      </w:pPr>
    </w:p>
    <w:bookmarkStart w:id="103" w:name="page104"/>
    <w:bookmarkEnd w:id="103"/>
    <w:p>
      <w:pPr>
        <w:ind w:left="128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2951480</wp:posOffset>
            </wp:positionH>
            <wp:positionV relativeFrom="page">
              <wp:posOffset>217170</wp:posOffset>
            </wp:positionV>
            <wp:extent cx="165417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Commvault Systems, Inc.</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October 28, 2026</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Page 4</w:t>
      </w:r>
    </w:p>
    <w:p>
      <w:pPr>
        <w:spacing w:after="0" w:line="22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of such Preferred Stock have been issued, sold and delivered against payment therefor (which shall be in an amount at least equal to the par value of the shares being issued and sold) in accordance with such authorization, the applicable Purchase Agreement and applicable law (including any shares of Preferred Stock delivered upon exercise, conversion or exchange of any Securities that are exercisable, convertible into or exchangeable for shares of Preferred Stock pursuant to the terms thereof, assuming that such Securities have been duly authorized and established in accordance with applicable law, appropriate corporate action has been taken to authorize the form, terms, issuance and delivery of such Securities and such Securities have been issued, sold and delivered against payment therefor by duly authorized officers in accordance with such authorization, the applicable Purchase Agreement, any applicable Governing Document and applicable law), such shares of Preferred Stock will be validly issued, fully paid and non-assessable.</w:t>
      </w:r>
    </w:p>
    <w:p>
      <w:pPr>
        <w:spacing w:after="0" w:line="158" w:lineRule="exact"/>
        <w:rPr>
          <w:sz w:val="20"/>
          <w:szCs w:val="20"/>
          <w:color w:val="auto"/>
        </w:rPr>
      </w:pPr>
    </w:p>
    <w:p>
      <w:pPr>
        <w:jc w:val="both"/>
        <w:ind w:firstLine="656"/>
        <w:spacing w:after="0" w:line="220" w:lineRule="auto"/>
        <w:tabs>
          <w:tab w:leader="none" w:pos="129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as and if (a) any Debt Securities have been duly authorized and duly established in accordance with the Indenture and applicable law, (b) appropriate corporate action has been taken to authorize the form, terms, execution and delivery of such Debt Securities and the Indenture and the Indenture has been duly executed and delivered in accordance with such authorization and (c) the applicable Debt Securities have been duly executed, attested, issued and delivered by duly authorized officers against payment in accordance with such authorization, the Indenture, the applicable Purchase Agreement and applicable law, and duly authenticated by the Trustee in accordance with the Indenture, such Debt Securities (including any Debt Securities delivered upon exercise, conversion or exchange of any Securities that are exercisable, convertible into or exchangeable for Debt Securities pursuant to the terms thereof, assuming that such Securities have been duly authorized and established in accordance with applicable law, appropriate corporate action has been taken to authorize the form, terms, issuance and delivery of such Securities and such Securities have been issued, sold and delivered against payment therefor in accordance with such authorization, the applicable Purchase Agreement, any applicable Governing Document and applicable law) will be validly issued and will constitute binding obligations of Commvault enforceable against Commvault in accordance with their terms.</w:t>
      </w:r>
    </w:p>
    <w:p>
      <w:pPr>
        <w:spacing w:after="0" w:line="151" w:lineRule="exact"/>
        <w:rPr>
          <w:rFonts w:ascii="Times New Roman" w:cs="Times New Roman" w:eastAsia="Times New Roman" w:hAnsi="Times New Roman"/>
          <w:sz w:val="21"/>
          <w:szCs w:val="21"/>
          <w:color w:val="auto"/>
        </w:rPr>
      </w:pPr>
    </w:p>
    <w:p>
      <w:pPr>
        <w:jc w:val="both"/>
        <w:ind w:firstLine="656"/>
        <w:spacing w:after="0" w:line="210"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as and if (a) any shares of Preferred Stock underlying the Depositary Shares have been duly authorized and established and, if appropriate, reserved for issuance and sale in accordance with the applicable Deposit Agreement, Commvault’s organizational documents and applicable law, (b) appropriate corporate action has been taken by Commvault to authorize the form, terms, execution and delivery of the Deposit Agreement and the Depositary Shares, and the Deposit Agreement has been duly executed and delivered by the Depositary and Commvault in accordance with such authorization, (c) the shares of Preferred Stock represented by the Depositary Shares have been duly issued and delivered to the Depositary under the applicable Deposit Agreement and (d) the depositary receipts evidencing the Depositary Shares have been duly executed, attested, issued and delivered by the Depositary and/or duly authorized officers of Commvault against payment in accordance with the applicable authorization, applicable Purchase Agreement, applicable Deposit Agreement and applicable law, such Depositary Shares will be validly issued and will constitute binding obligations of Commvault enforceable against Commvault in accordance with their terms.</w:t>
      </w:r>
    </w:p>
    <w:p>
      <w:pPr>
        <w:spacing w:after="0" w:line="157"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as and if (a) any Warrants have been duly authorized and duly established in accordance with applicable law, (b) appropriate corporate action has been taken by Commvault to authorize the form, terms, execution and delivery of the Warrant Agreement and the Warrants and the Warrant Agreement has been duly executed and delivered by the Warrant Agent and Commvault in accordance with such authorization, (c) Warrants with such terms have been duly executed, attested, issued and delivered by the Warrant Agent and/or duly authorized officers of Commvault against payment in accordance with such authorization, the applicable Purchase Agreement, applicable Warrant Agreement</w:t>
      </w:r>
    </w:p>
    <w:p>
      <w:pPr>
        <w:sectPr>
          <w:pgSz w:w="11900" w:h="16838" w:orient="portrait"/>
          <w:cols w:equalWidth="0" w:num="1">
            <w:col w:w="11240"/>
          </w:cols>
          <w:pgMar w:left="320" w:top="1030" w:right="339" w:bottom="1440" w:gutter="0" w:footer="0" w:header="0"/>
        </w:sectPr>
      </w:pPr>
    </w:p>
    <w:bookmarkStart w:id="104" w:name="page105"/>
    <w:bookmarkEnd w:id="104"/>
    <w:p>
      <w:pPr>
        <w:ind w:left="128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2951480</wp:posOffset>
            </wp:positionH>
            <wp:positionV relativeFrom="page">
              <wp:posOffset>217170</wp:posOffset>
            </wp:positionV>
            <wp:extent cx="165417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Commvault Systems, Inc.</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October 28, 2026</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Page 5</w:t>
      </w:r>
    </w:p>
    <w:p>
      <w:pPr>
        <w:spacing w:after="0" w:line="22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and applicable law and (d) the Securities issuable upon exercise of such Warrants have been duly authorized and reserved for issuance by all necessary corporate action and, in the case of Warrants to purchase Debt Securities, when the terms of such Debt Securities have been duly authorized and duly established in accordance with the terms of the Indenture, applicable law and the appropriate corporate action and, in the case of Warrants to purchase Common Stock or Preferred Stock, that the exercise price of such Warrants consists of legal consideration at least equal to the par value of such securities, such Warrants will be validly issued and will constitute binding obligations of Commvault enforceable against Commvault in accordance with their terms.</w:t>
      </w:r>
    </w:p>
    <w:p>
      <w:pPr>
        <w:spacing w:after="0" w:line="154" w:lineRule="exact"/>
        <w:rPr>
          <w:sz w:val="20"/>
          <w:szCs w:val="20"/>
          <w:color w:val="auto"/>
        </w:rPr>
      </w:pPr>
    </w:p>
    <w:p>
      <w:pPr>
        <w:jc w:val="both"/>
        <w:ind w:firstLine="656"/>
        <w:spacing w:after="0" w:line="212"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as and if (a) any Stock Purchase Contracts have been duly authorized and duly established in accordance with applicable law, (b) appropriate corporate action has been taken by Commvault to authorize the form, terms, execution and delivery of such Stock Purchase Contracts, (c) Stock Purchase Contracts with such terms have been duly executed, attested, issued and delivered by any applicable Governing Document Counterparty and/or duly authorized officers of Commvault against payment in accordance with such authorization, the applicable Purchase Agreement, applicable Stock Purchase Contract and applicable law, and (d) the Common Stock issuable upon exercise of such Stock Purchase Contracts has been duly authorized and reserved for issuance by all necessary corporate action, such Stock Purchase Contracts will be validly issued and will constitute binding obligations of Commvault enforceable against Commvault in accordance with their terms.</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as and if (a) any Stock Purchase Units have been duly authorized and duly established in accordance with applicable law, (b) appropriate corporate action has been taken by Commvault to authorize the form, terms, execution and delivery of the Stock Purchase Units (including a form of certificate evidencing the Stock Purchase Units) and the related Unit Agreement, (c) the related Unit Agreement has been duly executed and delivered by any applicable Governing Document Counterparty and Commvault in accordance with such authorization, (d) the Stock Purchase Units with such terms have been duly executed, attested, issued and delivered by any applicable Governing Document Counterparty and/or duly authorized officers of Commvault against payment in accordance with such authorization, the applicable Purchase Agreement, applicable Unit Agreement and applicable law and (e) the Common Stock and any other Securities issuable upon exercise of such Stock Purchase Units have been duly authorized and reserved for issuance by all necessary corporate action and, in the case of any Debt Securities issuable thereunder, the terms of such Debt Securities have been duly authorized and duly established in accordance with the terms of the Indenture, applicable law and the appropriate corporate action, such Stock Purchase Units will be validly issued and will constitute binding obligations of Commvault enforceable against Commvault in accordance with their terms.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opinions expressed above that any particular contract constitutes a valid and binding obligation or is enforceable in accordance with its terms (each, an “enforceability opinion”) are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“General principles of equity” include but are not limited to: (A) principles limiting the availability of specific performance and injunctive relief; (B) principles which limit the availability of a remedy under certain circumstances where another remedy has been elected; (C) principles requiring reasonableness, good faith and fair dealing in the performance and enforcement of an agreement by the party seeking enforcement; (D) principles which may permit a party to cure a material failure to perform its obligations; and</w:t>
      </w:r>
    </w:p>
    <w:p>
      <w:pPr>
        <w:sectPr>
          <w:pgSz w:w="11900" w:h="16838" w:orient="portrait"/>
          <w:cols w:equalWidth="0" w:num="1">
            <w:col w:w="11240"/>
          </w:cols>
          <w:pgMar w:left="320" w:top="1030" w:right="339" w:bottom="1440" w:gutter="0" w:footer="0" w:header="0"/>
        </w:sectPr>
      </w:pPr>
    </w:p>
    <w:bookmarkStart w:id="105" w:name="page106"/>
    <w:bookmarkEnd w:id="105"/>
    <w:p>
      <w:pPr>
        <w:ind w:left="128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2951480</wp:posOffset>
            </wp:positionH>
            <wp:positionV relativeFrom="page">
              <wp:posOffset>217170</wp:posOffset>
            </wp:positionV>
            <wp:extent cx="165417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Commvault Systems, Inc.</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October 28, 2026</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Page 6</w:t>
      </w:r>
    </w:p>
    <w:p>
      <w:pPr>
        <w:spacing w:after="0" w:line="250" w:lineRule="exact"/>
        <w:rPr>
          <w:sz w:val="20"/>
          <w:szCs w:val="20"/>
          <w:color w:val="auto"/>
        </w:rPr>
      </w:pPr>
    </w:p>
    <w:p>
      <w:pPr>
        <w:jc w:val="both"/>
        <w:ind w:firstLine="8"/>
        <w:spacing w:after="0" w:line="251" w:lineRule="auto"/>
        <w:tabs>
          <w:tab w:leader="none" w:pos="34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principles affording equitable defenses such as waiver, laches and estoppel. It is possible that terms in a particular contract covered by our enforceability opinion may not prove enforceable for reasons other than those explicitly cited in this opinion should an actual enforcement action be brought, but (subject to all the exceptions, qualifications, exclusions and other limitations contained in this opinion) such unenforceability would not in our opinion prevent the party entitled to enforce that contract from realizing the principal benefits purported to be provided to that party by the terms in that contract which are covered by our enforceability opinion.</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Our advice is limited to the laws of the State of New York and the General Corporation Law of the State of Delaware. None of the opinions or other advice contained in this letter considers or covers any foreign or state securities (or “blue sky”) laws or regulations. We have assumed the Governing Documents will be governed by, and construed in accordance with, the laws of the State of New York.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We express no opinion with respect to the enforceability of (i) consents to, or restrictions upon, judicial relief or jurisdiction or venue; (ii) waivers of rights or defenses with respect to stay, extension or usury laws; (iii) advance waivers of claims, defenses, rights granted by law, or notice, opportunity for hearing, evidentiary requirements, statutes of limitation, trial by jury or at law, or other procedural rights; (iv) waivers of broadly or vaguely stated rights; (v) provisions for exclusivity, election or cumulation of rights or remedies; (vi) provisions authorizing or validating conclusive or discretionary determinations; (vii) grants of setoff rights; (viii) provisions for the payment of attorneys’ fees where such payment is contrary to law or public policy;</w:t>
      </w:r>
    </w:p>
    <w:p>
      <w:pPr>
        <w:spacing w:after="0" w:line="1" w:lineRule="exact"/>
        <w:rPr>
          <w:sz w:val="20"/>
          <w:szCs w:val="20"/>
          <w:color w:val="auto"/>
        </w:rPr>
      </w:pPr>
    </w:p>
    <w:p>
      <w:pPr>
        <w:jc w:val="both"/>
        <w:ind w:firstLine="8"/>
        <w:spacing w:after="0" w:line="255" w:lineRule="auto"/>
        <w:tabs>
          <w:tab w:leader="none" w:pos="43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proxies, powers and trusts; (x) restrictions upon non-written modifications and waivers; (xi) provisions prohibiting, restricting, or requiring consent to assignment or transfer of any right or property; (xii) any provision to the extent it requires any party to indemnify any other person against loss in obtaining the currency due following a court judgment in another currency;</w:t>
      </w:r>
    </w:p>
    <w:p>
      <w:pPr>
        <w:spacing w:after="0" w:line="1" w:lineRule="exact"/>
        <w:rPr>
          <w:rFonts w:ascii="Times New Roman" w:cs="Times New Roman" w:eastAsia="Times New Roman" w:hAnsi="Times New Roman"/>
          <w:sz w:val="21"/>
          <w:szCs w:val="21"/>
          <w:color w:val="auto"/>
        </w:rPr>
      </w:pPr>
    </w:p>
    <w:p>
      <w:pPr>
        <w:jc w:val="both"/>
        <w:ind w:firstLine="8"/>
        <w:spacing w:after="0" w:line="260" w:lineRule="auto"/>
        <w:tabs>
          <w:tab w:leader="none" w:pos="53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provisions for liquidated damages, default interest, late charges, monetary penalties, make-whole premiums or other economic remedies to the extent such provisions are deemed to constitute a penalty; and (xiv) any rights to contribution or indemnification which may be violative of public policy underlying any law, rule or regulation (including federal or state securities law, rule or regulation) or the enforceability of any so-called fraudulent conveyance or fraudulent transfer “savings clause” (and any similar provision in any other document or agreement) to the extent such provisions purport to limit the amount of the obligations of any party or the right to contribution of any other party with respect to such obligations. In addition, we express no opinion with respect to (i) whether acceleration of the Debt Securities may affect the collectability of that portion of the stated principal amount thereof that might be determined to constitute unearned interest thereon, (ii) compliance with laws relating to permissible rates of interest or (iii) the creation, validity, perfection or priority of any security interest or lien.</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To the extent that the obligations of Commvault under any Governing Document may be dependent on such matters, we assume for purposes of this opinion that the applicable Governing Document Counterparty is duly organized, validly existing and in good standing under the laws of its jurisdiction of organization; that the applicable Governing Document</w:t>
      </w:r>
    </w:p>
    <w:p>
      <w:pPr>
        <w:sectPr>
          <w:pgSz w:w="11900" w:h="16838" w:orient="portrait"/>
          <w:cols w:equalWidth="0" w:num="1">
            <w:col w:w="11240"/>
          </w:cols>
          <w:pgMar w:left="320" w:top="1030" w:right="339" w:bottom="1440" w:gutter="0" w:footer="0" w:header="0"/>
        </w:sectPr>
      </w:pPr>
    </w:p>
    <w:bookmarkStart w:id="106" w:name="page107"/>
    <w:bookmarkEnd w:id="106"/>
    <w:p>
      <w:pPr>
        <w:ind w:left="128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2951480</wp:posOffset>
            </wp:positionH>
            <wp:positionV relativeFrom="page">
              <wp:posOffset>217170</wp:posOffset>
            </wp:positionV>
            <wp:extent cx="165417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Commvault Systems, Inc.</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October 28, 2026</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Page 7</w:t>
      </w: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Counterparty is duly qualified to engage in the activities contemplated by the applicable Governing Document; that the applicable Governing Document has been duly authorized, executed and delivered by the applicable Governing Document Counterparty and constitutes the legally valid and binding obligations of such Governing Document Counterparty, enforceable against such Governing Document Counterparty in accordance with its terms; that the applicable Governing Document Counterparty is in compliance, generally and with respect to acting as Trustee, Warrant Agent, Depositary or other Governing Document Counterparty, as the case may be, under the applicable Governing Document, with all applicable laws and regulations; and that the applicable Governing Document Counterparty has the requisite organizational and legal power and authority to perform its obligations under the applicable Governing Document.</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opinion is limited to the specific issues addressed herein, and no opinion may be inferred or implied beyond that expressly stated herein. The Securities may be issued from time to time on a delayed or continuous basis, and this opinion is limited to the laws, including the rules and regulations, as in effect on the date hereof, which laws are subject to change with possible retroactive effect. This opinion speaks only as of the date hereof and we assume no obligation to revise or supplement this opinion after the date hereof.</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opinion is furnished to you in connection with the filing of the Registration Statement and in accordance with the requirements of Item 601(b)(5)(i) of Regulation S-K promulgated under the Securities Act, and may be relied upon by you and by persons entitled to rely upon it pursuant to the applicable provisions of the Securities Act.</w:t>
      </w:r>
    </w:p>
    <w:p>
      <w:pPr>
        <w:spacing w:after="0" w:line="1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KIRKLAND &amp; ELLIS LLP</w:t>
      </w:r>
    </w:p>
    <w:p>
      <w:pPr>
        <w:sectPr>
          <w:pgSz w:w="11900" w:h="16838" w:orient="portrait"/>
          <w:cols w:equalWidth="0" w:num="1">
            <w:col w:w="11240"/>
          </w:cols>
          <w:pgMar w:left="320" w:top="103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1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We consent to the reference to our firm under the caption "Experts" in this Registration Statement (Form S-3) and related Prospectus of Commvault Systems, Inc. for the registration of common stock, preferred stock, depositary shares, debt securities, warrants, stock purchase contracts, and stock purchase units and to the incorporation by reference therein of our reports dated May 11, 2026, with respect to the consolidated financial statements of Commvault Systems, Inc., and the effectiveness of internal control over financial reporting of Commvault Systems, Inc. included in its Annual Report (Form 10-K) for the year ended March 31, 2026, filed with the Securities and Exchange Commission.</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October 28, 2026</w:t>
      </w:r>
    </w:p>
    <w:p>
      <w:pPr>
        <w:sectPr>
          <w:pgSz w:w="11900" w:h="16838" w:orient="portrait"/>
          <w:cols w:equalWidth="0" w:num="1">
            <w:col w:w="11240"/>
          </w:cols>
          <w:pgMar w:left="320" w:top="122" w:right="339" w:bottom="1440" w:gutter="0" w:footer="0" w:header="0"/>
        </w:sectPr>
      </w:pPr>
    </w:p>
    <w:bookmarkStart w:id="108" w:name="page109"/>
    <w:bookmarkEnd w:id="108"/>
    <w:p>
      <w:pPr>
        <w:ind w:left="1460"/>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_____________________________________________________________________________</w:t>
      </w:r>
    </w:p>
    <w:p>
      <w:pPr>
        <w:spacing w:after="0" w:line="2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T-1</w:t>
      </w:r>
    </w:p>
    <w:p>
      <w:pPr>
        <w:spacing w:after="0" w:line="27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STATEMENT OF ELIGIBILITY UNDER</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THE TRUST INDENTURE ACT OF 1939 OF A</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CORPORATION DESIGNATED TO ACT AS TRUSTEE</w:t>
      </w:r>
    </w:p>
    <w:p>
      <w:pPr>
        <w:spacing w:after="0" w:line="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color w:val="auto"/>
        </w:rPr>
        <w:t>Check if an Application to Determine Eligibility of</w:t>
      </w:r>
    </w:p>
    <w:p>
      <w:pPr>
        <w:jc w:val="center"/>
        <w:ind w:right="-139"/>
        <w:spacing w:after="0" w:line="230" w:lineRule="exact"/>
        <w:rPr>
          <w:sz w:val="20"/>
          <w:szCs w:val="20"/>
          <w:color w:val="auto"/>
        </w:rPr>
      </w:pPr>
      <w:r>
        <w:rPr>
          <w:rFonts w:ascii="Times New Roman" w:cs="Times New Roman" w:eastAsia="Times New Roman" w:hAnsi="Times New Roman"/>
          <w:sz w:val="20"/>
          <w:szCs w:val="20"/>
          <w:color w:val="auto"/>
        </w:rPr>
        <w:t xml:space="preserve">a Trustee Pursuant to Section 305(b)(2) </w:t>
      </w:r>
      <w:r>
        <w:rPr>
          <w:rFonts w:ascii="MS PGothic" w:cs="MS PGothic" w:eastAsia="MS PGothic" w:hAnsi="MS PGothic"/>
          <w:sz w:val="20"/>
          <w:szCs w:val="20"/>
          <w:color w:val="auto"/>
        </w:rPr>
        <w:t>☐</w:t>
      </w:r>
    </w:p>
    <w:p>
      <w:pPr>
        <w:spacing w:after="0" w:line="2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w:t>
      </w: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U.S. BANK TRUST COMPANY, NATIONAL ASSOCIATION</w:t>
      </w:r>
    </w:p>
    <w:p>
      <w:pPr>
        <w:spacing w:after="0" w:line="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(Exact name of Trustee as specified in its charter)</w:t>
      </w: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91-1821036</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560" w:type="dxa"/>
            <w:vAlign w:val="bottom"/>
            <w:tcBorders>
              <w:top w:val="single" w:sz="8" w:color="auto"/>
              <w:left w:val="single" w:sz="8" w:color="auto"/>
              <w:right w:val="single" w:sz="8" w:color="auto"/>
            </w:tcBorders>
            <w:gridSpan w:val="2"/>
          </w:tcPr>
          <w:p>
            <w:pPr>
              <w:jc w:val="center"/>
              <w:spacing w:after="0" w:line="260" w:lineRule="exact"/>
              <w:rPr>
                <w:sz w:val="20"/>
                <w:szCs w:val="20"/>
                <w:color w:val="auto"/>
              </w:rPr>
            </w:pPr>
            <w:r>
              <w:rPr>
                <w:rFonts w:ascii="Times New Roman" w:cs="Times New Roman" w:eastAsia="Times New Roman" w:hAnsi="Times New Roman"/>
                <w:sz w:val="20"/>
                <w:szCs w:val="20"/>
                <w:color w:val="auto"/>
                <w:w w:val="96"/>
              </w:rPr>
              <w:t>200 South 6</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Street</w:t>
            </w:r>
          </w:p>
        </w:tc>
        <w:tc>
          <w:tcPr>
            <w:tcW w:w="1480" w:type="dxa"/>
            <w:vAlign w:val="bottom"/>
            <w:tcBorders>
              <w:top w:val="single" w:sz="8" w:color="auto"/>
            </w:tcBorders>
          </w:tcPr>
          <w:p>
            <w:pPr>
              <w:spacing w:after="0"/>
              <w:rPr>
                <w:sz w:val="22"/>
                <w:szCs w:val="22"/>
                <w:color w:val="auto"/>
              </w:rPr>
            </w:pPr>
          </w:p>
        </w:tc>
        <w:tc>
          <w:tcPr>
            <w:tcW w:w="4040" w:type="dxa"/>
            <w:vAlign w:val="bottom"/>
            <w:tcBorders>
              <w:top w:val="single" w:sz="8" w:color="auto"/>
            </w:tcBorders>
          </w:tcPr>
          <w:p>
            <w:pPr>
              <w:spacing w:after="0"/>
              <w:rPr>
                <w:sz w:val="22"/>
                <w:szCs w:val="22"/>
                <w:color w:val="auto"/>
              </w:rPr>
            </w:pPr>
          </w:p>
        </w:tc>
        <w:tc>
          <w:tcPr>
            <w:tcW w:w="40" w:type="dxa"/>
            <w:vAlign w:val="bottom"/>
            <w:tcBorders>
              <w:top w:val="single" w:sz="8" w:color="auto"/>
              <w:right w:val="single" w:sz="8" w:color="auto"/>
            </w:tcBorders>
          </w:tcPr>
          <w:p>
            <w:pPr>
              <w:spacing w:after="0"/>
              <w:rPr>
                <w:sz w:val="22"/>
                <w:szCs w:val="22"/>
                <w:color w:val="auto"/>
              </w:rPr>
            </w:pPr>
          </w:p>
        </w:tc>
      </w:tr>
      <w:tr>
        <w:trPr>
          <w:trHeight w:val="258"/>
        </w:trPr>
        <w:tc>
          <w:tcPr>
            <w:tcW w:w="55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Minneapolis, Minnesota</w:t>
            </w:r>
          </w:p>
        </w:tc>
        <w:tc>
          <w:tcPr>
            <w:tcW w:w="1480" w:type="dxa"/>
            <w:vAlign w:val="bottom"/>
          </w:tcPr>
          <w:p>
            <w:pPr>
              <w:spacing w:after="0"/>
              <w:rPr>
                <w:sz w:val="22"/>
                <w:szCs w:val="22"/>
                <w:color w:val="auto"/>
              </w:rPr>
            </w:pPr>
          </w:p>
        </w:tc>
        <w:tc>
          <w:tcPr>
            <w:tcW w:w="4040" w:type="dxa"/>
            <w:vAlign w:val="bottom"/>
          </w:tcPr>
          <w:p>
            <w:pPr>
              <w:jc w:val="right"/>
              <w:ind w:right="2408"/>
              <w:spacing w:after="0"/>
              <w:rPr>
                <w:sz w:val="20"/>
                <w:szCs w:val="20"/>
                <w:color w:val="auto"/>
              </w:rPr>
            </w:pPr>
            <w:r>
              <w:rPr>
                <w:rFonts w:ascii="Times New Roman" w:cs="Times New Roman" w:eastAsia="Times New Roman" w:hAnsi="Times New Roman"/>
                <w:sz w:val="20"/>
                <w:szCs w:val="20"/>
                <w:color w:val="auto"/>
              </w:rPr>
              <w:t>55402</w:t>
            </w:r>
          </w:p>
        </w:tc>
        <w:tc>
          <w:tcPr>
            <w:tcW w:w="40" w:type="dxa"/>
            <w:vAlign w:val="bottom"/>
            <w:tcBorders>
              <w:right w:val="single" w:sz="8" w:color="auto"/>
            </w:tcBorders>
          </w:tcPr>
          <w:p>
            <w:pPr>
              <w:spacing w:after="0"/>
              <w:rPr>
                <w:sz w:val="22"/>
                <w:szCs w:val="22"/>
                <w:color w:val="auto"/>
              </w:rPr>
            </w:pPr>
          </w:p>
        </w:tc>
      </w:tr>
      <w:tr>
        <w:trPr>
          <w:trHeight w:val="34"/>
        </w:trPr>
        <w:tc>
          <w:tcPr>
            <w:tcW w:w="542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r>
      <w:tr>
        <w:trPr>
          <w:trHeight w:val="230"/>
        </w:trPr>
        <w:tc>
          <w:tcPr>
            <w:tcW w:w="55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gridSpan w:val="2"/>
          </w:tcPr>
          <w:p>
            <w:pPr>
              <w:jc w:val="center"/>
              <w:ind w:right="1520"/>
              <w:spacing w:after="0"/>
              <w:rPr>
                <w:sz w:val="20"/>
                <w:szCs w:val="20"/>
                <w:color w:val="auto"/>
              </w:rPr>
            </w:pPr>
            <w:r>
              <w:rPr>
                <w:rFonts w:ascii="Times New Roman" w:cs="Times New Roman" w:eastAsia="Times New Roman" w:hAnsi="Times New Roman"/>
                <w:sz w:val="16"/>
                <w:szCs w:val="16"/>
                <w:color w:val="auto"/>
              </w:rPr>
              <w:t>(Zip Code)</w:t>
            </w:r>
          </w:p>
        </w:tc>
      </w:tr>
      <w:tr>
        <w:trPr>
          <w:trHeight w:val="693"/>
        </w:trPr>
        <w:tc>
          <w:tcPr>
            <w:tcW w:w="7040" w:type="dxa"/>
            <w:vAlign w:val="bottom"/>
            <w:gridSpan w:val="3"/>
          </w:tcPr>
          <w:p>
            <w:pPr>
              <w:jc w:val="center"/>
              <w:ind w:left="4104"/>
              <w:spacing w:after="0"/>
              <w:rPr>
                <w:sz w:val="20"/>
                <w:szCs w:val="20"/>
                <w:color w:val="auto"/>
              </w:rPr>
            </w:pPr>
            <w:r>
              <w:rPr>
                <w:rFonts w:ascii="Times New Roman" w:cs="Times New Roman" w:eastAsia="Times New Roman" w:hAnsi="Times New Roman"/>
                <w:sz w:val="20"/>
                <w:szCs w:val="20"/>
                <w:color w:val="auto"/>
                <w:w w:val="98"/>
              </w:rPr>
              <w:t>Gregory M. Jackson</w:t>
            </w: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1120" w:type="dxa"/>
            <w:vAlign w:val="bottom"/>
            <w:gridSpan w:val="5"/>
          </w:tcPr>
          <w:p>
            <w:pPr>
              <w:jc w:val="center"/>
              <w:ind w:left="24"/>
              <w:spacing w:after="0"/>
              <w:rPr>
                <w:sz w:val="20"/>
                <w:szCs w:val="20"/>
                <w:color w:val="auto"/>
              </w:rPr>
            </w:pPr>
            <w:r>
              <w:rPr>
                <w:rFonts w:ascii="Times New Roman" w:cs="Times New Roman" w:eastAsia="Times New Roman" w:hAnsi="Times New Roman"/>
                <w:sz w:val="20"/>
                <w:szCs w:val="20"/>
                <w:color w:val="auto"/>
                <w:w w:val="98"/>
              </w:rPr>
              <w:t>U.S. Bank Trust Company, National Association</w:t>
            </w:r>
          </w:p>
        </w:tc>
      </w:tr>
      <w:tr>
        <w:trPr>
          <w:trHeight w:val="243"/>
        </w:trPr>
        <w:tc>
          <w:tcPr>
            <w:tcW w:w="7040" w:type="dxa"/>
            <w:vAlign w:val="bottom"/>
            <w:gridSpan w:val="3"/>
          </w:tcPr>
          <w:p>
            <w:pPr>
              <w:jc w:val="center"/>
              <w:ind w:left="4104"/>
              <w:spacing w:after="0"/>
              <w:rPr>
                <w:sz w:val="20"/>
                <w:szCs w:val="20"/>
                <w:color w:val="auto"/>
              </w:rPr>
            </w:pPr>
            <w:r>
              <w:rPr>
                <w:rFonts w:ascii="Times New Roman" w:cs="Times New Roman" w:eastAsia="Times New Roman" w:hAnsi="Times New Roman"/>
                <w:sz w:val="20"/>
                <w:szCs w:val="20"/>
                <w:color w:val="auto"/>
                <w:w w:val="99"/>
              </w:rPr>
              <w:t>214 N. Tryon St, Suite 2700</w:t>
            </w:r>
          </w:p>
        </w:tc>
        <w:tc>
          <w:tcPr>
            <w:tcW w:w="4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7040" w:type="dxa"/>
            <w:vAlign w:val="bottom"/>
            <w:gridSpan w:val="3"/>
          </w:tcPr>
          <w:p>
            <w:pPr>
              <w:jc w:val="center"/>
              <w:ind w:left="4104"/>
              <w:spacing w:after="0"/>
              <w:rPr>
                <w:sz w:val="20"/>
                <w:szCs w:val="20"/>
                <w:color w:val="auto"/>
              </w:rPr>
            </w:pPr>
            <w:r>
              <w:rPr>
                <w:rFonts w:ascii="Times New Roman" w:cs="Times New Roman" w:eastAsia="Times New Roman" w:hAnsi="Times New Roman"/>
                <w:sz w:val="20"/>
                <w:szCs w:val="20"/>
                <w:color w:val="auto"/>
                <w:w w:val="98"/>
              </w:rPr>
              <w:t>Charlotte NC 28202</w:t>
            </w:r>
          </w:p>
        </w:tc>
        <w:tc>
          <w:tcPr>
            <w:tcW w:w="4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7040" w:type="dxa"/>
            <w:vAlign w:val="bottom"/>
            <w:gridSpan w:val="3"/>
          </w:tcPr>
          <w:p>
            <w:pPr>
              <w:jc w:val="center"/>
              <w:ind w:left="4104"/>
              <w:spacing w:after="0"/>
              <w:rPr>
                <w:sz w:val="20"/>
                <w:szCs w:val="20"/>
                <w:color w:val="auto"/>
              </w:rPr>
            </w:pPr>
            <w:r>
              <w:rPr>
                <w:rFonts w:ascii="Times New Roman" w:cs="Times New Roman" w:eastAsia="Times New Roman" w:hAnsi="Times New Roman"/>
                <w:sz w:val="20"/>
                <w:szCs w:val="20"/>
                <w:color w:val="auto"/>
                <w:w w:val="99"/>
              </w:rPr>
              <w:t>(404) 898-8837</w:t>
            </w:r>
          </w:p>
        </w:tc>
        <w:tc>
          <w:tcPr>
            <w:tcW w:w="4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7"/>
        </w:trPr>
        <w:tc>
          <w:tcPr>
            <w:tcW w:w="11120" w:type="dxa"/>
            <w:vAlign w:val="bottom"/>
            <w:gridSpan w:val="5"/>
          </w:tcPr>
          <w:p>
            <w:pPr>
              <w:jc w:val="center"/>
              <w:ind w:left="24"/>
              <w:spacing w:after="0"/>
              <w:rPr>
                <w:sz w:val="20"/>
                <w:szCs w:val="20"/>
                <w:color w:val="auto"/>
              </w:rPr>
            </w:pPr>
            <w:r>
              <w:rPr>
                <w:rFonts w:ascii="Times New Roman" w:cs="Times New Roman" w:eastAsia="Times New Roman" w:hAnsi="Times New Roman"/>
                <w:sz w:val="16"/>
                <w:szCs w:val="16"/>
                <w:color w:val="auto"/>
              </w:rPr>
              <w:t>(Name, address and telephone number of agent for service)</w:t>
            </w:r>
          </w:p>
        </w:tc>
      </w:tr>
      <w:tr>
        <w:trPr>
          <w:trHeight w:val="312"/>
        </w:trPr>
        <w:tc>
          <w:tcPr>
            <w:tcW w:w="7040" w:type="dxa"/>
            <w:vAlign w:val="bottom"/>
            <w:gridSpan w:val="3"/>
          </w:tcPr>
          <w:p>
            <w:pPr>
              <w:jc w:val="center"/>
              <w:ind w:left="4124"/>
              <w:spacing w:after="0"/>
              <w:rPr>
                <w:sz w:val="20"/>
                <w:szCs w:val="20"/>
                <w:color w:val="auto"/>
              </w:rPr>
            </w:pPr>
            <w:r>
              <w:rPr>
                <w:rFonts w:ascii="Times New Roman" w:cs="Times New Roman" w:eastAsia="Times New Roman" w:hAnsi="Times New Roman"/>
                <w:sz w:val="25"/>
                <w:szCs w:val="25"/>
                <w:b w:val="1"/>
                <w:bCs w:val="1"/>
                <w:color w:val="auto"/>
              </w:rPr>
              <w:t>Commvault Systems, Inc.</w:t>
            </w: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7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(Issuer with respect to the Securities)</w:t>
            </w:r>
          </w:p>
        </w:tc>
        <w:tc>
          <w:tcPr>
            <w:tcW w:w="40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95"/>
        </w:trPr>
        <w:tc>
          <w:tcPr>
            <w:tcW w:w="5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40" w:type="dxa"/>
            <w:vAlign w:val="bottom"/>
            <w:tcBorders>
              <w:right w:val="single" w:sz="8" w:color="auto"/>
            </w:tcBorders>
          </w:tcPr>
          <w:p>
            <w:pPr>
              <w:jc w:val="right"/>
              <w:ind w:right="2228"/>
              <w:spacing w:after="0"/>
              <w:rPr>
                <w:sz w:val="20"/>
                <w:szCs w:val="20"/>
                <w:color w:val="auto"/>
              </w:rPr>
            </w:pPr>
            <w:r>
              <w:rPr>
                <w:rFonts w:ascii="Times New Roman" w:cs="Times New Roman" w:eastAsia="Times New Roman" w:hAnsi="Times New Roman"/>
                <w:sz w:val="22"/>
                <w:szCs w:val="22"/>
                <w:color w:val="auto"/>
              </w:rPr>
              <w:t>22-3447504</w:t>
            </w:r>
          </w:p>
        </w:tc>
        <w:tc>
          <w:tcPr>
            <w:tcW w:w="40" w:type="dxa"/>
            <w:vAlign w:val="bottom"/>
          </w:tcPr>
          <w:p>
            <w:pPr>
              <w:spacing w:after="0"/>
              <w:rPr>
                <w:sz w:val="24"/>
                <w:szCs w:val="24"/>
                <w:color w:val="auto"/>
              </w:rPr>
            </w:pPr>
          </w:p>
        </w:tc>
      </w:tr>
      <w:tr>
        <w:trPr>
          <w:trHeight w:val="177"/>
        </w:trPr>
        <w:tc>
          <w:tcPr>
            <w:tcW w:w="5420" w:type="dxa"/>
            <w:vAlign w:val="bottom"/>
            <w:tcBorders>
              <w:left w:val="single" w:sz="8" w:color="auto"/>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gridSpan w:val="2"/>
          </w:tcPr>
          <w:p>
            <w:pPr>
              <w:spacing w:after="0"/>
              <w:rPr>
                <w:sz w:val="15"/>
                <w:szCs w:val="15"/>
                <w:color w:val="auto"/>
              </w:rPr>
            </w:pPr>
          </w:p>
        </w:tc>
        <w:tc>
          <w:tcPr>
            <w:tcW w:w="40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7"/>
        </w:trPr>
        <w:tc>
          <w:tcPr>
            <w:tcW w:w="5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620" w:type="dxa"/>
            <w:vAlign w:val="bottom"/>
            <w:gridSpan w:val="2"/>
          </w:tcPr>
          <w:p>
            <w:pPr>
              <w:spacing w:after="0"/>
              <w:rPr>
                <w:sz w:val="18"/>
                <w:szCs w:val="18"/>
                <w:color w:val="auto"/>
              </w:rPr>
            </w:pPr>
          </w:p>
        </w:tc>
        <w:tc>
          <w:tcPr>
            <w:tcW w:w="4040" w:type="dxa"/>
            <w:vAlign w:val="bottom"/>
            <w:tcBorders>
              <w:right w:val="single" w:sz="8" w:color="auto"/>
            </w:tcBorders>
          </w:tcPr>
          <w:p>
            <w:pPr>
              <w:jc w:val="center"/>
              <w:ind w:right="1548"/>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40" w:type="dxa"/>
            <w:vAlign w:val="bottom"/>
          </w:tcPr>
          <w:p>
            <w:pPr>
              <w:spacing w:after="0"/>
              <w:rPr>
                <w:sz w:val="18"/>
                <w:szCs w:val="18"/>
                <w:color w:val="auto"/>
              </w:rPr>
            </w:pPr>
          </w:p>
        </w:tc>
      </w:tr>
      <w:tr>
        <w:trPr>
          <w:trHeight w:val="182"/>
        </w:trPr>
        <w:tc>
          <w:tcPr>
            <w:tcW w:w="5420" w:type="dxa"/>
            <w:vAlign w:val="bottom"/>
            <w:tcBorders>
              <w:left w:val="single" w:sz="8" w:color="auto"/>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0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5420" w:type="dxa"/>
            <w:vAlign w:val="bottom"/>
            <w:tcBorders>
              <w:left w:val="single" w:sz="8" w:color="auto"/>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04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 Commvault Way</w:t>
            </w:r>
          </w:p>
        </w:tc>
        <w:tc>
          <w:tcPr>
            <w:tcW w:w="5660" w:type="dxa"/>
            <w:vAlign w:val="bottom"/>
            <w:tcBorders>
              <w:top w:val="single" w:sz="8" w:color="auto"/>
              <w:right w:val="single" w:sz="8" w:color="auto"/>
            </w:tcBorders>
            <w:vMerge w:val="restart"/>
          </w:tcPr>
          <w:p>
            <w:pPr>
              <w:jc w:val="right"/>
              <w:ind w:right="2486"/>
              <w:spacing w:after="0"/>
              <w:rPr>
                <w:sz w:val="20"/>
                <w:szCs w:val="20"/>
                <w:color w:val="auto"/>
              </w:rPr>
            </w:pPr>
            <w:r>
              <w:rPr>
                <w:rFonts w:ascii="Times New Roman" w:cs="Times New Roman" w:eastAsia="Times New Roman" w:hAnsi="Times New Roman"/>
                <w:sz w:val="22"/>
                <w:szCs w:val="22"/>
                <w:color w:val="auto"/>
              </w:rPr>
              <w:t>07724</w:t>
            </w:r>
          </w:p>
        </w:tc>
        <w:tc>
          <w:tcPr>
            <w:tcW w:w="0" w:type="dxa"/>
            <w:vAlign w:val="bottom"/>
          </w:tcPr>
          <w:p>
            <w:pPr>
              <w:spacing w:after="0"/>
              <w:rPr>
                <w:sz w:val="1"/>
                <w:szCs w:val="1"/>
                <w:color w:val="auto"/>
              </w:rPr>
            </w:pPr>
          </w:p>
        </w:tc>
      </w:tr>
      <w:tr>
        <w:trPr>
          <w:trHeight w:val="291"/>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Tinton Falls, NJ</w:t>
            </w:r>
          </w:p>
        </w:tc>
        <w:tc>
          <w:tcPr>
            <w:tcW w:w="566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(Title of the Indenture Securities)</w:t>
      </w:r>
    </w:p>
    <w:p>
      <w:pPr>
        <w:sectPr>
          <w:pgSz w:w="11900" w:h="16838" w:orient="portrait"/>
          <w:cols w:equalWidth="0" w:num="1">
            <w:col w:w="11100"/>
          </w:cols>
          <w:pgMar w:left="320" w:top="1287" w:right="479" w:bottom="1440" w:gutter="0" w:footer="0" w:header="0"/>
        </w:sectPr>
      </w:pPr>
    </w:p>
    <w:bookmarkStart w:id="109" w:name="page110"/>
    <w:bookmarkEnd w:id="109"/>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FORM T-1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GENERAL INFORMATION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Furnish the following information as to the Trustee.</w:t>
      </w:r>
    </w:p>
    <w:p>
      <w:pPr>
        <w:spacing w:after="0" w:line="249" w:lineRule="exact"/>
        <w:rPr>
          <w:sz w:val="20"/>
          <w:szCs w:val="20"/>
          <w:color w:val="auto"/>
        </w:rPr>
      </w:pPr>
    </w:p>
    <w:p>
      <w:pPr>
        <w:ind w:left="660" w:right="2540" w:firstLine="320"/>
        <w:spacing w:after="0" w:line="256" w:lineRule="auto"/>
        <w:tabs>
          <w:tab w:leader="none" w:pos="1368"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Name and address of each examining or supervising authority to which it is subject. </w:t>
      </w:r>
      <w:r>
        <w:rPr>
          <w:rFonts w:ascii="Times New Roman" w:cs="Times New Roman" w:eastAsia="Times New Roman" w:hAnsi="Times New Roman"/>
          <w:sz w:val="22"/>
          <w:szCs w:val="22"/>
          <w:color w:val="auto"/>
        </w:rPr>
        <w:t>Comptroller of the Currency</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Washington, D.C.</w:t>
      </w:r>
    </w:p>
    <w:p>
      <w:pPr>
        <w:spacing w:after="0" w:line="218" w:lineRule="exact"/>
        <w:rPr>
          <w:rFonts w:ascii="Times New Roman" w:cs="Times New Roman" w:eastAsia="Times New Roman" w:hAnsi="Times New Roman"/>
          <w:sz w:val="22"/>
          <w:szCs w:val="22"/>
          <w:color w:val="auto"/>
        </w:rPr>
      </w:pPr>
    </w:p>
    <w:p>
      <w:pPr>
        <w:ind w:left="840" w:hanging="400"/>
        <w:spacing w:after="0"/>
        <w:tabs>
          <w:tab w:leader="none" w:pos="8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Whether it is authorized to exercise corporate trust powers.</w:t>
      </w:r>
    </w:p>
    <w:p>
      <w:pPr>
        <w:spacing w:after="0" w:line="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Yes</w:t>
      </w:r>
    </w:p>
    <w:p>
      <w:pPr>
        <w:spacing w:after="0" w:line="230" w:lineRule="exact"/>
        <w:rPr>
          <w:sz w:val="20"/>
          <w:szCs w:val="20"/>
          <w:color w:val="auto"/>
        </w:rPr>
      </w:pPr>
    </w:p>
    <w:p>
      <w:pPr>
        <w:ind w:left="440" w:right="260" w:hanging="431"/>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Item 2. AFFILIATIONS WITH THE OBLIGOR. </w:t>
      </w:r>
      <w:r>
        <w:rPr>
          <w:rFonts w:ascii="Times New Roman" w:cs="Times New Roman" w:eastAsia="Times New Roman" w:hAnsi="Times New Roman"/>
          <w:sz w:val="22"/>
          <w:szCs w:val="22"/>
          <w:i w:val="1"/>
          <w:iCs w:val="1"/>
          <w:color w:val="auto"/>
        </w:rPr>
        <w:t>If the obligor is an affiliate of the Trustee, describe each such affiliation.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w:t>
      </w:r>
    </w:p>
    <w:p>
      <w:pPr>
        <w:spacing w:after="0" w:line="176" w:lineRule="exact"/>
        <w:rPr>
          <w:sz w:val="20"/>
          <w:szCs w:val="20"/>
          <w:color w:val="auto"/>
        </w:rPr>
      </w:pPr>
    </w:p>
    <w:p>
      <w:pPr>
        <w:ind w:left="1180" w:hanging="1295"/>
        <w:spacing w:after="0" w:line="275" w:lineRule="auto"/>
        <w:tabs>
          <w:tab w:leader="none" w:pos="1160" w:val="left"/>
        </w:tabs>
        <w:rPr>
          <w:sz w:val="20"/>
          <w:szCs w:val="20"/>
          <w:color w:val="auto"/>
        </w:rPr>
      </w:pPr>
      <w:r>
        <w:rPr>
          <w:rFonts w:ascii="Times New Roman" w:cs="Times New Roman" w:eastAsia="Times New Roman" w:hAnsi="Times New Roman"/>
          <w:sz w:val="22"/>
          <w:szCs w:val="22"/>
          <w:b w:val="1"/>
          <w:bCs w:val="1"/>
          <w:color w:val="auto"/>
        </w:rPr>
        <w:t>Items 3-15</w:t>
      </w:r>
      <w:r>
        <w:rPr>
          <w:sz w:val="20"/>
          <w:szCs w:val="20"/>
          <w:color w:val="auto"/>
        </w:rPr>
        <w:tab/>
      </w:r>
      <w:r>
        <w:rPr>
          <w:rFonts w:ascii="Times New Roman" w:cs="Times New Roman" w:eastAsia="Times New Roman" w:hAnsi="Times New Roman"/>
          <w:sz w:val="22"/>
          <w:szCs w:val="22"/>
          <w:i w:val="1"/>
          <w:iCs w:val="1"/>
          <w:color w:val="auto"/>
        </w:rPr>
        <w:t>Items 3-15 are not applicable because to the best of the Trustee's knowledge, the obligor is not in default under any Indenture for which the Trustee acts as 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16. LIST OF EXHIBITS: </w:t>
      </w:r>
      <w:r>
        <w:rPr>
          <w:rFonts w:ascii="Times New Roman" w:cs="Times New Roman" w:eastAsia="Times New Roman" w:hAnsi="Times New Roman"/>
          <w:sz w:val="22"/>
          <w:szCs w:val="22"/>
          <w:i w:val="1"/>
          <w:iCs w:val="1"/>
          <w:color w:val="auto"/>
        </w:rPr>
        <w:t>List below all exhibits filed as a part of this statement of eligibility and qualification.</w:t>
      </w:r>
    </w:p>
    <w:p>
      <w:pPr>
        <w:spacing w:after="0" w:line="251" w:lineRule="exact"/>
        <w:rPr>
          <w:sz w:val="20"/>
          <w:szCs w:val="20"/>
          <w:color w:val="auto"/>
        </w:rPr>
      </w:pPr>
    </w:p>
    <w:p>
      <w:pPr>
        <w:ind w:left="440" w:hanging="216"/>
        <w:spacing w:after="0"/>
        <w:tabs>
          <w:tab w:leader="none" w:pos="4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Articles of Association of the Trustee, attached as Exhibit 1.</w:t>
      </w:r>
    </w:p>
    <w:p>
      <w:pPr>
        <w:spacing w:after="0" w:line="246" w:lineRule="exact"/>
        <w:rPr>
          <w:rFonts w:ascii="Times New Roman" w:cs="Times New Roman" w:eastAsia="Times New Roman" w:hAnsi="Times New Roman"/>
          <w:sz w:val="22"/>
          <w:szCs w:val="22"/>
          <w:color w:val="auto"/>
        </w:rPr>
      </w:pPr>
    </w:p>
    <w:p>
      <w:pPr>
        <w:ind w:left="440" w:hanging="216"/>
        <w:spacing w:after="0"/>
        <w:tabs>
          <w:tab w:leader="none" w:pos="4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certificate of authority of the Trustee to commence business, attached as Exhibit 2.</w:t>
      </w:r>
    </w:p>
    <w:p>
      <w:pPr>
        <w:spacing w:after="0" w:line="260" w:lineRule="exact"/>
        <w:rPr>
          <w:rFonts w:ascii="Times New Roman" w:cs="Times New Roman" w:eastAsia="Times New Roman" w:hAnsi="Times New Roman"/>
          <w:sz w:val="22"/>
          <w:szCs w:val="22"/>
          <w:color w:val="auto"/>
        </w:rPr>
      </w:pPr>
    </w:p>
    <w:p>
      <w:pPr>
        <w:ind w:left="440" w:hanging="216"/>
        <w:spacing w:after="0"/>
        <w:tabs>
          <w:tab w:leader="none" w:pos="4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authorization of the Trustee to exercise corporate trust powers, included as Exhibit 2.</w:t>
      </w:r>
    </w:p>
    <w:p>
      <w:pPr>
        <w:spacing w:after="0" w:line="260" w:lineRule="exact"/>
        <w:rPr>
          <w:sz w:val="20"/>
          <w:szCs w:val="20"/>
          <w:color w:val="auto"/>
        </w:rPr>
      </w:pPr>
    </w:p>
    <w:p>
      <w:pPr>
        <w:ind w:left="800" w:hanging="360"/>
        <w:spacing w:after="0"/>
        <w:tabs>
          <w:tab w:leader="none" w:pos="8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existing bylaws of the Trustee, attached as Exhibit 4.</w:t>
      </w:r>
    </w:p>
    <w:p>
      <w:pPr>
        <w:spacing w:after="0" w:line="27" w:lineRule="exact"/>
        <w:rPr>
          <w:rFonts w:ascii="Times New Roman" w:cs="Times New Roman" w:eastAsia="Times New Roman" w:hAnsi="Times New Roman"/>
          <w:sz w:val="22"/>
          <w:szCs w:val="22"/>
          <w:color w:val="auto"/>
        </w:rPr>
      </w:pPr>
    </w:p>
    <w:p>
      <w:pPr>
        <w:ind w:left="600" w:hanging="376"/>
        <w:spacing w:after="0"/>
        <w:tabs>
          <w:tab w:leader="none" w:pos="6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Indenture referred to in Item 4. Not applicable.</w:t>
      </w:r>
    </w:p>
    <w:p>
      <w:pPr>
        <w:spacing w:after="0" w:line="222" w:lineRule="exact"/>
        <w:rPr>
          <w:rFonts w:ascii="Times New Roman" w:cs="Times New Roman" w:eastAsia="Times New Roman" w:hAnsi="Times New Roman"/>
          <w:sz w:val="22"/>
          <w:szCs w:val="22"/>
          <w:color w:val="auto"/>
        </w:rPr>
      </w:pPr>
    </w:p>
    <w:p>
      <w:pPr>
        <w:ind w:left="600" w:hanging="376"/>
        <w:spacing w:after="0"/>
        <w:tabs>
          <w:tab w:leader="none" w:pos="6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Trustee required by Section 321(b) of the Trust Indenture Act of 1939, attached as Exhibit 6.</w:t>
      </w:r>
    </w:p>
    <w:p>
      <w:pPr>
        <w:spacing w:after="0" w:line="246" w:lineRule="exact"/>
        <w:rPr>
          <w:rFonts w:ascii="Times New Roman" w:cs="Times New Roman" w:eastAsia="Times New Roman" w:hAnsi="Times New Roman"/>
          <w:sz w:val="22"/>
          <w:szCs w:val="22"/>
          <w:color w:val="auto"/>
        </w:rPr>
      </w:pPr>
    </w:p>
    <w:p>
      <w:pPr>
        <w:ind w:left="1300" w:hanging="1076"/>
        <w:spacing w:after="0" w:line="271" w:lineRule="auto"/>
        <w:tabs>
          <w:tab w:leader="none" w:pos="59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of Condition of the Trustee as of June 30, 2026, published pursuant to law or the requirements of its supervising or examining authority, attached as Exhibit 7.</w:t>
      </w:r>
    </w:p>
    <w:p>
      <w:pPr>
        <w:sectPr>
          <w:pgSz w:w="11900" w:h="16838" w:orient="portrait"/>
          <w:cols w:equalWidth="0" w:num="1">
            <w:col w:w="11160"/>
          </w:cols>
          <w:pgMar w:left="320" w:top="1283" w:right="419" w:bottom="1440" w:gutter="0" w:footer="0" w:header="0"/>
        </w:sectPr>
      </w:pPr>
    </w:p>
    <w:bookmarkStart w:id="110" w:name="page111"/>
    <w:bookmarkEnd w:id="11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64"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22"/>
          <w:szCs w:val="22"/>
          <w:color w:val="auto"/>
        </w:rPr>
        <w:t>Pursuant to the requirements of the Trust Indenture Act of 1939, as amended, the Trustee, U.S. BANK TRUST COMPANY, NATIONAL ASSOCIATION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a national banking association organized and existing under the laws of the United States of America, has duly caused this statement of eligibility to be signed on its behalf by the undersigned, thereunto duly authorized, all in the City of Charlotte, State of North Carolina on the 27th of October, 2026.</w:t>
      </w:r>
    </w:p>
    <w:p>
      <w:pPr>
        <w:spacing w:after="0" w:line="206"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Gregory M. Jackson</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Gregory M. Jackson</w:t>
      </w:r>
    </w:p>
    <w:p>
      <w:pPr>
        <w:spacing w:after="0" w:line="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Vice President</w:t>
      </w:r>
    </w:p>
    <w:p>
      <w:pPr>
        <w:sectPr>
          <w:pgSz w:w="11900" w:h="16838" w:orient="portrait"/>
          <w:cols w:equalWidth="0" w:num="1">
            <w:col w:w="11180"/>
          </w:cols>
          <w:pgMar w:left="320" w:top="1283" w:right="3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1</w:t>
      </w:r>
    </w:p>
    <w:p>
      <w:pPr>
        <w:spacing w:after="0" w:line="6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b w:val="1"/>
          <w:bCs w:val="1"/>
          <w:color w:val="auto"/>
        </w:rPr>
        <w:t>ARTICLES OF ASSOCIATION OF</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b w:val="1"/>
          <w:bCs w:val="1"/>
          <w:color w:val="auto"/>
        </w:rPr>
        <w:t>U. S. BANK TRUST COMPANY, NATIONAL ASSOCIATION</w:t>
      </w:r>
    </w:p>
    <w:p>
      <w:pPr>
        <w:spacing w:after="0" w:line="236" w:lineRule="exact"/>
        <w:rPr>
          <w:sz w:val="20"/>
          <w:szCs w:val="20"/>
          <w:color w:val="auto"/>
        </w:rPr>
      </w:pPr>
    </w:p>
    <w:p>
      <w:pPr>
        <w:jc w:val="both"/>
        <w:ind w:right="60" w:firstLine="4"/>
        <w:spacing w:after="0" w:line="271" w:lineRule="auto"/>
        <w:rPr>
          <w:sz w:val="20"/>
          <w:szCs w:val="20"/>
          <w:color w:val="auto"/>
        </w:rPr>
      </w:pPr>
      <w:r>
        <w:rPr>
          <w:rFonts w:ascii="Times New Roman" w:cs="Times New Roman" w:eastAsia="Times New Roman" w:hAnsi="Times New Roman"/>
          <w:sz w:val="22"/>
          <w:szCs w:val="22"/>
          <w:color w:val="auto"/>
        </w:rPr>
        <w:t>For the purpose of organizing an association (the “Association”) to perform any lawful activities of national banks, the undersigned enter into the following Articles of Association: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FIRST. </w:t>
      </w:r>
      <w:r>
        <w:rPr>
          <w:rFonts w:ascii="Times New Roman" w:cs="Times New Roman" w:eastAsia="Times New Roman" w:hAnsi="Times New Roman"/>
          <w:sz w:val="21"/>
          <w:szCs w:val="21"/>
          <w:color w:val="auto"/>
        </w:rPr>
        <w:t>The title of this Association shall be U. S. Bank Trust Company, National Association.</w:t>
      </w:r>
    </w:p>
    <w:p>
      <w:pPr>
        <w:spacing w:after="0" w:line="245" w:lineRule="exact"/>
        <w:rPr>
          <w:sz w:val="20"/>
          <w:szCs w:val="20"/>
          <w:color w:val="auto"/>
        </w:rPr>
      </w:pPr>
    </w:p>
    <w:p>
      <w:pPr>
        <w:jc w:val="both"/>
        <w:ind w:right="60" w:hanging="1"/>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SECOND. </w:t>
      </w:r>
      <w:r>
        <w:rPr>
          <w:rFonts w:ascii="Times New Roman" w:cs="Times New Roman" w:eastAsia="Times New Roman" w:hAnsi="Times New Roman"/>
          <w:sz w:val="21"/>
          <w:szCs w:val="21"/>
          <w:color w:val="auto"/>
        </w:rPr>
        <w:t>The main office of the Association shall be in the city of Portland, county of Multnomah, state of Oregon.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89" w:lineRule="exact"/>
        <w:rPr>
          <w:sz w:val="20"/>
          <w:szCs w:val="20"/>
          <w:color w:val="auto"/>
        </w:rPr>
      </w:pPr>
    </w:p>
    <w:p>
      <w:pPr>
        <w:jc w:val="both"/>
        <w:ind w:left="20" w:right="20" w:firstLine="2"/>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THIRD. </w:t>
      </w:r>
      <w:r>
        <w:rPr>
          <w:rFonts w:ascii="Times New Roman" w:cs="Times New Roman" w:eastAsia="Times New Roman" w:hAnsi="Times New Roman"/>
          <w:sz w:val="22"/>
          <w:szCs w:val="22"/>
          <w:color w:val="auto"/>
        </w:rPr>
        <w:t>The board of directors of the Association shall consist of not less than five nor more than twenty-five persons,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214" w:lineRule="exact"/>
        <w:rPr>
          <w:sz w:val="20"/>
          <w:szCs w:val="20"/>
          <w:color w:val="auto"/>
        </w:rPr>
      </w:pPr>
    </w:p>
    <w:p>
      <w:pPr>
        <w:jc w:val="both"/>
        <w:ind w:left="20" w:right="20" w:firstLine="5"/>
        <w:spacing w:after="0" w:line="246" w:lineRule="auto"/>
        <w:rPr>
          <w:sz w:val="20"/>
          <w:szCs w:val="20"/>
          <w:color w:val="auto"/>
        </w:rPr>
      </w:pPr>
      <w:r>
        <w:rPr>
          <w:rFonts w:ascii="Times New Roman" w:cs="Times New Roman" w:eastAsia="Times New Roman" w:hAnsi="Times New Roman"/>
          <w:sz w:val="22"/>
          <w:szCs w:val="22"/>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213" w:lineRule="exact"/>
        <w:rPr>
          <w:sz w:val="20"/>
          <w:szCs w:val="20"/>
          <w:color w:val="auto"/>
        </w:rPr>
      </w:pPr>
    </w:p>
    <w:p>
      <w:pPr>
        <w:jc w:val="both"/>
        <w:ind w:left="20" w:right="20" w:firstLine="3"/>
        <w:spacing w:after="0" w:line="247" w:lineRule="auto"/>
        <w:rPr>
          <w:sz w:val="20"/>
          <w:szCs w:val="20"/>
          <w:color w:val="auto"/>
        </w:rPr>
      </w:pPr>
      <w:r>
        <w:rPr>
          <w:rFonts w:ascii="Times New Roman" w:cs="Times New Roman" w:eastAsia="Times New Roman" w:hAnsi="Times New Roman"/>
          <w:sz w:val="22"/>
          <w:szCs w:val="22"/>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210" w:lineRule="exact"/>
        <w:rPr>
          <w:sz w:val="20"/>
          <w:szCs w:val="20"/>
          <w:color w:val="auto"/>
        </w:rPr>
      </w:pPr>
    </w:p>
    <w:p>
      <w:pPr>
        <w:jc w:val="both"/>
        <w:ind w:left="40" w:firstLine="2"/>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FOURTH. </w:t>
      </w:r>
      <w:r>
        <w:rPr>
          <w:rFonts w:ascii="Times New Roman" w:cs="Times New Roman" w:eastAsia="Times New Roman" w:hAnsi="Times New Roman"/>
          <w:sz w:val="21"/>
          <w:szCs w:val="21"/>
          <w:color w:val="auto"/>
        </w:rPr>
        <w:t>There shall be an annual meeting of the shareholders to elect directors and transact whatever other business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brought before the meeting. It shall be held at the main office or any other convenient place the board of directors may</w:t>
      </w:r>
    </w:p>
    <w:p>
      <w:pPr>
        <w:jc w:val="both"/>
        <w:ind w:left="40"/>
        <w:spacing w:after="0" w:line="259" w:lineRule="auto"/>
        <w:rPr>
          <w:sz w:val="20"/>
          <w:szCs w:val="20"/>
          <w:color w:val="auto"/>
        </w:rPr>
      </w:pPr>
      <w:r>
        <w:rPr>
          <w:rFonts w:ascii="Times New Roman" w:cs="Times New Roman" w:eastAsia="Times New Roman" w:hAnsi="Times New Roman"/>
          <w:sz w:val="22"/>
          <w:szCs w:val="22"/>
          <w:color w:val="auto"/>
        </w:rPr>
        <w:t>designate, on the day of each year specified therefor in the Bylaws, or if that day falls on a legal holiday in the state in which the</w:t>
      </w:r>
    </w:p>
    <w:p>
      <w:pPr>
        <w:spacing w:after="0" w:line="18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000"/>
          </w:cols>
          <w:pgMar w:left="440" w:top="1283" w:right="459" w:bottom="1440" w:gutter="0" w:footer="0" w:header="0"/>
        </w:sectPr>
      </w:pPr>
    </w:p>
    <w:bookmarkStart w:id="112" w:name="page113"/>
    <w:bookmarkEnd w:id="112"/>
    <w:p>
      <w:pPr>
        <w:jc w:val="both"/>
        <w:ind w:right="20" w:firstLine="5"/>
        <w:spacing w:after="0" w:line="253" w:lineRule="auto"/>
        <w:rPr>
          <w:sz w:val="20"/>
          <w:szCs w:val="20"/>
          <w:color w:val="auto"/>
        </w:rPr>
      </w:pPr>
      <w:r>
        <w:rPr>
          <w:rFonts w:ascii="Times New Roman" w:cs="Times New Roman" w:eastAsia="Times New Roman" w:hAnsi="Times New Roman"/>
          <w:sz w:val="22"/>
          <w:szCs w:val="22"/>
          <w:color w:val="auto"/>
        </w:rPr>
        <w:t xml:space="preserve">Association is located, on the next following banking day. </w:t>
      </w:r>
      <w:r>
        <w:rPr>
          <w:rFonts w:ascii="Arial" w:cs="Arial" w:eastAsia="Arial" w:hAnsi="Arial"/>
          <w:sz w:val="20"/>
          <w:szCs w:val="20"/>
          <w:color w:val="auto"/>
        </w:rPr>
        <w:t>If</w:t>
      </w:r>
      <w:r>
        <w:rPr>
          <w:rFonts w:ascii="Times New Roman" w:cs="Times New Roman" w:eastAsia="Times New Roman" w:hAnsi="Times New Roman"/>
          <w:sz w:val="22"/>
          <w:szCs w:val="22"/>
          <w:color w:val="auto"/>
        </w:rPr>
        <w:t xml:space="preserve"> no election is held on the day fixed or in the event of a legal holiday on the following banking day, an election may be held on any subsequent day within 60 days of the day fixed, to be designated by the board of directors, or, </w:t>
      </w:r>
      <w:r>
        <w:rPr>
          <w:rFonts w:ascii="Arial" w:cs="Arial" w:eastAsia="Arial" w:hAnsi="Arial"/>
          <w:sz w:val="20"/>
          <w:szCs w:val="20"/>
          <w:color w:val="auto"/>
        </w:rPr>
        <w:t>if</w:t>
      </w:r>
      <w:r>
        <w:rPr>
          <w:rFonts w:ascii="Times New Roman" w:cs="Times New Roman" w:eastAsia="Times New Roman" w:hAnsi="Times New Roman"/>
          <w:sz w:val="22"/>
          <w:szCs w:val="22"/>
          <w:color w:val="auto"/>
        </w:rPr>
        <w:t xml:space="preserve"> the directors fail to fix the day, by shareholders representing two-thirds of the shares issued and outstanding. In all cases, at least 10 days’ advance notice of the meeting shall be given to the shareholders by first-class mail.</w:t>
      </w:r>
    </w:p>
    <w:p>
      <w:pPr>
        <w:spacing w:after="0" w:line="192" w:lineRule="exact"/>
        <w:rPr>
          <w:sz w:val="20"/>
          <w:szCs w:val="20"/>
          <w:color w:val="auto"/>
        </w:rPr>
      </w:pPr>
    </w:p>
    <w:p>
      <w:pPr>
        <w:jc w:val="both"/>
        <w:ind w:left="20" w:right="20" w:firstLine="1"/>
        <w:spacing w:after="0" w:line="248" w:lineRule="auto"/>
        <w:rPr>
          <w:sz w:val="20"/>
          <w:szCs w:val="20"/>
          <w:color w:val="auto"/>
        </w:rPr>
      </w:pPr>
      <w:r>
        <w:rPr>
          <w:rFonts w:ascii="Times New Roman" w:cs="Times New Roman" w:eastAsia="Times New Roman" w:hAnsi="Times New Roman"/>
          <w:sz w:val="22"/>
          <w:szCs w:val="22"/>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223"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21"/>
          <w:szCs w:val="21"/>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89" w:lineRule="exact"/>
        <w:rPr>
          <w:sz w:val="20"/>
          <w:szCs w:val="20"/>
          <w:color w:val="auto"/>
        </w:rPr>
      </w:pPr>
    </w:p>
    <w:p>
      <w:pPr>
        <w:jc w:val="both"/>
        <w:ind w:left="20" w:right="20" w:firstLine="6"/>
        <w:spacing w:after="0" w:line="248" w:lineRule="auto"/>
        <w:rPr>
          <w:sz w:val="20"/>
          <w:szCs w:val="20"/>
          <w:color w:val="auto"/>
        </w:rPr>
      </w:pPr>
      <w:r>
        <w:rPr>
          <w:rFonts w:ascii="Times New Roman" w:cs="Times New Roman" w:eastAsia="Times New Roman" w:hAnsi="Times New Roman"/>
          <w:sz w:val="22"/>
          <w:szCs w:val="22"/>
          <w:color w:val="auto"/>
        </w:rPr>
        <w:t xml:space="preserve">A director may be removed by the shareholders at a meeting called to remove him or her, when notice of the meeting stating that the purpose or one of the purposes is to remove </w:t>
      </w:r>
      <w:r>
        <w:rPr>
          <w:rFonts w:ascii="Times New Roman" w:cs="Times New Roman" w:eastAsia="Times New Roman" w:hAnsi="Times New Roman"/>
          <w:sz w:val="20"/>
          <w:szCs w:val="20"/>
          <w:color w:val="auto"/>
        </w:rPr>
        <w:t>him</w:t>
      </w:r>
      <w:r>
        <w:rPr>
          <w:rFonts w:ascii="Times New Roman" w:cs="Times New Roman" w:eastAsia="Times New Roman" w:hAnsi="Times New Roman"/>
          <w:sz w:val="22"/>
          <w:szCs w:val="22"/>
          <w:color w:val="auto"/>
        </w:rPr>
        <w:t xml:space="preserve"> or her is provided, </w:t>
      </w:r>
      <w:r>
        <w:rPr>
          <w:rFonts w:ascii="Arial" w:cs="Arial" w:eastAsia="Arial" w:hAnsi="Arial"/>
          <w:sz w:val="20"/>
          <w:szCs w:val="20"/>
          <w:color w:val="auto"/>
        </w:rPr>
        <w:t>if</w:t>
      </w:r>
      <w:r>
        <w:rPr>
          <w:rFonts w:ascii="Times New Roman" w:cs="Times New Roman" w:eastAsia="Times New Roman" w:hAnsi="Times New Roman"/>
          <w:sz w:val="22"/>
          <w:szCs w:val="22"/>
          <w:color w:val="auto"/>
        </w:rPr>
        <w:t xml:space="preserve"> there is a failure to fulfill one of the affirmative requirements for qualification, or for cause; provided, however, that a director may not be removed </w:t>
      </w:r>
      <w:r>
        <w:rPr>
          <w:rFonts w:ascii="Arial" w:cs="Arial" w:eastAsia="Arial" w:hAnsi="Arial"/>
          <w:sz w:val="20"/>
          <w:szCs w:val="20"/>
          <w:color w:val="auto"/>
        </w:rPr>
        <w:t>if</w:t>
      </w:r>
      <w:r>
        <w:rPr>
          <w:rFonts w:ascii="Times New Roman" w:cs="Times New Roman" w:eastAsia="Times New Roman" w:hAnsi="Times New Roman"/>
          <w:sz w:val="22"/>
          <w:szCs w:val="22"/>
          <w:color w:val="auto"/>
        </w:rPr>
        <w:t xml:space="preserve"> the number of votes sufficient to elect him or her under cumulative voting is voted against his or her removal.</w:t>
      </w:r>
    </w:p>
    <w:p>
      <w:pPr>
        <w:spacing w:after="0" w:line="206" w:lineRule="exact"/>
        <w:rPr>
          <w:sz w:val="20"/>
          <w:szCs w:val="20"/>
          <w:color w:val="auto"/>
        </w:rPr>
      </w:pPr>
    </w:p>
    <w:p>
      <w:pPr>
        <w:jc w:val="both"/>
        <w:ind w:left="20" w:firstLine="2"/>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FIFTH. </w:t>
      </w:r>
      <w:r>
        <w:rPr>
          <w:rFonts w:ascii="Times New Roman" w:cs="Times New Roman" w:eastAsia="Times New Roman" w:hAnsi="Times New Roman"/>
          <w:sz w:val="22"/>
          <w:szCs w:val="22"/>
          <w:color w:val="auto"/>
        </w:rPr>
        <w:t>The authorized amount of capital stock of the Association shall be 1,000,000 shares of common stock of the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ten dollars ($10) each; but said capital stock may be increased or decreased from time to time, according to the provisions of the laws of the United States. The Association shall have only one class of capital stock.</w:t>
      </w:r>
    </w:p>
    <w:p>
      <w:pPr>
        <w:spacing w:after="0" w:line="206" w:lineRule="exact"/>
        <w:rPr>
          <w:sz w:val="20"/>
          <w:szCs w:val="20"/>
          <w:color w:val="auto"/>
        </w:rPr>
      </w:pPr>
    </w:p>
    <w:p>
      <w:pPr>
        <w:jc w:val="both"/>
        <w:ind w:left="40" w:firstLine="10"/>
        <w:spacing w:after="0" w:line="247" w:lineRule="auto"/>
        <w:rPr>
          <w:sz w:val="20"/>
          <w:szCs w:val="20"/>
          <w:color w:val="auto"/>
        </w:rPr>
      </w:pPr>
      <w:r>
        <w:rPr>
          <w:rFonts w:ascii="Times New Roman" w:cs="Times New Roman" w:eastAsia="Times New Roman" w:hAnsi="Times New Roman"/>
          <w:sz w:val="22"/>
          <w:szCs w:val="22"/>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210" w:lineRule="exact"/>
        <w:rPr>
          <w:sz w:val="20"/>
          <w:szCs w:val="20"/>
          <w:color w:val="auto"/>
        </w:rPr>
      </w:pPr>
    </w:p>
    <w:p>
      <w:pPr>
        <w:jc w:val="both"/>
        <w:ind w:left="40" w:firstLine="1"/>
        <w:spacing w:after="0" w:line="257" w:lineRule="auto"/>
        <w:rPr>
          <w:sz w:val="20"/>
          <w:szCs w:val="20"/>
          <w:color w:val="auto"/>
        </w:rPr>
      </w:pPr>
      <w:r>
        <w:rPr>
          <w:rFonts w:ascii="Times New Roman" w:cs="Times New Roman" w:eastAsia="Times New Roman" w:hAnsi="Times New Roman"/>
          <w:sz w:val="22"/>
          <w:szCs w:val="22"/>
          <w:color w:val="auto"/>
        </w:rPr>
        <w:t xml:space="preserve">Transfers of the Association's stock are subject to the prior written approval of a federal depository institution regulatory agency. </w:t>
      </w:r>
      <w:r>
        <w:rPr>
          <w:rFonts w:ascii="Arial" w:cs="Arial" w:eastAsia="Arial" w:hAnsi="Arial"/>
          <w:sz w:val="20"/>
          <w:szCs w:val="20"/>
          <w:color w:val="auto"/>
        </w:rPr>
        <w:t>If no</w:t>
      </w:r>
      <w:r>
        <w:rPr>
          <w:rFonts w:ascii="Times New Roman" w:cs="Times New Roman" w:eastAsia="Times New Roman" w:hAnsi="Times New Roman"/>
          <w:sz w:val="22"/>
          <w:szCs w:val="22"/>
          <w:color w:val="auto"/>
        </w:rPr>
        <w:t xml:space="preserve"> other agency approval is required, the approval of the Comptroller of the Currency must be obtained prior to any such transfers.</w:t>
      </w:r>
    </w:p>
    <w:p>
      <w:pPr>
        <w:spacing w:after="0" w:line="200" w:lineRule="exact"/>
        <w:rPr>
          <w:sz w:val="20"/>
          <w:szCs w:val="20"/>
          <w:color w:val="auto"/>
        </w:rPr>
      </w:pPr>
    </w:p>
    <w:p>
      <w:pPr>
        <w:jc w:val="both"/>
        <w:ind w:left="40" w:firstLine="5"/>
        <w:spacing w:after="0" w:line="246" w:lineRule="auto"/>
        <w:rPr>
          <w:sz w:val="20"/>
          <w:szCs w:val="20"/>
          <w:color w:val="auto"/>
        </w:rPr>
      </w:pPr>
      <w:r>
        <w:rPr>
          <w:rFonts w:ascii="Times New Roman" w:cs="Times New Roman" w:eastAsia="Times New Roman" w:hAnsi="Times New Roman"/>
          <w:sz w:val="22"/>
          <w:szCs w:val="22"/>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w:t>
      </w:r>
    </w:p>
    <w:p>
      <w:pPr>
        <w:spacing w:after="0" w:line="2" w:lineRule="exact"/>
        <w:rPr>
          <w:sz w:val="20"/>
          <w:szCs w:val="20"/>
          <w:color w:val="auto"/>
        </w:rPr>
      </w:pPr>
    </w:p>
    <w:p>
      <w:pPr>
        <w:ind w:left="360" w:hanging="307"/>
        <w:spacing w:after="0"/>
        <w:tabs>
          <w:tab w:leader="none" w:pos="3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shareholder shall be entitled to one vote per share.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5" w:lineRule="exact"/>
        <w:rPr>
          <w:rFonts w:ascii="Times New Roman" w:cs="Times New Roman" w:eastAsia="Times New Roman" w:hAnsi="Times New Roman"/>
          <w:sz w:val="22"/>
          <w:szCs w:val="22"/>
          <w:color w:val="auto"/>
        </w:rPr>
      </w:pPr>
    </w:p>
    <w:p>
      <w:pPr>
        <w:ind w:left="4200" w:hanging="128"/>
        <w:spacing w:after="0"/>
        <w:tabs>
          <w:tab w:leader="none" w:pos="42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000"/>
          </w:cols>
          <w:pgMar w:left="440" w:top="1341" w:right="459" w:bottom="1440" w:gutter="0" w:footer="0" w:header="0"/>
        </w:sectPr>
      </w:pPr>
    </w:p>
    <w:bookmarkStart w:id="113" w:name="page114"/>
    <w:bookmarkEnd w:id="113"/>
    <w:p>
      <w:pPr>
        <w:ind w:right="180" w:firstLine="2"/>
        <w:spacing w:after="0" w:line="271" w:lineRule="auto"/>
        <w:rPr>
          <w:sz w:val="20"/>
          <w:szCs w:val="20"/>
          <w:color w:val="auto"/>
        </w:rPr>
      </w:pPr>
      <w:r>
        <w:rPr>
          <w:rFonts w:ascii="Times New Roman" w:cs="Times New Roman" w:eastAsia="Times New Roman" w:hAnsi="Times New Roman"/>
          <w:sz w:val="22"/>
          <w:szCs w:val="22"/>
          <w:color w:val="auto"/>
        </w:rPr>
        <w:t>Unless otherwise specified in the Articles of Association or required by law, all shares of voting stock shall be voted together as a class, on any matters requiring shareholder approval.</w:t>
      </w:r>
    </w:p>
    <w:p>
      <w:pPr>
        <w:spacing w:after="0" w:line="171"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22"/>
          <w:szCs w:val="22"/>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200" w:lineRule="exact"/>
        <w:rPr>
          <w:sz w:val="20"/>
          <w:szCs w:val="20"/>
          <w:color w:val="auto"/>
        </w:rPr>
      </w:pPr>
    </w:p>
    <w:p>
      <w:pPr>
        <w:jc w:val="both"/>
        <w:ind w:right="40" w:hanging="5"/>
        <w:spacing w:after="0" w:line="247" w:lineRule="auto"/>
        <w:rPr>
          <w:sz w:val="20"/>
          <w:szCs w:val="20"/>
          <w:color w:val="auto"/>
        </w:rPr>
      </w:pPr>
      <w:r>
        <w:rPr>
          <w:rFonts w:ascii="Times New Roman" w:cs="Times New Roman" w:eastAsia="Times New Roman" w:hAnsi="Times New Roman"/>
          <w:sz w:val="22"/>
          <w:szCs w:val="22"/>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210" w:lineRule="exact"/>
        <w:rPr>
          <w:sz w:val="20"/>
          <w:szCs w:val="20"/>
          <w:color w:val="auto"/>
        </w:rPr>
      </w:pPr>
    </w:p>
    <w:p>
      <w:pPr>
        <w:jc w:val="both"/>
        <w:ind w:right="20" w:firstLine="3"/>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SIXTH. </w:t>
      </w:r>
      <w:r>
        <w:rPr>
          <w:rFonts w:ascii="Times New Roman" w:cs="Times New Roman" w:eastAsia="Times New Roman" w:hAnsi="Times New Roman"/>
          <w:sz w:val="21"/>
          <w:szCs w:val="21"/>
          <w:color w:val="auto"/>
        </w:rPr>
        <w:t>The board of directors shall appoint one of its members president of this Association and one of its members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board of directors shall have the power to:</w:t>
      </w:r>
    </w:p>
    <w:p>
      <w:pPr>
        <w:spacing w:after="0" w:line="260" w:lineRule="exact"/>
        <w:rPr>
          <w:sz w:val="20"/>
          <w:szCs w:val="20"/>
          <w:color w:val="auto"/>
        </w:rPr>
      </w:pPr>
    </w:p>
    <w:p>
      <w:pPr>
        <w:ind w:left="660" w:hanging="634"/>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Define the duties of the officers, employees, and agents of the Association.</w:t>
      </w:r>
    </w:p>
    <w:p>
      <w:pPr>
        <w:spacing w:after="0" w:line="233" w:lineRule="exact"/>
        <w:rPr>
          <w:rFonts w:ascii="Times New Roman" w:cs="Times New Roman" w:eastAsia="Times New Roman" w:hAnsi="Times New Roman"/>
          <w:sz w:val="22"/>
          <w:szCs w:val="22"/>
          <w:color w:val="auto"/>
        </w:rPr>
      </w:pPr>
    </w:p>
    <w:p>
      <w:pPr>
        <w:ind w:left="680" w:right="20" w:hanging="653"/>
        <w:spacing w:after="0" w:line="271" w:lineRule="auto"/>
        <w:tabs>
          <w:tab w:leader="none" w:pos="67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the performance of its duties, but not the responsibility for its duties, to the officers, employees, and agents of the Association.</w:t>
      </w:r>
    </w:p>
    <w:p>
      <w:pPr>
        <w:spacing w:after="0" w:line="211" w:lineRule="exact"/>
        <w:rPr>
          <w:rFonts w:ascii="Times New Roman" w:cs="Times New Roman" w:eastAsia="Times New Roman" w:hAnsi="Times New Roman"/>
          <w:sz w:val="22"/>
          <w:szCs w:val="22"/>
          <w:color w:val="auto"/>
        </w:rPr>
      </w:pPr>
    </w:p>
    <w:p>
      <w:pPr>
        <w:ind w:left="680" w:right="40" w:hanging="648"/>
        <w:spacing w:after="0" w:line="271" w:lineRule="auto"/>
        <w:tabs>
          <w:tab w:leader="none" w:pos="67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 the compensation and enter employment contracts with its officers and employees upon reasonable terms and conditions consistent with applicable law.</w:t>
      </w:r>
    </w:p>
    <w:p>
      <w:pPr>
        <w:spacing w:after="0" w:line="198" w:lineRule="exact"/>
        <w:rPr>
          <w:rFonts w:ascii="Times New Roman" w:cs="Times New Roman" w:eastAsia="Times New Roman" w:hAnsi="Times New Roman"/>
          <w:sz w:val="22"/>
          <w:szCs w:val="22"/>
          <w:color w:val="auto"/>
        </w:rPr>
      </w:pPr>
    </w:p>
    <w:p>
      <w:pPr>
        <w:ind w:left="680" w:hanging="648"/>
        <w:spacing w:after="0"/>
        <w:tabs>
          <w:tab w:leader="none" w:pos="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Dismiss officers and employees.</w:t>
      </w:r>
    </w:p>
    <w:p>
      <w:pPr>
        <w:spacing w:after="0" w:line="246" w:lineRule="exact"/>
        <w:rPr>
          <w:rFonts w:ascii="Times New Roman" w:cs="Times New Roman" w:eastAsia="Times New Roman" w:hAnsi="Times New Roman"/>
          <w:sz w:val="22"/>
          <w:szCs w:val="22"/>
          <w:color w:val="auto"/>
        </w:rPr>
      </w:pPr>
    </w:p>
    <w:p>
      <w:pPr>
        <w:ind w:left="680" w:hanging="648"/>
        <w:spacing w:after="0"/>
        <w:tabs>
          <w:tab w:leader="none" w:pos="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bonds from officers and employees and to fix the penalty thereof.</w:t>
      </w:r>
    </w:p>
    <w:p>
      <w:pPr>
        <w:spacing w:after="0" w:line="246" w:lineRule="exact"/>
        <w:rPr>
          <w:rFonts w:ascii="Times New Roman" w:cs="Times New Roman" w:eastAsia="Times New Roman" w:hAnsi="Times New Roman"/>
          <w:sz w:val="22"/>
          <w:szCs w:val="22"/>
          <w:color w:val="auto"/>
        </w:rPr>
      </w:pPr>
    </w:p>
    <w:p>
      <w:pPr>
        <w:ind w:left="680" w:hanging="641"/>
        <w:spacing w:after="0"/>
        <w:tabs>
          <w:tab w:leader="none" w:pos="6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Ratify written policies authorized by the Association's management or committees of the board.</w:t>
      </w:r>
    </w:p>
    <w:p>
      <w:pPr>
        <w:spacing w:after="0" w:line="246" w:lineRule="exact"/>
        <w:rPr>
          <w:rFonts w:ascii="Times New Roman" w:cs="Times New Roman" w:eastAsia="Times New Roman" w:hAnsi="Times New Roman"/>
          <w:sz w:val="22"/>
          <w:szCs w:val="22"/>
          <w:color w:val="auto"/>
        </w:rPr>
      </w:pPr>
    </w:p>
    <w:p>
      <w:pPr>
        <w:jc w:val="both"/>
        <w:ind w:left="680" w:hanging="642"/>
        <w:spacing w:after="0" w:line="252" w:lineRule="auto"/>
        <w:tabs>
          <w:tab w:leader="none" w:pos="67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92" w:lineRule="exact"/>
        <w:rPr>
          <w:rFonts w:ascii="Times New Roman" w:cs="Times New Roman" w:eastAsia="Times New Roman" w:hAnsi="Times New Roman"/>
          <w:sz w:val="22"/>
          <w:szCs w:val="22"/>
          <w:color w:val="auto"/>
        </w:rPr>
      </w:pPr>
    </w:p>
    <w:p>
      <w:pPr>
        <w:ind w:left="4200" w:hanging="128"/>
        <w:spacing w:after="0"/>
        <w:tabs>
          <w:tab w:leader="none" w:pos="420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000"/>
          </w:cols>
          <w:pgMar w:left="440" w:top="1341" w:right="459" w:bottom="1440" w:gutter="0" w:footer="0" w:header="0"/>
        </w:sectPr>
      </w:pPr>
    </w:p>
    <w:bookmarkStart w:id="114" w:name="page115"/>
    <w:bookmarkEnd w:id="114"/>
    <w:p>
      <w:pPr>
        <w:ind w:left="648" w:hanging="648"/>
        <w:spacing w:after="0"/>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 and administer the business and affairs of the Association.</w:t>
      </w:r>
    </w:p>
    <w:p>
      <w:pPr>
        <w:spacing w:after="0" w:line="233" w:lineRule="exact"/>
        <w:rPr>
          <w:rFonts w:ascii="Times New Roman" w:cs="Times New Roman" w:eastAsia="Times New Roman" w:hAnsi="Times New Roman"/>
          <w:sz w:val="22"/>
          <w:szCs w:val="22"/>
          <w:color w:val="auto"/>
        </w:rPr>
      </w:pPr>
    </w:p>
    <w:p>
      <w:pPr>
        <w:ind w:left="648" w:right="940" w:hanging="648"/>
        <w:spacing w:after="0" w:line="271" w:lineRule="auto"/>
        <w:tabs>
          <w:tab w:leader="none" w:pos="6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initial Bylaws, not inconsistent with law or the Articles of Association, for managing the business and regulating the affairs of the Association.</w:t>
      </w:r>
    </w:p>
    <w:p>
      <w:pPr>
        <w:spacing w:after="0" w:line="198" w:lineRule="exact"/>
        <w:rPr>
          <w:rFonts w:ascii="Times New Roman" w:cs="Times New Roman" w:eastAsia="Times New Roman" w:hAnsi="Times New Roman"/>
          <w:sz w:val="22"/>
          <w:szCs w:val="22"/>
          <w:color w:val="auto"/>
        </w:rPr>
      </w:pPr>
    </w:p>
    <w:p>
      <w:pPr>
        <w:ind w:left="648" w:right="160" w:hanging="641"/>
        <w:spacing w:after="0" w:line="271" w:lineRule="auto"/>
        <w:tabs>
          <w:tab w:leader="none" w:pos="63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repeal Bylaws, except to the extent that the Articles of Association reserve this power in whole or in part to the shareholders.</w:t>
      </w:r>
    </w:p>
    <w:p>
      <w:pPr>
        <w:spacing w:after="0" w:line="198" w:lineRule="exact"/>
        <w:rPr>
          <w:rFonts w:ascii="Times New Roman" w:cs="Times New Roman" w:eastAsia="Times New Roman" w:hAnsi="Times New Roman"/>
          <w:sz w:val="22"/>
          <w:szCs w:val="22"/>
          <w:color w:val="auto"/>
        </w:rPr>
      </w:pPr>
    </w:p>
    <w:p>
      <w:pPr>
        <w:ind w:left="648" w:hanging="641"/>
        <w:spacing w:after="0"/>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contracts.</w:t>
      </w:r>
    </w:p>
    <w:p>
      <w:pPr>
        <w:spacing w:after="0" w:line="260" w:lineRule="exact"/>
        <w:rPr>
          <w:rFonts w:ascii="Times New Roman" w:cs="Times New Roman" w:eastAsia="Times New Roman" w:hAnsi="Times New Roman"/>
          <w:sz w:val="22"/>
          <w:szCs w:val="22"/>
          <w:color w:val="auto"/>
        </w:rPr>
      </w:pPr>
    </w:p>
    <w:p>
      <w:pPr>
        <w:ind w:left="648" w:hanging="641"/>
        <w:spacing w:after="0"/>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perform all acts that are legal for a board of directors to perform.</w:t>
      </w:r>
    </w:p>
    <w:p>
      <w:pPr>
        <w:spacing w:after="0" w:line="233" w:lineRule="exact"/>
        <w:rPr>
          <w:sz w:val="20"/>
          <w:szCs w:val="20"/>
          <w:color w:val="auto"/>
        </w:rPr>
      </w:pPr>
    </w:p>
    <w:p>
      <w:pPr>
        <w:jc w:val="both"/>
        <w:ind w:left="8" w:right="20" w:firstLine="3"/>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SEVENTH. </w:t>
      </w:r>
      <w:r>
        <w:rPr>
          <w:rFonts w:ascii="Times New Roman" w:cs="Times New Roman" w:eastAsia="Times New Roman" w:hAnsi="Times New Roman"/>
          <w:sz w:val="21"/>
          <w:szCs w:val="21"/>
          <w:color w:val="auto"/>
        </w:rPr>
        <w:t>The board of directors shall have the power to change the location of the main office to any authorized branch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201" w:lineRule="exact"/>
        <w:rPr>
          <w:sz w:val="20"/>
          <w:szCs w:val="20"/>
          <w:color w:val="auto"/>
        </w:rPr>
      </w:pPr>
    </w:p>
    <w:p>
      <w:pPr>
        <w:jc w:val="both"/>
        <w:ind w:left="8" w:right="20" w:hanging="2"/>
        <w:spacing w:after="0" w:line="267" w:lineRule="auto"/>
        <w:rPr>
          <w:sz w:val="20"/>
          <w:szCs w:val="20"/>
          <w:color w:val="auto"/>
        </w:rPr>
      </w:pPr>
      <w:r>
        <w:rPr>
          <w:rFonts w:ascii="Times New Roman" w:cs="Times New Roman" w:eastAsia="Times New Roman" w:hAnsi="Times New Roman"/>
          <w:sz w:val="21"/>
          <w:szCs w:val="21"/>
          <w:b w:val="1"/>
          <w:bCs w:val="1"/>
          <w:color w:val="auto"/>
        </w:rPr>
        <w:t xml:space="preserve">EIGHTH. </w:t>
      </w:r>
      <w:r>
        <w:rPr>
          <w:rFonts w:ascii="Times New Roman" w:cs="Times New Roman" w:eastAsia="Times New Roman" w:hAnsi="Times New Roman"/>
          <w:sz w:val="21"/>
          <w:szCs w:val="21"/>
          <w:color w:val="auto"/>
        </w:rPr>
        <w:t>The corporate existence of this Association shall continue until termination according to the laws of the United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States.</w:t>
      </w:r>
    </w:p>
    <w:p>
      <w:pPr>
        <w:spacing w:after="0" w:line="200" w:lineRule="exact"/>
        <w:rPr>
          <w:sz w:val="20"/>
          <w:szCs w:val="20"/>
          <w:color w:val="auto"/>
        </w:rPr>
      </w:pPr>
    </w:p>
    <w:p>
      <w:pPr>
        <w:spacing w:after="0" w:line="301" w:lineRule="exact"/>
        <w:rPr>
          <w:sz w:val="20"/>
          <w:szCs w:val="20"/>
          <w:color w:val="auto"/>
        </w:rPr>
      </w:pPr>
    </w:p>
    <w:p>
      <w:pPr>
        <w:jc w:val="both"/>
        <w:ind w:left="8" w:firstLine="4"/>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NINTH. </w:t>
      </w:r>
      <w:r>
        <w:rPr>
          <w:rFonts w:ascii="Times New Roman" w:cs="Times New Roman" w:eastAsia="Times New Roman" w:hAnsi="Times New Roman"/>
          <w:sz w:val="21"/>
          <w:szCs w:val="21"/>
          <w:color w:val="auto"/>
        </w:rPr>
        <w:t>The board of directors of the Association, or any shareholder owning, in the aggregate, not less than 25 percent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200" w:lineRule="exact"/>
        <w:rPr>
          <w:sz w:val="20"/>
          <w:szCs w:val="20"/>
          <w:color w:val="auto"/>
        </w:rPr>
      </w:pPr>
    </w:p>
    <w:p>
      <w:pPr>
        <w:spacing w:after="0" w:line="260" w:lineRule="exact"/>
        <w:rPr>
          <w:sz w:val="20"/>
          <w:szCs w:val="20"/>
          <w:color w:val="auto"/>
        </w:rPr>
      </w:pPr>
    </w:p>
    <w:p>
      <w:pPr>
        <w:jc w:val="both"/>
        <w:ind w:left="28" w:firstLine="1"/>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TENTH. </w:t>
      </w:r>
      <w:r>
        <w:rPr>
          <w:rFonts w:ascii="Times New Roman" w:cs="Times New Roman" w:eastAsia="Times New Roman" w:hAnsi="Times New Roman"/>
          <w:sz w:val="21"/>
          <w:szCs w:val="21"/>
          <w:color w:val="auto"/>
        </w:rPr>
        <w:t>These Articles of Association may be amended at any regular or special meeting of the shareholders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0988"/>
          </w:cols>
          <w:pgMar w:left="452" w:top="1354"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1"/>
          <w:szCs w:val="21"/>
          <w:color w:val="auto"/>
        </w:rPr>
        <w:t xml:space="preserve">In witness whereof, we have hereunto set our hands this </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21"/>
          <w:szCs w:val="21"/>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-36195</wp:posOffset>
            </wp:positionV>
            <wp:extent cx="330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330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151765</wp:posOffset>
            </wp:positionV>
            <wp:extent cx="1868805" cy="2366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1868805" cy="2366010"/>
                    </a:xfrm>
                    <a:prstGeom prst="rect">
                      <a:avLst/>
                    </a:prstGeom>
                    <a:noFill/>
                  </pic:spPr>
                </pic:pic>
              </a:graphicData>
            </a:graphic>
          </wp:anchor>
        </w:drawing>
      </w:r>
    </w:p>
    <w:p>
      <w:pPr>
        <w:sectPr>
          <w:pgSz w:w="11900" w:h="16838" w:orient="portrait"/>
          <w:cols w:equalWidth="0" w:num="1">
            <w:col w:w="10019"/>
          </w:cols>
          <w:pgMar w:left="440" w:top="1287"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483870</wp:posOffset>
            </wp:positionV>
            <wp:extent cx="4791710" cy="6249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4791710" cy="6249035"/>
                    </a:xfrm>
                    <a:prstGeom prst="rect">
                      <a:avLst/>
                    </a:prstGeom>
                    <a:noFill/>
                  </pic:spPr>
                </pic:pic>
              </a:graphicData>
            </a:graphic>
          </wp:anchor>
        </w:drawing>
      </w:r>
    </w:p>
    <w:p>
      <w:pPr>
        <w:sectPr>
          <w:pgSz w:w="11900" w:h="16838" w:orient="portrait"/>
          <w:cols w:equalWidth="0" w:num="1">
            <w:col w:w="9019"/>
          </w:cols>
          <w:pgMar w:left="1440" w:top="1229" w:right="1440" w:bottom="1440" w:gutter="0" w:footer="0" w:header="0"/>
        </w:sectPr>
      </w:pPr>
    </w:p>
    <w:bookmarkStart w:id="117" w:name="page118"/>
    <w:bookmarkEnd w:id="117"/>
    <w:p>
      <w:pPr>
        <w:jc w:val="center"/>
        <w:ind w:right="-459"/>
        <w:spacing w:after="0"/>
        <w:rPr>
          <w:sz w:val="20"/>
          <w:szCs w:val="20"/>
          <w:color w:val="auto"/>
        </w:rPr>
      </w:pPr>
      <w:r>
        <w:rPr>
          <w:rFonts w:ascii="Times New Roman" w:cs="Times New Roman" w:eastAsia="Times New Roman" w:hAnsi="Times New Roman"/>
          <w:sz w:val="22"/>
          <w:szCs w:val="22"/>
          <w:b w:val="1"/>
          <w:bCs w:val="1"/>
          <w:u w:val="single" w:color="auto"/>
          <w:color w:val="auto"/>
        </w:rPr>
        <w:t>Exhibit 4</w:t>
      </w:r>
    </w:p>
    <w:p>
      <w:pPr>
        <w:spacing w:after="0" w:line="200" w:lineRule="exact"/>
        <w:rPr>
          <w:sz w:val="20"/>
          <w:szCs w:val="20"/>
          <w:color w:val="auto"/>
        </w:rPr>
      </w:pPr>
    </w:p>
    <w:p>
      <w:pPr>
        <w:spacing w:after="0" w:line="238"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U.S. BANK TRUST COMPANY, NATIONAL ASSOCIATION</w:t>
      </w:r>
    </w:p>
    <w:p>
      <w:pPr>
        <w:spacing w:after="0" w:line="314" w:lineRule="exact"/>
        <w:rPr>
          <w:sz w:val="20"/>
          <w:szCs w:val="20"/>
          <w:color w:val="auto"/>
        </w:rPr>
      </w:pPr>
    </w:p>
    <w:p>
      <w:pPr>
        <w:ind w:left="3720"/>
        <w:spacing w:after="0"/>
        <w:rPr>
          <w:sz w:val="20"/>
          <w:szCs w:val="20"/>
          <w:color w:val="auto"/>
        </w:rPr>
      </w:pPr>
      <w:r>
        <w:rPr>
          <w:rFonts w:ascii="Arial" w:cs="Arial" w:eastAsia="Arial" w:hAnsi="Arial"/>
          <w:sz w:val="22"/>
          <w:szCs w:val="22"/>
          <w:b w:val="1"/>
          <w:bCs w:val="1"/>
          <w:u w:val="single" w:color="auto"/>
          <w:color w:val="auto"/>
        </w:rPr>
        <w:t>AMENDED AND RESTATED BYLAWS</w:t>
      </w:r>
    </w:p>
    <w:p>
      <w:pPr>
        <w:spacing w:after="0" w:line="195" w:lineRule="exact"/>
        <w:rPr>
          <w:sz w:val="20"/>
          <w:szCs w:val="20"/>
          <w:color w:val="auto"/>
        </w:rPr>
      </w:pPr>
    </w:p>
    <w:p>
      <w:pPr>
        <w:ind w:left="5100"/>
        <w:spacing w:after="0"/>
        <w:rPr>
          <w:sz w:val="20"/>
          <w:szCs w:val="20"/>
          <w:color w:val="auto"/>
        </w:rPr>
      </w:pPr>
      <w:r>
        <w:rPr>
          <w:rFonts w:ascii="Arial" w:cs="Arial" w:eastAsia="Arial" w:hAnsi="Arial"/>
          <w:sz w:val="22"/>
          <w:szCs w:val="22"/>
          <w:u w:val="single" w:color="auto"/>
          <w:color w:val="auto"/>
        </w:rPr>
        <w:t>ARTICLE I</w:t>
      </w:r>
    </w:p>
    <w:p>
      <w:pPr>
        <w:spacing w:after="0" w:line="31"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Meetings of Shareholders</w:t>
      </w:r>
    </w:p>
    <w:p>
      <w:pPr>
        <w:spacing w:after="0" w:line="247"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Annual Meeting</w:t>
      </w:r>
      <w:r>
        <w:rPr>
          <w:rFonts w:ascii="Arial" w:cs="Arial" w:eastAsia="Arial" w:hAnsi="Arial"/>
          <w:sz w:val="22"/>
          <w:szCs w:val="22"/>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212"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Special Meetings</w:t>
      </w:r>
      <w:r>
        <w:rPr>
          <w:rFonts w:ascii="Arial" w:cs="Arial" w:eastAsia="Arial" w:hAnsi="Arial"/>
          <w:sz w:val="22"/>
          <w:szCs w:val="22"/>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3"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Every such special meeting, unless otherwise provided by law, shall be called upon not less than ten (10) days nor more than sixty (60) days prior notice stating the purpose of the meeting.</w:t>
      </w:r>
    </w:p>
    <w:p>
      <w:pPr>
        <w:spacing w:after="0" w:line="230" w:lineRule="exact"/>
        <w:rPr>
          <w:sz w:val="20"/>
          <w:szCs w:val="20"/>
          <w:color w:val="auto"/>
        </w:rPr>
      </w:pPr>
    </w:p>
    <w:p>
      <w:pPr>
        <w:ind w:right="260"/>
        <w:spacing w:after="0" w:line="272"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Nominations for Directors</w:t>
      </w:r>
      <w:r>
        <w:rPr>
          <w:rFonts w:ascii="Arial" w:cs="Arial" w:eastAsia="Arial" w:hAnsi="Arial"/>
          <w:sz w:val="22"/>
          <w:szCs w:val="22"/>
          <w:color w:val="auto"/>
        </w:rPr>
        <w:t>. Nominations for election to the Board may be made by the Board or by any shareholder.</w:t>
      </w:r>
    </w:p>
    <w:p>
      <w:pPr>
        <w:spacing w:after="0" w:line="183" w:lineRule="exact"/>
        <w:rPr>
          <w:sz w:val="20"/>
          <w:szCs w:val="20"/>
          <w:color w:val="auto"/>
        </w:rPr>
      </w:pPr>
    </w:p>
    <w:p>
      <w:pPr>
        <w:ind w:right="80"/>
        <w:spacing w:after="0" w:line="264"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Proxies</w:t>
      </w:r>
      <w:r>
        <w:rPr>
          <w:rFonts w:ascii="Arial" w:cs="Arial" w:eastAsia="Arial" w:hAnsi="Arial"/>
          <w:sz w:val="22"/>
          <w:szCs w:val="22"/>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91" w:lineRule="exact"/>
        <w:rPr>
          <w:sz w:val="20"/>
          <w:szCs w:val="20"/>
          <w:color w:val="auto"/>
        </w:rPr>
      </w:pPr>
    </w:p>
    <w:p>
      <w:pPr>
        <w:ind w:right="500"/>
        <w:spacing w:after="0" w:line="296"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Record Date</w:t>
      </w:r>
      <w:r>
        <w:rPr>
          <w:rFonts w:ascii="Arial" w:cs="Arial" w:eastAsia="Arial" w:hAnsi="Arial"/>
          <w:sz w:val="21"/>
          <w:szCs w:val="21"/>
          <w:color w:val="auto"/>
        </w:rPr>
        <w:t>. The record date for determining shareholders entitled to notice and to vote at any meeting will be thirty days before the date of such meeting, unless otherwise determined by the Board.</w:t>
      </w:r>
    </w:p>
    <w:p>
      <w:pPr>
        <w:spacing w:after="0" w:line="160" w:lineRule="exact"/>
        <w:rPr>
          <w:sz w:val="20"/>
          <w:szCs w:val="20"/>
          <w:color w:val="auto"/>
        </w:rPr>
      </w:pPr>
    </w:p>
    <w:p>
      <w:pPr>
        <w:ind w:right="220"/>
        <w:spacing w:after="0" w:line="285"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Quorum and Voting</w:t>
      </w:r>
      <w:r>
        <w:rPr>
          <w:rFonts w:ascii="Arial" w:cs="Arial" w:eastAsia="Arial" w:hAnsi="Arial"/>
          <w:sz w:val="22"/>
          <w:szCs w:val="22"/>
          <w:color w:val="auto"/>
        </w:rPr>
        <w:t>. A majority of the outstanding capital stock, represented in person or by proxy, shall constitute a quorum at any</w:t>
      </w:r>
    </w:p>
    <w:p>
      <w:pPr>
        <w:sectPr>
          <w:pgSz w:w="11900" w:h="16838" w:orient="portrait"/>
          <w:cols w:equalWidth="0" w:num="1">
            <w:col w:w="10780"/>
          </w:cols>
          <w:pgMar w:left="320" w:top="1229" w:right="799" w:bottom="1440" w:gutter="0" w:footer="0" w:header="0"/>
        </w:sectPr>
      </w:pPr>
    </w:p>
    <w:bookmarkStart w:id="118" w:name="page119"/>
    <w:bookmarkEnd w:id="118"/>
    <w:p>
      <w:pPr>
        <w:ind w:right="60"/>
        <w:spacing w:after="0" w:line="253" w:lineRule="auto"/>
        <w:rPr>
          <w:sz w:val="20"/>
          <w:szCs w:val="20"/>
          <w:color w:val="auto"/>
        </w:rPr>
      </w:pPr>
      <w:r>
        <w:rPr>
          <w:rFonts w:ascii="Arial" w:cs="Arial" w:eastAsia="Arial" w:hAnsi="Arial"/>
          <w:sz w:val="22"/>
          <w:szCs w:val="22"/>
          <w:color w:val="auto"/>
        </w:rPr>
        <w:t>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Inspectors</w:t>
      </w:r>
      <w:r>
        <w:rPr>
          <w:rFonts w:ascii="Arial" w:cs="Arial" w:eastAsia="Arial" w:hAnsi="Arial"/>
          <w:sz w:val="22"/>
          <w:szCs w:val="22"/>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226" w:lineRule="exact"/>
        <w:rPr>
          <w:sz w:val="20"/>
          <w:szCs w:val="20"/>
          <w:color w:val="auto"/>
        </w:rPr>
      </w:pPr>
    </w:p>
    <w:p>
      <w:pPr>
        <w:ind w:right="180"/>
        <w:spacing w:after="0" w:line="272"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Waiver and Consent</w:t>
      </w:r>
      <w:r>
        <w:rPr>
          <w:rFonts w:ascii="Arial" w:cs="Arial" w:eastAsia="Arial" w:hAnsi="Arial"/>
          <w:sz w:val="22"/>
          <w:szCs w:val="22"/>
          <w:color w:val="auto"/>
        </w:rPr>
        <w:t>. The shareholders may act without notice or a meeting by a unanimous written consent by all shareholders.</w:t>
      </w:r>
    </w:p>
    <w:p>
      <w:pPr>
        <w:spacing w:after="0" w:line="183" w:lineRule="exact"/>
        <w:rPr>
          <w:sz w:val="20"/>
          <w:szCs w:val="20"/>
          <w:color w:val="auto"/>
        </w:rPr>
      </w:pPr>
    </w:p>
    <w:p>
      <w:pPr>
        <w:jc w:val="both"/>
        <w:ind w:right="380"/>
        <w:spacing w:after="0" w:line="264"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Remote Meetings</w:t>
      </w:r>
      <w:r>
        <w:rPr>
          <w:rFonts w:ascii="Arial" w:cs="Arial" w:eastAsia="Arial" w:hAnsi="Arial"/>
          <w:sz w:val="22"/>
          <w:szCs w:val="22"/>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22"/>
          <w:szCs w:val="22"/>
          <w:u w:val="single" w:color="auto"/>
          <w:color w:val="auto"/>
        </w:rPr>
        <w:t>ARTICLE II</w:t>
      </w:r>
    </w:p>
    <w:p>
      <w:pPr>
        <w:spacing w:after="0" w:line="24" w:lineRule="exact"/>
        <w:rPr>
          <w:sz w:val="20"/>
          <w:szCs w:val="20"/>
          <w:color w:val="auto"/>
        </w:rPr>
      </w:pPr>
    </w:p>
    <w:p>
      <w:pPr>
        <w:jc w:val="center"/>
        <w:ind w:right="-379"/>
        <w:spacing w:after="0"/>
        <w:rPr>
          <w:sz w:val="20"/>
          <w:szCs w:val="20"/>
          <w:color w:val="auto"/>
        </w:rPr>
      </w:pPr>
      <w:r>
        <w:rPr>
          <w:rFonts w:ascii="Arial" w:cs="Arial" w:eastAsia="Arial" w:hAnsi="Arial"/>
          <w:sz w:val="22"/>
          <w:szCs w:val="22"/>
          <w:u w:val="single" w:color="auto"/>
          <w:color w:val="auto"/>
        </w:rPr>
        <w:t>Directors</w:t>
      </w:r>
    </w:p>
    <w:p>
      <w:pPr>
        <w:spacing w:after="0" w:line="227" w:lineRule="exact"/>
        <w:rPr>
          <w:sz w:val="20"/>
          <w:szCs w:val="20"/>
          <w:color w:val="auto"/>
        </w:rPr>
      </w:pPr>
    </w:p>
    <w:p>
      <w:pPr>
        <w:jc w:val="both"/>
        <w:ind w:right="500"/>
        <w:spacing w:after="0" w:line="257"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Board of Directors</w:t>
      </w:r>
      <w:r>
        <w:rPr>
          <w:rFonts w:ascii="Arial" w:cs="Arial" w:eastAsia="Arial" w:hAnsi="Arial"/>
          <w:sz w:val="22"/>
          <w:szCs w:val="22"/>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213" w:lineRule="exact"/>
        <w:rPr>
          <w:sz w:val="20"/>
          <w:szCs w:val="20"/>
          <w:color w:val="auto"/>
        </w:rPr>
      </w:pPr>
    </w:p>
    <w:p>
      <w:pPr>
        <w:ind w:right="1040"/>
        <w:spacing w:after="0" w:line="272"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Term of Office</w:t>
      </w:r>
      <w:r>
        <w:rPr>
          <w:rFonts w:ascii="Arial" w:cs="Arial" w:eastAsia="Arial" w:hAnsi="Arial"/>
          <w:sz w:val="22"/>
          <w:szCs w:val="22"/>
          <w:color w:val="auto"/>
        </w:rPr>
        <w:t>. The directors of this Association shall hold office for one year and until their successors are duly elected and qualified, or until their earlier resignation or removal.</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Powers</w:t>
      </w:r>
      <w:r>
        <w:rPr>
          <w:rFonts w:ascii="Arial" w:cs="Arial" w:eastAsia="Arial" w:hAnsi="Arial"/>
          <w:sz w:val="22"/>
          <w:szCs w:val="22"/>
          <w:color w:val="auto"/>
        </w:rPr>
        <w:t>. In addition to the foregoing, the Board shall have and may exercise all of the powers granted to or conferred upon it by the Articles of Association, the Bylaws and by law.</w:t>
      </w:r>
    </w:p>
    <w:p>
      <w:pPr>
        <w:spacing w:after="0" w:line="210" w:lineRule="exact"/>
        <w:rPr>
          <w:sz w:val="20"/>
          <w:szCs w:val="20"/>
          <w:color w:val="auto"/>
        </w:rPr>
      </w:pPr>
    </w:p>
    <w:p>
      <w:pPr>
        <w:ind w:right="180"/>
        <w:spacing w:after="0" w:line="268"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u w:val="single" w:color="auto"/>
          <w:color w:val="auto"/>
        </w:rPr>
        <w:t>Number</w:t>
      </w:r>
      <w:r>
        <w:rPr>
          <w:rFonts w:ascii="Arial" w:cs="Arial" w:eastAsia="Arial" w:hAnsi="Arial"/>
          <w:sz w:val="21"/>
          <w:szCs w:val="21"/>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80"/>
          </w:cols>
          <w:pgMar w:left="320" w:top="1301" w:right="699" w:bottom="1440" w:gutter="0" w:footer="0" w:header="0"/>
        </w:sectPr>
      </w:pPr>
    </w:p>
    <w:bookmarkStart w:id="119" w:name="page120"/>
    <w:bookmarkEnd w:id="119"/>
    <w:p>
      <w:pPr>
        <w:ind w:right="420"/>
        <w:spacing w:after="0" w:line="250" w:lineRule="auto"/>
        <w:rPr>
          <w:sz w:val="20"/>
          <w:szCs w:val="20"/>
          <w:color w:val="auto"/>
        </w:rPr>
      </w:pPr>
      <w:r>
        <w:rPr>
          <w:rFonts w:ascii="Arial" w:cs="Arial" w:eastAsia="Arial" w:hAnsi="Arial"/>
          <w:sz w:val="22"/>
          <w:szCs w:val="22"/>
          <w:color w:val="auto"/>
        </w:rPr>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34" w:lineRule="exact"/>
        <w:rPr>
          <w:sz w:val="20"/>
          <w:szCs w:val="20"/>
          <w:color w:val="auto"/>
        </w:rPr>
      </w:pPr>
    </w:p>
    <w:p>
      <w:pPr>
        <w:ind w:right="260"/>
        <w:spacing w:after="0" w:line="268"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Organization Meeting</w:t>
      </w:r>
      <w:r>
        <w:rPr>
          <w:rFonts w:ascii="Arial" w:cs="Arial" w:eastAsia="Arial" w:hAnsi="Arial"/>
          <w:sz w:val="21"/>
          <w:szCs w:val="21"/>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91" w:lineRule="exact"/>
        <w:rPr>
          <w:sz w:val="20"/>
          <w:szCs w:val="20"/>
          <w:color w:val="auto"/>
        </w:rPr>
      </w:pPr>
    </w:p>
    <w:p>
      <w:pPr>
        <w:ind w:right="400"/>
        <w:spacing w:after="0" w:line="272"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Regular Meetings</w:t>
      </w:r>
      <w:r>
        <w:rPr>
          <w:rFonts w:ascii="Arial" w:cs="Arial" w:eastAsia="Arial" w:hAnsi="Arial"/>
          <w:sz w:val="22"/>
          <w:szCs w:val="22"/>
          <w:color w:val="auto"/>
        </w:rPr>
        <w:t>. The regular meetings of the Board shall be held, without notice, as the Chairman or President may designate and deem suitable.</w:t>
      </w:r>
    </w:p>
    <w:p>
      <w:pPr>
        <w:spacing w:after="0" w:line="183" w:lineRule="exact"/>
        <w:rPr>
          <w:sz w:val="20"/>
          <w:szCs w:val="20"/>
          <w:color w:val="auto"/>
        </w:rPr>
      </w:pPr>
    </w:p>
    <w:p>
      <w:pPr>
        <w:ind w:right="280"/>
        <w:spacing w:after="0" w:line="264"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Quorum and Necessary Vote</w:t>
      </w:r>
      <w:r>
        <w:rPr>
          <w:rFonts w:ascii="Arial" w:cs="Arial" w:eastAsia="Arial" w:hAnsi="Arial"/>
          <w:sz w:val="22"/>
          <w:szCs w:val="22"/>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20"/>
          </w:cols>
          <w:pgMar w:left="320" w:top="1301" w:right="459" w:bottom="1440" w:gutter="0" w:footer="0" w:header="0"/>
        </w:sectPr>
      </w:pPr>
    </w:p>
    <w:bookmarkStart w:id="120" w:name="page121"/>
    <w:bookmarkEnd w:id="120"/>
    <w:p>
      <w:pPr>
        <w:jc w:val="both"/>
        <w:spacing w:after="0" w:line="257" w:lineRule="auto"/>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Written Consent</w:t>
      </w:r>
      <w:r>
        <w:rPr>
          <w:rFonts w:ascii="Arial" w:cs="Arial" w:eastAsia="Arial" w:hAnsi="Arial"/>
          <w:sz w:val="22"/>
          <w:szCs w:val="22"/>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227"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Remote Meetings</w:t>
      </w:r>
      <w:r>
        <w:rPr>
          <w:rFonts w:ascii="Arial" w:cs="Arial" w:eastAsia="Arial" w:hAnsi="Arial"/>
          <w:sz w:val="22"/>
          <w:szCs w:val="22"/>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99" w:lineRule="exact"/>
        <w:rPr>
          <w:sz w:val="20"/>
          <w:szCs w:val="20"/>
          <w:color w:val="auto"/>
        </w:rPr>
      </w:pPr>
    </w:p>
    <w:p>
      <w:pPr>
        <w:ind w:right="180"/>
        <w:spacing w:after="0" w:line="257"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Vacancies</w:t>
      </w:r>
      <w:r>
        <w:rPr>
          <w:rFonts w:ascii="Arial" w:cs="Arial" w:eastAsia="Arial" w:hAnsi="Arial"/>
          <w:sz w:val="22"/>
          <w:szCs w:val="22"/>
          <w:color w:val="auto"/>
        </w:rPr>
        <w:t>. When any vacancy occurs among the directors, the remaining members of the Board may appoint a director to fill such vacancy at any regular meeting of the Board, or at a special meeting called for that purpose.</w:t>
      </w:r>
    </w:p>
    <w:p>
      <w:pPr>
        <w:spacing w:after="0" w:line="267"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III</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Committees</w:t>
      </w:r>
    </w:p>
    <w:p>
      <w:pPr>
        <w:spacing w:after="0" w:line="267"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Advisory Board of Directors</w:t>
      </w:r>
      <w:r>
        <w:rPr>
          <w:rFonts w:ascii="Arial" w:cs="Arial" w:eastAsia="Arial" w:hAnsi="Arial"/>
          <w:sz w:val="22"/>
          <w:szCs w:val="22"/>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Trust Audit Committee</w:t>
      </w:r>
      <w:r>
        <w:rPr>
          <w:rFonts w:ascii="Arial" w:cs="Arial" w:eastAsia="Arial" w:hAnsi="Arial"/>
          <w:sz w:val="22"/>
          <w:szCs w:val="22"/>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8" w:lineRule="exact"/>
        <w:rPr>
          <w:sz w:val="20"/>
          <w:szCs w:val="20"/>
          <w:color w:val="auto"/>
        </w:rPr>
      </w:pPr>
    </w:p>
    <w:p>
      <w:pPr>
        <w:ind w:right="220"/>
        <w:spacing w:after="0" w:line="285" w:lineRule="auto"/>
        <w:rPr>
          <w:sz w:val="20"/>
          <w:szCs w:val="20"/>
          <w:color w:val="auto"/>
        </w:rPr>
      </w:pPr>
      <w:r>
        <w:rPr>
          <w:rFonts w:ascii="Arial" w:cs="Arial" w:eastAsia="Arial" w:hAnsi="Arial"/>
          <w:sz w:val="22"/>
          <w:szCs w:val="22"/>
          <w:color w:val="auto"/>
        </w:rPr>
        <w:t>The Audit Committee of the financial holding company that is the ultimate parent of this Association, fulfilling the function of the trust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880"/>
          </w:cols>
          <w:pgMar w:left="320" w:top="1301" w:right="699" w:bottom="1440" w:gutter="0" w:footer="0" w:header="0"/>
        </w:sectPr>
      </w:pPr>
    </w:p>
    <w:bookmarkStart w:id="121" w:name="page122"/>
    <w:bookmarkEnd w:id="121"/>
    <w:p>
      <w:pPr>
        <w:ind w:left="980" w:right="720"/>
        <w:spacing w:after="0" w:line="272" w:lineRule="auto"/>
        <w:tabs>
          <w:tab w:leader="none" w:pos="1298" w:val="left"/>
        </w:tabs>
        <w:numPr>
          <w:ilvl w:val="0"/>
          <w:numId w:val="86"/>
        </w:numPr>
        <w:rPr>
          <w:rFonts w:ascii="Arial" w:cs="Arial" w:eastAsia="Arial" w:hAnsi="Arial"/>
          <w:sz w:val="22"/>
          <w:szCs w:val="22"/>
          <w:color w:val="auto"/>
        </w:rPr>
      </w:pPr>
      <w:r>
        <w:rPr>
          <w:rFonts w:ascii="Arial" w:cs="Arial" w:eastAsia="Arial" w:hAnsi="Arial"/>
          <w:sz w:val="22"/>
          <w:szCs w:val="22"/>
          <w:color w:val="auto"/>
        </w:rPr>
        <w:t>Must not include any officers of the Association or an affiliate who participate significantly in the administration of the Association’s fiduciary activities; and</w:t>
      </w:r>
    </w:p>
    <w:p>
      <w:pPr>
        <w:spacing w:after="0" w:line="209" w:lineRule="exact"/>
        <w:rPr>
          <w:rFonts w:ascii="Arial" w:cs="Arial" w:eastAsia="Arial" w:hAnsi="Arial"/>
          <w:sz w:val="22"/>
          <w:szCs w:val="22"/>
          <w:color w:val="auto"/>
        </w:rPr>
      </w:pPr>
    </w:p>
    <w:p>
      <w:pPr>
        <w:ind w:left="980" w:right="620"/>
        <w:spacing w:after="0" w:line="272" w:lineRule="auto"/>
        <w:tabs>
          <w:tab w:leader="none" w:pos="1298" w:val="left"/>
        </w:tabs>
        <w:numPr>
          <w:ilvl w:val="0"/>
          <w:numId w:val="86"/>
        </w:numPr>
        <w:rPr>
          <w:rFonts w:ascii="Arial" w:cs="Arial" w:eastAsia="Arial" w:hAnsi="Arial"/>
          <w:sz w:val="22"/>
          <w:szCs w:val="22"/>
          <w:color w:val="auto"/>
        </w:rPr>
      </w:pPr>
      <w:r>
        <w:rPr>
          <w:rFonts w:ascii="Arial" w:cs="Arial" w:eastAsia="Arial" w:hAnsi="Arial"/>
          <w:sz w:val="22"/>
          <w:szCs w:val="22"/>
          <w:color w:val="auto"/>
        </w:rPr>
        <w:t>Must consist of a majority of members who are not also members of any committee to which the Board has delegated power to manage and control the fiduciary activities of the Association.</w:t>
      </w:r>
    </w:p>
    <w:p>
      <w:pPr>
        <w:spacing w:after="0" w:line="210" w:lineRule="exact"/>
        <w:rPr>
          <w:sz w:val="20"/>
          <w:szCs w:val="20"/>
          <w:color w:val="auto"/>
        </w:rPr>
      </w:pPr>
    </w:p>
    <w:p>
      <w:pPr>
        <w:ind w:right="220"/>
        <w:spacing w:after="0" w:line="264"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Executive Committee</w:t>
      </w:r>
      <w:r>
        <w:rPr>
          <w:rFonts w:ascii="Arial" w:cs="Arial" w:eastAsia="Arial" w:hAnsi="Arial"/>
          <w:sz w:val="22"/>
          <w:szCs w:val="22"/>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218"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Trust Management Committee</w:t>
      </w:r>
      <w:r>
        <w:rPr>
          <w:rFonts w:ascii="Arial" w:cs="Arial" w:eastAsia="Arial" w:hAnsi="Arial"/>
          <w:sz w:val="22"/>
          <w:szCs w:val="22"/>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207" w:lineRule="exact"/>
        <w:rPr>
          <w:sz w:val="20"/>
          <w:szCs w:val="20"/>
          <w:color w:val="auto"/>
        </w:rPr>
      </w:pPr>
    </w:p>
    <w:p>
      <w:pPr>
        <w:ind w:right="180"/>
        <w:spacing w:after="0" w:line="264"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u w:val="single" w:color="auto"/>
          <w:color w:val="auto"/>
        </w:rPr>
        <w:t>Other Committees</w:t>
      </w:r>
      <w:r>
        <w:rPr>
          <w:rFonts w:ascii="Arial" w:cs="Arial" w:eastAsia="Arial" w:hAnsi="Arial"/>
          <w:sz w:val="21"/>
          <w:szCs w:val="21"/>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Meetings, Minutes and Rules</w:t>
      </w:r>
      <w:r>
        <w:rPr>
          <w:rFonts w:ascii="Arial" w:cs="Arial" w:eastAsia="Arial" w:hAnsi="Arial"/>
          <w:sz w:val="22"/>
          <w:szCs w:val="22"/>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80"/>
          </w:cols>
          <w:pgMar w:left="320" w:top="1301" w:right="49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its purpose, adopt its own rules for the exercise of any of its functions or authority.</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ARTICLE IV</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Officers</w:t>
      </w:r>
    </w:p>
    <w:p>
      <w:pPr>
        <w:spacing w:after="0" w:line="227"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Section 4.1 Who Shall Constitut</w:t>
      </w:r>
      <w:r>
        <w:rPr>
          <w:rFonts w:ascii="Arial" w:cs="Arial" w:eastAsia="Arial" w:hAnsi="Arial"/>
          <w:sz w:val="22"/>
          <w:szCs w:val="22"/>
          <w:u w:val="single" w:color="auto"/>
          <w:color w:val="auto"/>
        </w:rPr>
        <w:t>e.</w:t>
      </w:r>
      <w:r>
        <w:rPr>
          <w:rFonts w:ascii="Arial" w:cs="Arial" w:eastAsia="Arial" w:hAnsi="Arial"/>
          <w:sz w:val="22"/>
          <w:szCs w:val="22"/>
          <w:color w:val="auto"/>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249"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Section 4.2 Term of Offic</w:t>
      </w:r>
      <w:r>
        <w:rPr>
          <w:rFonts w:ascii="Arial" w:cs="Arial" w:eastAsia="Arial" w:hAnsi="Arial"/>
          <w:sz w:val="22"/>
          <w:szCs w:val="22"/>
          <w:u w:val="single" w:color="auto"/>
          <w:color w:val="auto"/>
        </w:rPr>
        <w:t>e.</w:t>
      </w:r>
      <w:r>
        <w:rPr>
          <w:rFonts w:ascii="Arial" w:cs="Arial" w:eastAsia="Arial" w:hAnsi="Arial"/>
          <w:sz w:val="22"/>
          <w:szCs w:val="22"/>
          <w:color w:val="auto"/>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235" w:lineRule="exact"/>
        <w:rPr>
          <w:sz w:val="20"/>
          <w:szCs w:val="20"/>
          <w:color w:val="auto"/>
        </w:rPr>
      </w:pPr>
    </w:p>
    <w:p>
      <w:pPr>
        <w:ind w:right="540"/>
        <w:spacing w:after="0" w:line="253"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Chairman of the Board</w:t>
      </w:r>
      <w:r>
        <w:rPr>
          <w:rFonts w:ascii="Arial" w:cs="Arial" w:eastAsia="Arial" w:hAnsi="Arial"/>
          <w:sz w:val="22"/>
          <w:szCs w:val="22"/>
          <w:color w:val="auto"/>
        </w:rPr>
        <w:t xml:space="preserve"> .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President</w:t>
      </w:r>
      <w:r>
        <w:rPr>
          <w:rFonts w:ascii="Arial" w:cs="Arial" w:eastAsia="Arial" w:hAnsi="Arial"/>
          <w:sz w:val="22"/>
          <w:szCs w:val="22"/>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206" w:lineRule="exact"/>
        <w:rPr>
          <w:sz w:val="20"/>
          <w:szCs w:val="20"/>
          <w:color w:val="auto"/>
        </w:rPr>
      </w:pPr>
    </w:p>
    <w:p>
      <w:pPr>
        <w:ind w:right="280"/>
        <w:spacing w:after="0" w:line="272"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Vice President</w:t>
      </w:r>
      <w:r>
        <w:rPr>
          <w:rFonts w:ascii="Arial" w:cs="Arial" w:eastAsia="Arial" w:hAnsi="Arial"/>
          <w:sz w:val="22"/>
          <w:szCs w:val="22"/>
          <w:color w:val="auto"/>
        </w:rPr>
        <w:t>. The Board may appoint one or more Vice Presidents who shall have such powers and duties as may be assigned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301" w:right="379" w:bottom="1440" w:gutter="0" w:footer="0" w:header="0"/>
        </w:sectPr>
      </w:pPr>
    </w:p>
    <w:bookmarkStart w:id="123" w:name="page124"/>
    <w:bookmarkEnd w:id="123"/>
    <w:p>
      <w:pPr>
        <w:ind w:right="880"/>
        <w:spacing w:after="0" w:line="272" w:lineRule="auto"/>
        <w:rPr>
          <w:sz w:val="20"/>
          <w:szCs w:val="20"/>
          <w:color w:val="auto"/>
        </w:rPr>
      </w:pPr>
      <w:r>
        <w:rPr>
          <w:rFonts w:ascii="Arial" w:cs="Arial" w:eastAsia="Arial" w:hAnsi="Arial"/>
          <w:sz w:val="22"/>
          <w:szCs w:val="22"/>
          <w:color w:val="auto"/>
        </w:rPr>
        <w:t>Board and to perform the duties of the President on those occasions when the President is absent, including presiding at any meeting of the Board in the absence of both the Chairman and President.</w:t>
      </w:r>
    </w:p>
    <w:p>
      <w:pPr>
        <w:spacing w:after="0" w:line="210" w:lineRule="exact"/>
        <w:rPr>
          <w:sz w:val="20"/>
          <w:szCs w:val="20"/>
          <w:color w:val="auto"/>
        </w:rPr>
      </w:pPr>
    </w:p>
    <w:p>
      <w:pPr>
        <w:ind w:right="380"/>
        <w:spacing w:after="0" w:line="248"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Secretary</w:t>
      </w:r>
      <w:r>
        <w:rPr>
          <w:rFonts w:ascii="Arial" w:cs="Arial" w:eastAsia="Arial" w:hAnsi="Arial"/>
          <w:sz w:val="22"/>
          <w:szCs w:val="22"/>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226" w:lineRule="exact"/>
        <w:rPr>
          <w:sz w:val="20"/>
          <w:szCs w:val="20"/>
          <w:color w:val="auto"/>
        </w:rPr>
      </w:pPr>
    </w:p>
    <w:p>
      <w:pPr>
        <w:jc w:val="both"/>
        <w:ind w:right="440"/>
        <w:spacing w:after="0" w:line="249"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Other Officers</w:t>
      </w:r>
      <w:r>
        <w:rPr>
          <w:rFonts w:ascii="Arial" w:cs="Arial" w:eastAsia="Arial" w:hAnsi="Arial"/>
          <w:sz w:val="22"/>
          <w:szCs w:val="22"/>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2" w:lineRule="exact"/>
        <w:rPr>
          <w:sz w:val="20"/>
          <w:szCs w:val="20"/>
          <w:color w:val="auto"/>
        </w:rPr>
      </w:pPr>
    </w:p>
    <w:p>
      <w:pPr>
        <w:ind w:right="420"/>
        <w:spacing w:after="0" w:line="254" w:lineRule="auto"/>
        <w:rPr>
          <w:sz w:val="20"/>
          <w:szCs w:val="20"/>
          <w:color w:val="auto"/>
        </w:rPr>
      </w:pPr>
      <w:r>
        <w:rPr>
          <w:rFonts w:ascii="Arial" w:cs="Arial" w:eastAsia="Arial" w:hAnsi="Arial"/>
          <w:sz w:val="22"/>
          <w:szCs w:val="22"/>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ARTICLE V</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Stock</w:t>
      </w: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301" w:right="359" w:bottom="1440" w:gutter="0" w:footer="0" w:header="0"/>
        </w:sectPr>
      </w:pPr>
    </w:p>
    <w:bookmarkStart w:id="124" w:name="page125"/>
    <w:bookmarkEnd w:id="124"/>
    <w:p>
      <w:pPr>
        <w:ind w:right="540"/>
        <w:spacing w:after="0" w:line="272" w:lineRule="auto"/>
        <w:rPr>
          <w:sz w:val="20"/>
          <w:szCs w:val="20"/>
          <w:color w:val="auto"/>
        </w:rPr>
      </w:pPr>
      <w:r>
        <w:rPr>
          <w:rFonts w:ascii="Arial" w:cs="Arial" w:eastAsia="Arial" w:hAnsi="Arial"/>
          <w:sz w:val="22"/>
          <w:szCs w:val="22"/>
          <w:color w:val="auto"/>
        </w:rPr>
        <w:t>Association for stock transfers, voting at shareholder meetings, and related matters, and to protect it against fraudulent transfers.</w:t>
      </w: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22"/>
          <w:szCs w:val="22"/>
          <w:u w:val="single" w:color="auto"/>
          <w:color w:val="auto"/>
        </w:rPr>
        <w:t>ARTICLE VI</w:t>
      </w:r>
    </w:p>
    <w:p>
      <w:pPr>
        <w:spacing w:after="0" w:line="31" w:lineRule="exact"/>
        <w:rPr>
          <w:sz w:val="20"/>
          <w:szCs w:val="20"/>
          <w:color w:val="auto"/>
        </w:rPr>
      </w:pPr>
    </w:p>
    <w:p>
      <w:pPr>
        <w:jc w:val="center"/>
        <w:ind w:right="-399"/>
        <w:spacing w:after="0"/>
        <w:rPr>
          <w:sz w:val="20"/>
          <w:szCs w:val="20"/>
          <w:color w:val="auto"/>
        </w:rPr>
      </w:pPr>
      <w:r>
        <w:rPr>
          <w:rFonts w:ascii="Arial" w:cs="Arial" w:eastAsia="Arial" w:hAnsi="Arial"/>
          <w:sz w:val="22"/>
          <w:szCs w:val="22"/>
          <w:u w:val="single" w:color="auto"/>
          <w:color w:val="auto"/>
        </w:rPr>
        <w:t>Corporate Seal</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22"/>
          <w:szCs w:val="22"/>
          <w:u w:val="single" w:color="auto"/>
          <w:color w:val="auto"/>
        </w:rPr>
        <w:t>ARTICLE VII</w:t>
      </w:r>
    </w:p>
    <w:p>
      <w:pPr>
        <w:spacing w:after="0" w:line="24" w:lineRule="exact"/>
        <w:rPr>
          <w:sz w:val="20"/>
          <w:szCs w:val="20"/>
          <w:color w:val="auto"/>
        </w:rPr>
      </w:pPr>
    </w:p>
    <w:p>
      <w:pPr>
        <w:jc w:val="center"/>
        <w:ind w:right="-399"/>
        <w:spacing w:after="0"/>
        <w:rPr>
          <w:sz w:val="20"/>
          <w:szCs w:val="20"/>
          <w:color w:val="auto"/>
        </w:rPr>
      </w:pPr>
      <w:r>
        <w:rPr>
          <w:rFonts w:ascii="Arial" w:cs="Arial" w:eastAsia="Arial" w:hAnsi="Arial"/>
          <w:sz w:val="22"/>
          <w:szCs w:val="22"/>
          <w:u w:val="single" w:color="auto"/>
          <w:color w:val="auto"/>
        </w:rPr>
        <w:t>Miscellaneous Provisions</w:t>
      </w:r>
    </w:p>
    <w:p>
      <w:pPr>
        <w:spacing w:after="0" w:line="254" w:lineRule="exact"/>
        <w:rPr>
          <w:sz w:val="20"/>
          <w:szCs w:val="20"/>
          <w:color w:val="auto"/>
        </w:rPr>
      </w:pPr>
    </w:p>
    <w:p>
      <w:pPr>
        <w:ind w:right="100"/>
        <w:spacing w:after="0" w:line="261"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Execution of Instruments</w:t>
      </w:r>
      <w:r>
        <w:rPr>
          <w:rFonts w:ascii="Arial" w:cs="Arial" w:eastAsia="Arial" w:hAnsi="Arial"/>
          <w:sz w:val="21"/>
          <w:szCs w:val="21"/>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215"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Records</w:t>
      </w:r>
      <w:r>
        <w:rPr>
          <w:rFonts w:ascii="Arial" w:cs="Arial" w:eastAsia="Arial" w:hAnsi="Arial"/>
          <w:sz w:val="22"/>
          <w:szCs w:val="22"/>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229" w:lineRule="exact"/>
        <w:rPr>
          <w:sz w:val="20"/>
          <w:szCs w:val="20"/>
          <w:color w:val="auto"/>
        </w:rPr>
      </w:pPr>
    </w:p>
    <w:p>
      <w:pPr>
        <w:ind w:right="620"/>
        <w:spacing w:after="0" w:line="272"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Trust Files</w:t>
      </w:r>
      <w:r>
        <w:rPr>
          <w:rFonts w:ascii="Arial" w:cs="Arial" w:eastAsia="Arial" w:hAnsi="Arial"/>
          <w:sz w:val="22"/>
          <w:szCs w:val="22"/>
          <w:color w:val="auto"/>
        </w:rPr>
        <w:t>. There shall be maintained in the Association files all fiduciary records necessary to assure that its fiduciary responsibilities have been properly undertaken and discharged.</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Trust Investments</w:t>
      </w:r>
      <w:r>
        <w:rPr>
          <w:rFonts w:ascii="Arial" w:cs="Arial" w:eastAsia="Arial" w:hAnsi="Arial"/>
          <w:sz w:val="22"/>
          <w:szCs w:val="22"/>
          <w:color w:val="auto"/>
        </w:rPr>
        <w:t>. Funds held in a fiduciary capacity shall be invested according to the instrument establishing the fiduciary relationship and according to law. Where such instrument does not specify the character and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840"/>
          </w:cols>
          <w:pgMar w:left="320" w:top="1301" w:right="739" w:bottom="1440" w:gutter="0" w:footer="0" w:header="0"/>
        </w:sectPr>
      </w:pPr>
    </w:p>
    <w:bookmarkStart w:id="125" w:name="page126"/>
    <w:bookmarkEnd w:id="125"/>
    <w:p>
      <w:pPr>
        <w:ind w:right="40"/>
        <w:spacing w:after="0" w:line="272" w:lineRule="auto"/>
        <w:rPr>
          <w:sz w:val="20"/>
          <w:szCs w:val="20"/>
          <w:color w:val="auto"/>
        </w:rPr>
      </w:pPr>
      <w:r>
        <w:rPr>
          <w:rFonts w:ascii="Arial" w:cs="Arial" w:eastAsia="Arial" w:hAnsi="Arial"/>
          <w:sz w:val="22"/>
          <w:szCs w:val="22"/>
          <w:color w:val="auto"/>
        </w:rPr>
        <w:t>of investments to be made and does not vest in the Association a discretion in the matter, funds held pursuant to such instrument shall be invested in investments in which corporate fiduciaries may invest under law.</w:t>
      </w:r>
    </w:p>
    <w:p>
      <w:pPr>
        <w:spacing w:after="0" w:line="210"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Notice</w:t>
      </w:r>
      <w:r>
        <w:rPr>
          <w:rFonts w:ascii="Arial" w:cs="Arial" w:eastAsia="Arial" w:hAnsi="Arial"/>
          <w:sz w:val="22"/>
          <w:szCs w:val="22"/>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Except where specified otherwise in these Bylaws, prior notice shall be proper if given not more than 30 days nor less than 10 days prior to the event for which notice is given.</w:t>
      </w:r>
    </w:p>
    <w:p>
      <w:pPr>
        <w:spacing w:after="0" w:line="14" w:lineRule="exact"/>
        <w:rPr>
          <w:sz w:val="20"/>
          <w:szCs w:val="20"/>
          <w:color w:val="auto"/>
        </w:rPr>
      </w:pPr>
    </w:p>
    <w:p>
      <w:pPr>
        <w:jc w:val="center"/>
        <w:ind w:right="-459"/>
        <w:spacing w:after="0"/>
        <w:rPr>
          <w:sz w:val="20"/>
          <w:szCs w:val="20"/>
          <w:color w:val="auto"/>
        </w:rPr>
      </w:pPr>
      <w:r>
        <w:rPr>
          <w:rFonts w:ascii="Arial" w:cs="Arial" w:eastAsia="Arial" w:hAnsi="Arial"/>
          <w:sz w:val="22"/>
          <w:szCs w:val="22"/>
          <w:u w:val="single" w:color="auto"/>
          <w:color w:val="auto"/>
        </w:rPr>
        <w:t>ARTICLE VIII</w:t>
      </w:r>
    </w:p>
    <w:p>
      <w:pPr>
        <w:spacing w:after="0" w:line="24" w:lineRule="exact"/>
        <w:rPr>
          <w:sz w:val="20"/>
          <w:szCs w:val="20"/>
          <w:color w:val="auto"/>
        </w:rPr>
      </w:pPr>
    </w:p>
    <w:p>
      <w:pPr>
        <w:jc w:val="center"/>
        <w:ind w:right="-459"/>
        <w:spacing w:after="0"/>
        <w:rPr>
          <w:sz w:val="20"/>
          <w:szCs w:val="20"/>
          <w:color w:val="auto"/>
        </w:rPr>
      </w:pPr>
      <w:r>
        <w:rPr>
          <w:rFonts w:ascii="Arial" w:cs="Arial" w:eastAsia="Arial" w:hAnsi="Arial"/>
          <w:sz w:val="22"/>
          <w:szCs w:val="22"/>
          <w:u w:val="single" w:color="auto"/>
          <w:color w:val="auto"/>
        </w:rPr>
        <w:t>Indemnification</w:t>
      </w:r>
    </w:p>
    <w:p>
      <w:pPr>
        <w:spacing w:after="0" w:line="240"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C.F.R. § 7.2014 and shall exclude coverage of liability for a formal order assessing civil money penalties against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an institution-affiliated party, as defined at 12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U.S.C. § 1813(u).</w:t>
      </w:r>
    </w:p>
    <w:p>
      <w:pPr>
        <w:spacing w:after="0" w:line="227"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Section 8.2. Notwithstanding Section 8.1, however, (a) any indemnification payments to an institution-affiliated party, as defined at 12</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22"/>
          <w:szCs w:val="22"/>
          <w:color w:val="auto"/>
        </w:rPr>
        <w:t>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780"/>
          </w:cols>
          <w:pgMar w:left="320" w:top="1301" w:right="799" w:bottom="1440" w:gutter="0" w:footer="0" w:header="0"/>
        </w:sectPr>
      </w:pPr>
    </w:p>
    <w:bookmarkStart w:id="126" w:name="page127"/>
    <w:bookmarkEnd w:id="126"/>
    <w:p>
      <w:pPr>
        <w:jc w:val="center"/>
        <w:ind w:right="-339"/>
        <w:spacing w:after="0"/>
        <w:rPr>
          <w:sz w:val="20"/>
          <w:szCs w:val="20"/>
          <w:color w:val="auto"/>
        </w:rPr>
      </w:pPr>
      <w:r>
        <w:rPr>
          <w:rFonts w:ascii="Arial" w:cs="Arial" w:eastAsia="Arial" w:hAnsi="Arial"/>
          <w:sz w:val="22"/>
          <w:szCs w:val="22"/>
          <w:u w:val="single" w:color="auto"/>
          <w:color w:val="auto"/>
        </w:rPr>
        <w:t>ARTICLE IX</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Bylaws: Interpretation and Amendment</w:t>
      </w:r>
    </w:p>
    <w:p>
      <w:pPr>
        <w:spacing w:after="0" w:line="254" w:lineRule="exact"/>
        <w:rPr>
          <w:sz w:val="20"/>
          <w:szCs w:val="20"/>
          <w:color w:val="auto"/>
        </w:rPr>
      </w:pPr>
    </w:p>
    <w:p>
      <w:pPr>
        <w:ind w:right="360"/>
        <w:spacing w:after="0" w:line="272" w:lineRule="auto"/>
        <w:rPr>
          <w:sz w:val="20"/>
          <w:szCs w:val="20"/>
          <w:color w:val="auto"/>
        </w:rPr>
      </w:pPr>
      <w:r>
        <w:rPr>
          <w:rFonts w:ascii="Arial" w:cs="Arial" w:eastAsia="Arial" w:hAnsi="Arial"/>
          <w:sz w:val="22"/>
          <w:szCs w:val="22"/>
          <w:color w:val="auto"/>
        </w:rPr>
        <w:t>Section 9.1. These Bylaws shall be interpreted in accordance with and subject to appropriate provisions of law, and may be added to, altered, amended, or repealed, at any regular or special meeting of the Board.</w:t>
      </w:r>
    </w:p>
    <w:p>
      <w:pPr>
        <w:spacing w:after="0" w:line="210" w:lineRule="exact"/>
        <w:rPr>
          <w:sz w:val="20"/>
          <w:szCs w:val="20"/>
          <w:color w:val="auto"/>
        </w:rPr>
      </w:pPr>
    </w:p>
    <w:p>
      <w:pPr>
        <w:ind w:right="300"/>
        <w:spacing w:after="0" w:line="310" w:lineRule="auto"/>
        <w:rPr>
          <w:sz w:val="20"/>
          <w:szCs w:val="20"/>
          <w:color w:val="auto"/>
        </w:rPr>
      </w:pPr>
      <w:r>
        <w:rPr>
          <w:rFonts w:ascii="Arial" w:cs="Arial" w:eastAsia="Arial" w:hAnsi="Arial"/>
          <w:sz w:val="21"/>
          <w:szCs w:val="21"/>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ARTICLE X</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Miscellaneous Provisions</w:t>
      </w:r>
    </w:p>
    <w:p>
      <w:pPr>
        <w:spacing w:after="0" w:line="247" w:lineRule="exact"/>
        <w:rPr>
          <w:sz w:val="20"/>
          <w:szCs w:val="20"/>
          <w:color w:val="auto"/>
        </w:rPr>
      </w:pPr>
    </w:p>
    <w:p>
      <w:pPr>
        <w:ind w:right="360"/>
        <w:spacing w:after="0" w:line="272"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Association shall begin on the first day of January in each year and shall end on the thirty-first day of December following.</w:t>
      </w:r>
    </w:p>
    <w:p>
      <w:pPr>
        <w:spacing w:after="0" w:line="183" w:lineRule="exact"/>
        <w:rPr>
          <w:sz w:val="20"/>
          <w:szCs w:val="20"/>
          <w:color w:val="auto"/>
        </w:rPr>
      </w:pPr>
    </w:p>
    <w:p>
      <w:pPr>
        <w:ind w:right="240"/>
        <w:spacing w:after="0" w:line="257"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6, 2025)</w:t>
      </w:r>
    </w:p>
    <w:p>
      <w:pPr>
        <w:sectPr>
          <w:pgSz w:w="11900" w:h="16838" w:orient="portrait"/>
          <w:cols w:equalWidth="0" w:num="1">
            <w:col w:w="10920"/>
          </w:cols>
          <w:pgMar w:left="320" w:top="1301" w:right="659" w:bottom="1440" w:gutter="0" w:footer="0" w:header="0"/>
        </w:sectPr>
      </w:pPr>
    </w:p>
    <w:bookmarkStart w:id="127" w:name="page128"/>
    <w:bookmarkEnd w:id="127"/>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Exhibit 6</w:t>
      </w:r>
    </w:p>
    <w:p>
      <w:pPr>
        <w:spacing w:after="0" w:line="2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CONSENT</w:t>
      </w:r>
    </w:p>
    <w:p>
      <w:pPr>
        <w:spacing w:after="0" w:line="200" w:lineRule="exact"/>
        <w:rPr>
          <w:sz w:val="20"/>
          <w:szCs w:val="20"/>
          <w:color w:val="auto"/>
        </w:rPr>
      </w:pPr>
    </w:p>
    <w:p>
      <w:pPr>
        <w:spacing w:after="0" w:line="321" w:lineRule="exact"/>
        <w:rPr>
          <w:sz w:val="20"/>
          <w:szCs w:val="20"/>
          <w:color w:val="auto"/>
        </w:rPr>
      </w:pPr>
    </w:p>
    <w:p>
      <w:pPr>
        <w:ind w:firstLine="216"/>
        <w:spacing w:after="0" w:line="275" w:lineRule="auto"/>
        <w:rPr>
          <w:sz w:val="20"/>
          <w:szCs w:val="20"/>
          <w:color w:val="auto"/>
        </w:rPr>
      </w:pPr>
      <w:r>
        <w:rPr>
          <w:rFonts w:ascii="Times New Roman" w:cs="Times New Roman" w:eastAsia="Times New Roman" w:hAnsi="Times New Roman"/>
          <w:sz w:val="21"/>
          <w:szCs w:val="21"/>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27, 2026</w:t>
      </w:r>
    </w:p>
    <w:p>
      <w:pPr>
        <w:spacing w:after="0" w:line="200" w:lineRule="exact"/>
        <w:rPr>
          <w:sz w:val="20"/>
          <w:szCs w:val="20"/>
          <w:color w:val="auto"/>
        </w:rPr>
      </w:pPr>
    </w:p>
    <w:p>
      <w:pPr>
        <w:spacing w:after="0" w:line="303"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Gregory M. Jackson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Gregory M. Jackson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Vice President</w:t>
      </w:r>
    </w:p>
    <w:p>
      <w:pPr>
        <w:sectPr>
          <w:pgSz w:w="11900" w:h="16838" w:orient="portrait"/>
          <w:cols w:equalWidth="0" w:num="1">
            <w:col w:w="10920"/>
          </w:cols>
          <w:pgMar w:left="320" w:top="999" w:right="65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7</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U.S. Bank Trust Company, National Association</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 of Financial Condition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of 6/30/2026</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($000’s)</w:t>
      </w:r>
    </w:p>
    <w:p>
      <w:pPr>
        <w:sectPr>
          <w:pgSz w:w="11900" w:h="16838" w:orient="portrait"/>
          <w:cols w:equalWidth="0" w:num="1">
            <w:col w:w="9019"/>
          </w:cols>
          <w:pgMar w:left="1440" w:top="999"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86"/>
        </w:trPr>
        <w:tc>
          <w:tcPr>
            <w:tcW w:w="59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6/30/2026</w:t>
            </w:r>
          </w:p>
        </w:tc>
        <w:tc>
          <w:tcPr>
            <w:tcW w:w="0" w:type="dxa"/>
            <w:vAlign w:val="bottom"/>
          </w:tcPr>
          <w:p>
            <w:pPr>
              <w:spacing w:after="0"/>
              <w:rPr>
                <w:sz w:val="1"/>
                <w:szCs w:val="1"/>
                <w:color w:val="auto"/>
              </w:rPr>
            </w:pPr>
          </w:p>
        </w:tc>
      </w:tr>
      <w:tr>
        <w:trPr>
          <w:trHeight w:val="177"/>
        </w:trPr>
        <w:tc>
          <w:tcPr>
            <w:tcW w:w="59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940" w:type="dxa"/>
            <w:vAlign w:val="bottom"/>
            <w:vMerge w:val="continue"/>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7"/>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Cash and Balances Due From</w:t>
            </w:r>
          </w:p>
        </w:tc>
        <w:tc>
          <w:tcPr>
            <w:tcW w:w="21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$2,474,094</w:t>
            </w:r>
          </w:p>
        </w:tc>
        <w:tc>
          <w:tcPr>
            <w:tcW w:w="0" w:type="dxa"/>
            <w:vAlign w:val="bottom"/>
          </w:tcPr>
          <w:p>
            <w:pPr>
              <w:spacing w:after="0"/>
              <w:rPr>
                <w:sz w:val="1"/>
                <w:szCs w:val="1"/>
                <w:color w:val="auto"/>
              </w:rPr>
            </w:pPr>
          </w:p>
        </w:tc>
      </w:tr>
      <w:tr>
        <w:trPr>
          <w:trHeight w:val="120"/>
        </w:trPr>
        <w:tc>
          <w:tcPr>
            <w:tcW w:w="59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Depository Institutions</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94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4,673</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Federal Funds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Loans &amp; Lease Financing Receivables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Fixed Assets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447</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Intangible Assets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573,109</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Assets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154,375</w:t>
            </w:r>
          </w:p>
        </w:tc>
        <w:tc>
          <w:tcPr>
            <w:tcW w:w="0" w:type="dxa"/>
            <w:vAlign w:val="bottom"/>
          </w:tcPr>
          <w:p>
            <w:pPr>
              <w:spacing w:after="0"/>
              <w:rPr>
                <w:sz w:val="1"/>
                <w:szCs w:val="1"/>
                <w:color w:val="auto"/>
              </w:rPr>
            </w:pPr>
          </w:p>
        </w:tc>
      </w:tr>
      <w:tr>
        <w:trPr>
          <w:trHeight w:val="177"/>
        </w:trPr>
        <w:tc>
          <w:tcPr>
            <w:tcW w:w="594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$3,206,698</w:t>
            </w:r>
          </w:p>
        </w:tc>
        <w:tc>
          <w:tcPr>
            <w:tcW w:w="0" w:type="dxa"/>
            <w:vAlign w:val="bottom"/>
          </w:tcPr>
          <w:p>
            <w:pPr>
              <w:spacing w:after="0"/>
              <w:rPr>
                <w:sz w:val="1"/>
                <w:szCs w:val="1"/>
                <w:color w:val="auto"/>
              </w:rPr>
            </w:pPr>
          </w:p>
        </w:tc>
      </w:tr>
      <w:tr>
        <w:trPr>
          <w:trHeight w:val="743"/>
        </w:trPr>
        <w:tc>
          <w:tcPr>
            <w:tcW w:w="5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Liabilities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Deposits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Fed Funds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Treasury Demand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Trading Liabilities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Borrowed Money</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Acceptances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Subordinated Notes and Debentures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Liabilities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268,325</w:t>
            </w:r>
          </w:p>
        </w:tc>
        <w:tc>
          <w:tcPr>
            <w:tcW w:w="0" w:type="dxa"/>
            <w:vAlign w:val="bottom"/>
          </w:tcPr>
          <w:p>
            <w:pPr>
              <w:spacing w:after="0"/>
              <w:rPr>
                <w:sz w:val="1"/>
                <w:szCs w:val="1"/>
                <w:color w:val="auto"/>
              </w:rPr>
            </w:pPr>
          </w:p>
        </w:tc>
      </w:tr>
      <w:tr>
        <w:trPr>
          <w:trHeight w:val="177"/>
        </w:trPr>
        <w:tc>
          <w:tcPr>
            <w:tcW w:w="594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$268,325</w:t>
            </w:r>
          </w:p>
        </w:tc>
        <w:tc>
          <w:tcPr>
            <w:tcW w:w="0" w:type="dxa"/>
            <w:vAlign w:val="bottom"/>
          </w:tcPr>
          <w:p>
            <w:pPr>
              <w:spacing w:after="0"/>
              <w:rPr>
                <w:sz w:val="1"/>
                <w:szCs w:val="1"/>
                <w:color w:val="auto"/>
              </w:rPr>
            </w:pPr>
          </w:p>
        </w:tc>
      </w:tr>
      <w:tr>
        <w:trPr>
          <w:trHeight w:val="743"/>
        </w:trPr>
        <w:tc>
          <w:tcPr>
            <w:tcW w:w="5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Equity</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Common and Preferred Stock</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Surplus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1,171,635</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Undivided Profits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1,766,538</w:t>
            </w:r>
          </w:p>
        </w:tc>
        <w:tc>
          <w:tcPr>
            <w:tcW w:w="0" w:type="dxa"/>
            <w:vAlign w:val="bottom"/>
          </w:tcPr>
          <w:p>
            <w:pPr>
              <w:spacing w:after="0"/>
              <w:rPr>
                <w:sz w:val="1"/>
                <w:szCs w:val="1"/>
                <w:color w:val="auto"/>
              </w:rPr>
            </w:pPr>
          </w:p>
        </w:tc>
      </w:tr>
      <w:tr>
        <w:trPr>
          <w:trHeight w:val="473"/>
        </w:trPr>
        <w:tc>
          <w:tcPr>
            <w:tcW w:w="5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Minority Interest in Subsidiaries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77"/>
        </w:trPr>
        <w:tc>
          <w:tcPr>
            <w:tcW w:w="594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594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Total Equity Capital</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$2,938,373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283845</wp:posOffset>
            </wp:positionV>
            <wp:extent cx="13887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ectPr>
          <w:pgSz w:w="11900" w:h="16838" w:orient="portrait"/>
          <w:cols w:equalWidth="0" w:num="1">
            <w:col w:w="10119"/>
          </w:cols>
          <w:pgMar w:left="340" w:top="176"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tabs>
          <w:tab w:leader="none" w:pos="7120" w:val="left"/>
        </w:tabs>
        <w:rPr>
          <w:sz w:val="20"/>
          <w:szCs w:val="20"/>
          <w:color w:val="auto"/>
        </w:rPr>
      </w:pPr>
      <w:r>
        <w:rPr>
          <w:rFonts w:ascii="Times New Roman" w:cs="Times New Roman" w:eastAsia="Times New Roman" w:hAnsi="Times New Roman"/>
          <w:sz w:val="22"/>
          <w:szCs w:val="22"/>
          <w:b w:val="1"/>
          <w:bCs w:val="1"/>
          <w:color w:val="auto"/>
        </w:rPr>
        <w:t>Total Liabilities and Equity Capital</w:t>
      </w:r>
      <w:r>
        <w:rPr>
          <w:sz w:val="20"/>
          <w:szCs w:val="20"/>
          <w:color w:val="auto"/>
        </w:rPr>
        <w:tab/>
      </w:r>
      <w:r>
        <w:rPr>
          <w:rFonts w:ascii="Times New Roman" w:cs="Times New Roman" w:eastAsia="Times New Roman" w:hAnsi="Times New Roman"/>
          <w:sz w:val="21"/>
          <w:szCs w:val="21"/>
          <w:b w:val="1"/>
          <w:bCs w:val="1"/>
          <w:color w:val="auto"/>
        </w:rPr>
        <w:t>$3,206,698</w:t>
      </w:r>
    </w:p>
    <w:sectPr>
      <w:pgSz w:w="11900" w:h="16838" w:orient="portrait"/>
      <w:cols w:equalWidth="0" w:num="1">
        <w:col w:w="10119"/>
      </w:cols>
      <w:pgMar w:left="340" w:top="17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lvl w:ilvl="1">
      <w:lvlJc w:val="left"/>
      <w:lvlText w:val="%2"/>
      <w:numFmt w:val="decimal"/>
      <w:start w:val="107"/>
    </w:lvl>
  </w:abstractNum>
  <w:abstractNum w:abstractNumId="3">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A6D8D3C"/>
    <w:multiLevelType w:val="hybridMultilevel"/>
    <w:lvl w:ilvl="0">
      <w:lvlJc w:val="left"/>
      <w:lvlText w:val="(%1)"/>
      <w:numFmt w:val="decimal"/>
      <w:start w:val="2"/>
    </w:lvl>
    <w:lvl w:ilvl="1">
      <w:lvlJc w:val="left"/>
      <w:lvlText w:val="(%2)"/>
      <w:numFmt w:val="lowerRoman"/>
      <w:start w:val="1"/>
    </w:lvl>
  </w:abstractNum>
  <w:abstractNum w:abstractNumId="5">
    <w:nsid w:val="4B588F54"/>
    <w:multiLevelType w:val="hybridMultilevel"/>
    <w:lvl w:ilvl="0">
      <w:lvlJc w:val="left"/>
      <w:lvlText w:val="(%1)"/>
      <w:numFmt w:val="decimal"/>
      <w:start w:val="5"/>
    </w:lvl>
  </w:abstractNum>
  <w:abstractNum w:abstractNumId="6">
    <w:nsid w:val="542289EC"/>
    <w:multiLevelType w:val="hybridMultilevel"/>
    <w:lvl w:ilvl="0">
      <w:lvlJc w:val="left"/>
      <w:lvlText w:val="%1"/>
      <w:numFmt w:val="lowerLetter"/>
      <w:start w:val="1"/>
    </w:lvl>
    <w:lvl w:ilvl="1">
      <w:lvlJc w:val="left"/>
      <w:lvlText w:val="(%2)"/>
      <w:numFmt w:val="lowerRoman"/>
      <w:start w:val="1"/>
    </w:lvl>
  </w:abstractNum>
  <w:abstractNum w:abstractNumId="7">
    <w:nsid w:val="6DE91B18"/>
    <w:multiLevelType w:val="hybridMultilevel"/>
    <w:lvl w:ilvl="0">
      <w:lvlJc w:val="left"/>
      <w:lvlText w:val="(%1)"/>
      <w:numFmt w:val="lowerLetter"/>
      <w:start w:val="2"/>
    </w:lvl>
    <w:lvl w:ilvl="1">
      <w:lvlJc w:val="left"/>
      <w:lvlText w:val="%2"/>
      <w:numFmt w:val="lowerRoman"/>
      <w:start w:val="1"/>
    </w:lvl>
  </w:abstractNum>
  <w:abstractNum w:abstractNumId="8">
    <w:nsid w:val="38437FDB"/>
    <w:multiLevelType w:val="hybridMultilevel"/>
    <w:lvl w:ilvl="0">
      <w:lvlJc w:val="left"/>
      <w:lvlText w:val="1"/>
      <w:numFmt w:val="bullet"/>
      <w:start w:val="1"/>
    </w:lvl>
    <w:lvl w:ilvl="1">
      <w:lvlJc w:val="left"/>
      <w:lvlText w:val="(%2)"/>
      <w:numFmt w:val="lowerLetter"/>
      <w:start w:val="2"/>
    </w:lvl>
  </w:abstractNum>
  <w:abstractNum w:abstractNumId="9">
    <w:nsid w:val="7644A45C"/>
    <w:multiLevelType w:val="hybridMultilevel"/>
    <w:lvl w:ilvl="0">
      <w:lvlJc w:val="left"/>
      <w:lvlText w:val="2"/>
      <w:numFmt w:val="bullet"/>
      <w:start w:val="1"/>
    </w:lvl>
    <w:lvl w:ilvl="1">
      <w:lvlJc w:val="left"/>
      <w:lvlText w:val="(%2)"/>
      <w:numFmt w:val="lowerLetter"/>
      <w:start w:val="2"/>
    </w:lvl>
  </w:abstractNum>
  <w:abstractNum w:abstractNumId="10">
    <w:nsid w:val="32FFF902"/>
    <w:multiLevelType w:val="hybridMultilevel"/>
    <w:lvl w:ilvl="0">
      <w:lvlJc w:val="left"/>
      <w:lvlText w:val="3"/>
      <w:numFmt w:val="bullet"/>
      <w:start w:val="1"/>
    </w:lvl>
    <w:lvl w:ilvl="1">
      <w:lvlJc w:val="left"/>
      <w:lvlText w:val="(%2)"/>
      <w:numFmt w:val="lowerLetter"/>
      <w:start w:val="2"/>
    </w:lvl>
  </w:abstractNum>
  <w:abstractNum w:abstractNumId="11">
    <w:nsid w:val="684A481A"/>
    <w:multiLevelType w:val="hybridMultilevel"/>
    <w:lvl w:ilvl="0">
      <w:lvlJc w:val="left"/>
      <w:lvlText w:val="4"/>
      <w:numFmt w:val="bullet"/>
      <w:start w:val="1"/>
    </w:lvl>
    <w:lvl w:ilvl="1">
      <w:lvlJc w:val="left"/>
      <w:lvlText w:val="(%2)"/>
      <w:numFmt w:val="lowerLetter"/>
      <w:start w:val="2"/>
    </w:lvl>
  </w:abstractNum>
  <w:abstractNum w:abstractNumId="12">
    <w:nsid w:val="579478FE"/>
    <w:multiLevelType w:val="hybridMultilevel"/>
    <w:lvl w:ilvl="0">
      <w:lvlJc w:val="left"/>
      <w:lvlText w:val="5"/>
      <w:numFmt w:val="bullet"/>
      <w:start w:val="1"/>
    </w:lvl>
    <w:lvl w:ilvl="1">
      <w:lvlJc w:val="left"/>
      <w:lvlText w:val="(%2)"/>
      <w:numFmt w:val="lowerLetter"/>
      <w:start w:val="2"/>
    </w:lvl>
  </w:abstractNum>
  <w:abstractNum w:abstractNumId="13">
    <w:nsid w:val="749ABB43"/>
    <w:multiLevelType w:val="hybridMultilevel"/>
    <w:lvl w:ilvl="0">
      <w:lvlJc w:val="left"/>
      <w:lvlText w:val="6"/>
      <w:numFmt w:val="bullet"/>
      <w:start w:val="1"/>
    </w:lvl>
    <w:lvl w:ilvl="1">
      <w:lvlJc w:val="left"/>
      <w:lvlText w:val="(%2)"/>
      <w:numFmt w:val="lowerLetter"/>
      <w:start w:val="2"/>
    </w:lvl>
  </w:abstractNum>
  <w:abstractNum w:abstractNumId="14">
    <w:nsid w:val="3DC240FB"/>
    <w:multiLevelType w:val="hybridMultilevel"/>
    <w:lvl w:ilvl="0">
      <w:lvlJc w:val="left"/>
      <w:lvlText w:val="7"/>
      <w:numFmt w:val="bullet"/>
      <w:start w:val="1"/>
    </w:lvl>
    <w:lvl w:ilvl="1">
      <w:lvlJc w:val="left"/>
      <w:lvlText w:val="(%2)"/>
      <w:numFmt w:val="lowerLetter"/>
      <w:start w:val="2"/>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1."/>
      <w:numFmt w:val="upperLetter"/>
      <w:start w:val="9"/>
    </w:lvl>
  </w:abstractNum>
  <w:abstractNum w:abstractNumId="17">
    <w:nsid w:val="75C6C33A"/>
    <w:multiLevelType w:val="hybridMultilevel"/>
    <w:lvl w:ilvl="0">
      <w:lvlJc w:val="left"/>
      <w:lvlText w:val="(%1)"/>
      <w:numFmt w:val="lowerRoman"/>
      <w:start w:val="1"/>
    </w:lvl>
  </w:abstractNum>
  <w:abstractNum w:abstractNumId="18">
    <w:nsid w:val="12E685FB"/>
    <w:multiLevelType w:val="hybridMultilevel"/>
    <w:lvl w:ilvl="0">
      <w:lvlJc w:val="left"/>
      <w:lvlText w:val="(%1)"/>
      <w:numFmt w:val="lowerLetter"/>
      <w:start w:val="1"/>
    </w:lvl>
    <w:lvl w:ilvl="1">
      <w:lvlJc w:val="left"/>
      <w:lvlText w:val="(%2)"/>
      <w:numFmt w:val="lowerRoman"/>
      <w:start w:val="1"/>
    </w:lvl>
  </w:abstractNum>
  <w:abstractNum w:abstractNumId="19">
    <w:nsid w:val="70C6A529"/>
    <w:multiLevelType w:val="hybridMultilevel"/>
    <w:lvl w:ilvl="0">
      <w:lvlJc w:val="left"/>
      <w:lvlText w:val="(%1)"/>
      <w:numFmt w:val="lowerLetter"/>
      <w:start w:val="1"/>
    </w:lvl>
  </w:abstractNum>
  <w:abstractNum w:abstractNumId="20">
    <w:nsid w:val="520EEDD1"/>
    <w:multiLevelType w:val="hybridMultilevel"/>
    <w:lvl w:ilvl="0">
      <w:lvlJc w:val="left"/>
      <w:lvlText w:val="(%1)"/>
      <w:numFmt w:val="lowerLetter"/>
      <w:start w:val="2"/>
    </w:lvl>
  </w:abstractNum>
  <w:abstractNum w:abstractNumId="21">
    <w:nsid w:val="374A3FE6"/>
    <w:multiLevelType w:val="hybridMultilevel"/>
    <w:lvl w:ilvl="0">
      <w:lvlJc w:val="left"/>
      <w:lvlText w:val="(%1)"/>
      <w:numFmt w:val="lowerLetter"/>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7"/>
    </w:lvl>
  </w:abstractNum>
  <w:abstractNum w:abstractNumId="26">
    <w:nsid w:val="39386575"/>
    <w:multiLevelType w:val="hybridMultilevel"/>
    <w:lvl w:ilvl="0">
      <w:lvlJc w:val="left"/>
      <w:lvlText w:val="(%1)"/>
      <w:numFmt w:val="decimal"/>
      <w:start w:val="15"/>
    </w:lvl>
  </w:abstractNum>
  <w:abstractNum w:abstractNumId="27">
    <w:nsid w:val="1CF10FD8"/>
    <w:multiLevelType w:val="hybridMultilevel"/>
    <w:lvl w:ilvl="0">
      <w:lvlJc w:val="left"/>
      <w:lvlText w:val="(%1)"/>
      <w:numFmt w:val="decimal"/>
      <w:start w:val="26"/>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2"/>
    </w:lvl>
    <w:lvl w:ilvl="1">
      <w:lvlJc w:val="left"/>
      <w:lvlText w:val="(%2)"/>
      <w:numFmt w:val="lowerRoman"/>
      <w:start w:val="1"/>
    </w:lvl>
  </w:abstractNum>
  <w:abstractNum w:abstractNumId="30">
    <w:nsid w:val="47398C89"/>
    <w:multiLevelType w:val="hybridMultilevel"/>
    <w:lvl w:ilvl="0">
      <w:lvlJc w:val="left"/>
      <w:lvlText w:val="(%1)"/>
      <w:numFmt w:val="lowerRoman"/>
      <w:start w:val="3"/>
    </w:lvl>
  </w:abstractNum>
  <w:abstractNum w:abstractNumId="31">
    <w:nsid w:val="354FE9F9"/>
    <w:multiLevelType w:val="hybridMultilevel"/>
    <w:lvl w:ilvl="0">
      <w:lvlJc w:val="left"/>
      <w:lvlText w:val="(%1)"/>
      <w:numFmt w:val="lowerLetter"/>
      <w:start w:val="3"/>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2"/>
    </w:lvl>
  </w:abstractNum>
  <w:abstractNum w:abstractNumId="34">
    <w:nsid w:val="D34B6A8"/>
    <w:multiLevelType w:val="hybridMultilevel"/>
    <w:lvl w:ilvl="0">
      <w:lvlJc w:val="left"/>
      <w:lvlText w:val="%1."/>
      <w:numFmt w:val="upperLetter"/>
      <w:start w:val="22"/>
    </w:lvl>
  </w:abstractNum>
  <w:abstractNum w:abstractNumId="35">
    <w:nsid w:val="10233C99"/>
    <w:multiLevelType w:val="hybridMultilevel"/>
    <w:lvl w:ilvl="0">
      <w:lvlJc w:val="left"/>
      <w:lvlText w:val="(%1)"/>
      <w:numFmt w:val="lowerLetter"/>
      <w:start w:val="1"/>
    </w:lvl>
  </w:abstractNum>
  <w:abstractNum w:abstractNumId="36">
    <w:nsid w:val="3F6AB60F"/>
    <w:multiLevelType w:val="hybridMultilevel"/>
    <w:lvl w:ilvl="0">
      <w:lvlJc w:val="left"/>
      <w:lvlText w:val="(%1)"/>
      <w:numFmt w:val="lowerLetter"/>
      <w:start w:val="2"/>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3"/>
    </w:lvl>
  </w:abstractNum>
  <w:abstractNum w:abstractNumId="39">
    <w:nsid w:val="77AE35EB"/>
    <w:multiLevelType w:val="hybridMultilevel"/>
    <w:lvl w:ilvl="0">
      <w:lvlJc w:val="left"/>
      <w:lvlText w:val="(%1)"/>
      <w:numFmt w:val="decimal"/>
      <w:start w:val="5"/>
    </w:lvl>
  </w:abstractNum>
  <w:abstractNum w:abstractNumId="40">
    <w:nsid w:val="579BE4F1"/>
    <w:multiLevelType w:val="hybridMultilevel"/>
    <w:lvl w:ilvl="0">
      <w:lvlJc w:val="left"/>
      <w:lvlText w:val="(%1)"/>
      <w:numFmt w:val="decimal"/>
      <w:start w:val="2"/>
    </w:lvl>
  </w:abstractNum>
  <w:abstractNum w:abstractNumId="41">
    <w:nsid w:val="310C50B3"/>
    <w:multiLevelType w:val="hybridMultilevel"/>
    <w:lvl w:ilvl="0">
      <w:lvlJc w:val="left"/>
      <w:lvlText w:val="(%1)"/>
      <w:numFmt w:val="lowerLetter"/>
      <w:start w:val="1"/>
    </w:lvl>
    <w:lvl w:ilvl="1">
      <w:lvlJc w:val="left"/>
      <w:lvlText w:val="(%2)"/>
      <w:numFmt w:val="lowerRoman"/>
      <w:start w:val="1"/>
    </w:lvl>
  </w:abstractNum>
  <w:abstractNum w:abstractNumId="42">
    <w:nsid w:val="5FF87E05"/>
    <w:multiLevelType w:val="hybridMultilevel"/>
    <w:lvl w:ilvl="0">
      <w:lvlJc w:val="left"/>
      <w:lvlText w:val="%1"/>
      <w:numFmt w:val="lowerLetter"/>
      <w:start w:val="1"/>
    </w:lvl>
    <w:lvl w:ilvl="1">
      <w:lvlJc w:val="left"/>
      <w:lvlText w:val="(%2)"/>
      <w:numFmt w:val="lowerRoman"/>
      <w:start w:val="3"/>
    </w:lvl>
  </w:abstractNum>
  <w:abstractNum w:abstractNumId="43">
    <w:nsid w:val="2F305DEF"/>
    <w:multiLevelType w:val="hybridMultilevel"/>
    <w:lvl w:ilvl="0">
      <w:lvlJc w:val="left"/>
      <w:lvlText w:val="(%1)"/>
      <w:numFmt w:val="lowerLetter"/>
      <w:start w:val="4"/>
    </w:lvl>
    <w:lvl w:ilvl="1">
      <w:lvlJc w:val="left"/>
      <w:lvlText w:val="%2"/>
      <w:numFmt w:val="lowerRoman"/>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4"/>
    </w:lvl>
  </w:abstractNum>
  <w:abstractNum w:abstractNumId="46">
    <w:nsid w:val="4AD084E9"/>
    <w:multiLevelType w:val="hybridMultilevel"/>
    <w:lvl w:ilvl="0">
      <w:lvlJc w:val="left"/>
      <w:lvlText w:val="(%1)"/>
      <w:numFmt w:val="decimal"/>
      <w:start w:val="12"/>
    </w:lvl>
  </w:abstractNum>
  <w:abstractNum w:abstractNumId="47">
    <w:nsid w:val="1F48EAA1"/>
    <w:multiLevelType w:val="hybridMultilevel"/>
    <w:lvl w:ilvl="0">
      <w:lvlJc w:val="left"/>
      <w:lvlText w:val="(%1)"/>
      <w:numFmt w:val="lowerLetter"/>
      <w:start w:val="1"/>
    </w:lvl>
    <w:lvl w:ilvl="1">
      <w:lvlJc w:val="left"/>
      <w:lvlText w:val="(%2)"/>
      <w:numFmt w:val="decimal"/>
      <w:start w:val="1"/>
    </w:lvl>
  </w:abstractNum>
  <w:abstractNum w:abstractNumId="48">
    <w:nsid w:val="1381823A"/>
    <w:multiLevelType w:val="hybridMultilevel"/>
    <w:lvl w:ilvl="0">
      <w:lvlJc w:val="left"/>
      <w:lvlText w:val="(%1)"/>
      <w:numFmt w:val="lowerLetter"/>
      <w:start w:val="3"/>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1)"/>
      <w:numFmt w:val="lowerLetter"/>
      <w:start w:val="3"/>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2"/>
    </w:lvl>
  </w:abstractNum>
  <w:abstractNum w:abstractNumId="55">
    <w:nsid w:val="799D0247"/>
    <w:multiLevelType w:val="hybridMultilevel"/>
    <w:lvl w:ilvl="0">
      <w:lvlJc w:val="left"/>
      <w:lvlText w:val="(%1)"/>
      <w:numFmt w:val="lowerLetter"/>
      <w:start w:val="1"/>
    </w:lvl>
  </w:abstractNum>
  <w:abstractNum w:abstractNumId="56">
    <w:nsid w:val="6B94764"/>
    <w:multiLevelType w:val="hybridMultilevel"/>
    <w:lvl w:ilvl="0">
      <w:lvlJc w:val="left"/>
      <w:lvlText w:val="(%1)"/>
      <w:numFmt w:val="lowerLetter"/>
      <w:start w:val="2"/>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1)"/>
      <w:numFmt w:val="lowerLetter"/>
      <w:start w:val="3"/>
    </w:lvl>
  </w:abstractNum>
  <w:abstractNum w:abstractNumId="59">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0">
    <w:nsid w:val="661E3F1E"/>
    <w:multiLevelType w:val="hybridMultilevel"/>
    <w:lvl w:ilvl="0">
      <w:lvlJc w:val="left"/>
      <w:lvlText w:val="(%1)"/>
      <w:numFmt w:val="decimal"/>
      <w:start w:val="3"/>
    </w:lvl>
  </w:abstractNum>
  <w:abstractNum w:abstractNumId="61">
    <w:nsid w:val="5DC79EA8"/>
    <w:multiLevelType w:val="hybridMultilevel"/>
    <w:lvl w:ilvl="0">
      <w:lvlJc w:val="left"/>
      <w:lvlText w:val="(%1)"/>
      <w:numFmt w:val="lowerLetter"/>
      <w:start w:val="2"/>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3"/>
    </w:lvl>
    <w:lvl w:ilvl="1">
      <w:lvlJc w:val="left"/>
      <w:lvlText w:val="(%2)"/>
      <w:numFmt w:val="decimal"/>
      <w:start w:val="1"/>
    </w:lvl>
  </w:abstractNum>
  <w:abstractNum w:abstractNumId="64">
    <w:nsid w:val="51D9C564"/>
    <w:multiLevelType w:val="hybridMultilevel"/>
    <w:lvl w:ilvl="0">
      <w:lvlJc w:val="left"/>
      <w:lvlText w:val="%1"/>
      <w:numFmt w:val="decimal"/>
      <w:start w:val="1"/>
    </w:lvl>
    <w:lvl w:ilvl="1">
      <w:lvlJc w:val="left"/>
      <w:lvlText w:val="(%2)"/>
      <w:numFmt w:val="decimal"/>
      <w:start w:val="2"/>
    </w:lvl>
  </w:abstractNum>
  <w:abstractNum w:abstractNumId="65">
    <w:nsid w:val="613EFDC5"/>
    <w:multiLevelType w:val="hybridMultilevel"/>
    <w:lvl w:ilvl="0">
      <w:lvlJc w:val="left"/>
      <w:lvlText w:val="(%1)"/>
      <w:numFmt w:val="decimal"/>
      <w:start w:val="1"/>
    </w:lvl>
    <w:lvl w:ilvl="1">
      <w:lvlJc w:val="left"/>
      <w:lvlText w:val="%2"/>
      <w:numFmt w:val="decimal"/>
      <w:start w:val="1"/>
    </w:lvl>
  </w:abstractNum>
  <w:abstractNum w:abstractNumId="66">
    <w:nsid w:val="BF72B14"/>
    <w:multiLevelType w:val="hybridMultilevel"/>
    <w:lvl w:ilvl="0">
      <w:lvlJc w:val="left"/>
      <w:lvlText w:val="(%1)"/>
      <w:numFmt w:val="decimal"/>
      <w:start w:val="1"/>
    </w:lvl>
    <w:lvl w:ilvl="1">
      <w:lvlJc w:val="left"/>
      <w:lvlText w:val="(%2)"/>
      <w:numFmt w:val="decimal"/>
      <w:start w:val="6"/>
    </w:lvl>
  </w:abstractNum>
  <w:abstractNum w:abstractNumId="67">
    <w:nsid w:val="11447B73"/>
    <w:multiLevelType w:val="hybridMultilevel"/>
    <w:lvl w:ilvl="0">
      <w:lvlJc w:val="left"/>
      <w:lvlText w:val="(%1)"/>
      <w:numFmt w:val="lowerLetter"/>
      <w:start w:val="5"/>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lowerRoman"/>
      <w:start w:val="1"/>
    </w:lvl>
  </w:abstractNum>
  <w:abstractNum w:abstractNumId="70">
    <w:nsid w:val="8F2B15E"/>
    <w:multiLevelType w:val="hybridMultilevel"/>
    <w:lvl w:ilvl="0">
      <w:lvlJc w:val="left"/>
      <w:lvlText w:val="(%1)"/>
      <w:numFmt w:val="lowerRoman"/>
      <w:start w:val="4"/>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3"/>
    </w:lvl>
  </w:abstractNum>
  <w:abstractNum w:abstractNumId="73">
    <w:nsid w:val="68EB2F63"/>
    <w:multiLevelType w:val="hybridMultilevel"/>
    <w:lvl w:ilvl="0">
      <w:lvlJc w:val="left"/>
      <w:lvlText w:val="%1."/>
      <w:numFmt w:val="decimal"/>
      <w:start w:val="6"/>
    </w:lvl>
  </w:abstractNum>
  <w:abstractNum w:abstractNumId="74">
    <w:nsid w:val="4962813B"/>
    <w:multiLevelType w:val="hybridMultilevel"/>
    <w:lvl w:ilvl="0">
      <w:lvlJc w:val="left"/>
      <w:lvlText w:val="(%1)"/>
      <w:numFmt w:val="upperLetter"/>
      <w:start w:val="5"/>
    </w:lvl>
  </w:abstractNum>
  <w:abstractNum w:abstractNumId="75">
    <w:nsid w:val="60B6DF70"/>
    <w:multiLevelType w:val="hybridMultilevel"/>
    <w:lvl w:ilvl="0">
      <w:lvlJc w:val="left"/>
      <w:lvlText w:val="(%1)"/>
      <w:numFmt w:val="lowerRoman"/>
      <w:start w:val="9"/>
    </w:lvl>
  </w:abstractNum>
  <w:abstractNum w:abstractNumId="76">
    <w:nsid w:val="6A5EE64"/>
    <w:multiLevelType w:val="hybridMultilevel"/>
    <w:lvl w:ilvl="0">
      <w:lvlJc w:val="left"/>
      <w:lvlText w:val="(%1)"/>
      <w:numFmt w:val="lowerRoman"/>
      <w:start w:val="13"/>
    </w:lvl>
  </w:abstractNum>
  <w:abstractNum w:abstractNumId="77">
    <w:nsid w:val="14330624"/>
    <w:multiLevelType w:val="hybridMultilevel"/>
    <w:lvl w:ilvl="0">
      <w:lvlJc w:val="left"/>
      <w:lvlText w:val="%1"/>
      <w:numFmt w:val="lowerLetter"/>
      <w:start w:val="1"/>
    </w:lvl>
    <w:lvl w:ilvl="1">
      <w:lvlJc w:val="left"/>
      <w:lvlText w:val="%2)"/>
      <w:numFmt w:val="lowerLetter"/>
      <w:start w:val="1"/>
    </w:lvl>
  </w:abstractNum>
  <w:abstractNum w:abstractNumId="78">
    <w:nsid w:val="7FFFCA11"/>
    <w:multiLevelType w:val="hybridMultilevel"/>
    <w:lvl w:ilvl="0">
      <w:lvlJc w:val="left"/>
      <w:lvlText w:val="%1)"/>
      <w:numFmt w:val="lowerLetter"/>
      <w:start w:val="2"/>
    </w:lvl>
    <w:lvl w:ilvl="1">
      <w:lvlJc w:val="left"/>
      <w:lvlText w:val="%2"/>
      <w:numFmt w:val="lowerLetter"/>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1"/>
    </w:lvl>
    <w:lvl w:ilvl="1">
      <w:lvlJc w:val="left"/>
      <w:lvlText w:val="%2."/>
      <w:numFmt w:val="decimal"/>
      <w:start w:val="4"/>
    </w:lvl>
  </w:abstractNum>
  <w:abstractNum w:abstractNumId="81">
    <w:nsid w:val="100F59DC"/>
    <w:multiLevelType w:val="hybridMultilevel"/>
    <w:lvl w:ilvl="0">
      <w:lvlJc w:val="left"/>
      <w:lvlText w:val="%1."/>
      <w:numFmt w:val="decimal"/>
      <w:start w:val="5"/>
    </w:lvl>
    <w:lvl w:ilvl="1">
      <w:lvlJc w:val="left"/>
      <w:lvlText w:val="%2"/>
      <w:numFmt w:val="decimal"/>
      <w:start w:val="1"/>
    </w:lvl>
  </w:abstractNum>
  <w:abstractNum w:abstractNumId="82">
    <w:nsid w:val="7FB7E0AA"/>
    <w:multiLevelType w:val="hybridMultilevel"/>
    <w:lvl w:ilvl="0">
      <w:lvlJc w:val="left"/>
      <w:lvlText w:val="(%1)"/>
      <w:numFmt w:val="decimal"/>
      <w:start w:val="2"/>
    </w:lvl>
    <w:lvl w:ilvl="1">
      <w:lvlJc w:val="left"/>
      <w:lvlText w:val="-"/>
      <w:numFmt w:val="bullet"/>
      <w:start w:val="1"/>
    </w:lvl>
  </w:abstractNum>
  <w:abstractNum w:abstractNumId="83">
    <w:nsid w:val="6EB5BD4"/>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84">
    <w:nsid w:val="6F6DD9AC"/>
    <w:multiLevelType w:val="hybridMultilevel"/>
    <w:lvl w:ilvl="0">
      <w:lvlJc w:val="left"/>
      <w:lvlText w:val="(%1)"/>
      <w:numFmt w:val="decimal"/>
      <w:start w:val="8"/>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8" Type="http://schemas.openxmlformats.org/officeDocument/2006/relationships/image" Target="media/image3.png"/><Relationship Id="rId19"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jpeg"/><Relationship Id="rId58" Type="http://schemas.openxmlformats.org/officeDocument/2006/relationships/image" Target="media/image37.jpeg"/><Relationship Id="rId59" Type="http://schemas.openxmlformats.org/officeDocument/2006/relationships/image" Target="media/image38.jpeg"/><Relationship Id="rId60" Type="http://schemas.openxmlformats.org/officeDocument/2006/relationships/image" Target="media/image39.jpeg"/><Relationship Id="rId61" Type="http://schemas.openxmlformats.org/officeDocument/2006/relationships/image" Target="media/image40.jpeg"/><Relationship Id="rId62" Type="http://schemas.openxmlformats.org/officeDocument/2006/relationships/image" Target="media/image41.jpeg"/><Relationship Id="rId63" Type="http://schemas.openxmlformats.org/officeDocument/2006/relationships/image" Target="media/image42.jpeg"/><Relationship Id="rId64" Type="http://schemas.openxmlformats.org/officeDocument/2006/relationships/image" Target="media/image43.png"/><Relationship Id="rId65" Type="http://schemas.openxmlformats.org/officeDocument/2006/relationships/image" Target="media/image44.jpeg"/><Relationship Id="rId66" Type="http://schemas.openxmlformats.org/officeDocument/2006/relationships/image" Target="media/image45.jpeg"/><Relationship Id="rId67" Type="http://schemas.openxmlformats.org/officeDocument/2006/relationships/image" Target="media/image46.png"/><Relationship Id="rId10" Type="http://schemas.openxmlformats.org/officeDocument/2006/relationships/hyperlink" Target="https://www.sec.gov/ix?doc=/Archives/edgar/data/0001169561/000116956126000017/cvlt-20260331.htm" TargetMode="External"/><Relationship Id="rId11" Type="http://schemas.openxmlformats.org/officeDocument/2006/relationships/hyperlink" Target="https://www.sec.gov/ix?doc=/Archives/edgar/data/0001169561/000116956126000024/cvlt-20260630.htm" TargetMode="External"/><Relationship Id="rId12" Type="http://schemas.openxmlformats.org/officeDocument/2006/relationships/hyperlink" Target="https://www.sec.gov/ix?doc=/Archives/edgar/data/0001169561/000116956126000035/cvlt-20260930.htm" TargetMode="External"/><Relationship Id="rId13" Type="http://schemas.openxmlformats.org/officeDocument/2006/relationships/hyperlink" Target="https://www.sec.gov/ix?doc=/Archives/edgar/data/0001169561/000116956126000008/cvlt-20260408.htm" TargetMode="External"/><Relationship Id="rId14" Type="http://schemas.openxmlformats.org/officeDocument/2006/relationships/hyperlink" Target="https://www.sec.gov/ix?doc=/Archives/edgar/data/0001169561/000116956126000027/cvlt-20260806.htm" TargetMode="External"/><Relationship Id="rId15" Type="http://schemas.openxmlformats.org/officeDocument/2006/relationships/hyperlink" Target="https://www.sec.gov/ix?doc=/Archives/edgar/data/0001169561/000116956126000030/cvlt-20260922.htm" TargetMode="External"/><Relationship Id="rId16" Type="http://schemas.openxmlformats.org/officeDocument/2006/relationships/hyperlink" Target="https://www.sec.gov/ix?doc=/Archives/edgar/data/0001169561/000116956126000018/cvlt-20260624.htm" TargetMode="External"/><Relationship Id="rId17" Type="http://schemas.openxmlformats.org/officeDocument/2006/relationships/hyperlink" Target="https://www.sec.gov/Archives/edgar/data/1169561/000116956123000044/descriptionofsecurities2023.htm" TargetMode="External"/><Relationship Id="rId20" Type="http://schemas.openxmlformats.org/officeDocument/2006/relationships/hyperlink" Target="https://www.sec.gov/Archives/edgar/data/1169561/000116956119000063/amendedandrestatedcert.htm" TargetMode="External"/><Relationship Id="rId21" Type="http://schemas.openxmlformats.org/officeDocument/2006/relationships/hyperlink" Target="https://www.sec.gov/Archives/edgar/data/1169561/000116956120000043/certificateofincamendm.htm" TargetMode="External"/><Relationship Id="rId22" Type="http://schemas.openxmlformats.org/officeDocument/2006/relationships/hyperlink" Target="https://www.sec.gov/Archives/edgar/data/1169561/000116956123000145/a20230930ex31-certificateo.htm" TargetMode="External"/><Relationship Id="rId23" Type="http://schemas.openxmlformats.org/officeDocument/2006/relationships/hyperlink" Target="https://www.sec.gov/Archives/edgar/data/1169561/000116956126000017/a2026033110kex34.htm" TargetMode="External"/><Relationship Id="rId24" Type="http://schemas.openxmlformats.org/officeDocument/2006/relationships/hyperlink" Target="https://www.sec.gov/Archives/edgar/data/1169561/000095012308015422/y72677exv3w1.htm" TargetMode="External"/><Relationship Id="rId25" Type="http://schemas.openxmlformats.org/officeDocument/2006/relationships/hyperlink" Target="https://www.sec.gov/Archives/edgar/data/1169561/000095012306011665/y24537a5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2026-10-28T16:23:43Z</dcterms:created>
  <dcterms:modified xsi:type="dcterms:W3CDTF">2026-10-28T16:23:43Z</dcterms:modified>
</cp:coreProperties>
</file>