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346075</wp:posOffset>
            </wp:positionH>
            <wp:positionV relativeFrom="page">
              <wp:posOffset>337820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354965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2018</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180340</wp:posOffset>
            </wp:positionV>
            <wp:extent cx="301879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879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60" w:type="dxa"/>
            <w:vAlign w:val="bottom"/>
          </w:tcPr>
          <w:p>
            <w:pPr>
              <w:jc w:val="center"/>
              <w:ind w:left="1121"/>
              <w:spacing w:after="0"/>
              <w:rPr>
                <w:sz w:val="20"/>
                <w:szCs w:val="20"/>
                <w:color w:val="auto"/>
              </w:rPr>
            </w:pPr>
            <w:r>
              <w:rPr>
                <w:rFonts w:ascii="Arial" w:cs="Arial" w:eastAsia="Arial" w:hAnsi="Arial"/>
                <w:sz w:val="22"/>
                <w:szCs w:val="22"/>
                <w:b w:val="1"/>
                <w:bCs w:val="1"/>
                <w:color w:val="auto"/>
                <w:w w:val="88"/>
              </w:rPr>
              <w:t>Commvault Systems, Inc.</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5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jc w:val="center"/>
              <w:ind w:right="1481"/>
              <w:spacing w:after="0"/>
              <w:rPr>
                <w:sz w:val="20"/>
                <w:szCs w:val="20"/>
                <w:color w:val="auto"/>
              </w:rPr>
            </w:pPr>
            <w:r>
              <w:rPr>
                <w:rFonts w:ascii="Arial" w:cs="Arial" w:eastAsia="Arial" w:hAnsi="Arial"/>
                <w:sz w:val="14"/>
                <w:szCs w:val="14"/>
                <w:b w:val="1"/>
                <w:bCs w:val="1"/>
                <w:color w:val="auto"/>
                <w:w w:val="94"/>
              </w:rPr>
              <w:t>Delaware</w:t>
            </w:r>
          </w:p>
        </w:tc>
        <w:tc>
          <w:tcPr>
            <w:tcW w:w="620" w:type="dxa"/>
            <w:vAlign w:val="bottom"/>
          </w:tcPr>
          <w:p>
            <w:pPr>
              <w:spacing w:after="0"/>
              <w:rPr>
                <w:sz w:val="24"/>
                <w:szCs w:val="24"/>
                <w:color w:val="auto"/>
              </w:rPr>
            </w:pPr>
          </w:p>
        </w:tc>
        <w:tc>
          <w:tcPr>
            <w:tcW w:w="330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rPr>
              <w:t>22-3447504</w:t>
            </w:r>
          </w:p>
        </w:tc>
        <w:tc>
          <w:tcPr>
            <w:tcW w:w="0" w:type="dxa"/>
            <w:vAlign w:val="bottom"/>
          </w:tcPr>
          <w:p>
            <w:pPr>
              <w:spacing w:after="0"/>
              <w:rPr>
                <w:sz w:val="1"/>
                <w:szCs w:val="1"/>
                <w:color w:val="auto"/>
              </w:rPr>
            </w:pPr>
          </w:p>
        </w:tc>
      </w:tr>
      <w:tr>
        <w:trPr>
          <w:trHeight w:val="169"/>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5"/>
              </w:rPr>
              <w:t>(State or other jurisdiction of</w:t>
            </w:r>
          </w:p>
        </w:tc>
        <w:tc>
          <w:tcPr>
            <w:tcW w:w="620" w:type="dxa"/>
            <w:vAlign w:val="bottom"/>
          </w:tcPr>
          <w:p>
            <w:pPr>
              <w:spacing w:after="0"/>
              <w:rPr>
                <w:sz w:val="14"/>
                <w:szCs w:val="14"/>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6900" w:type="dxa"/>
            <w:vAlign w:val="bottom"/>
            <w:gridSpan w:val="2"/>
          </w:tcPr>
          <w:p>
            <w:pPr>
              <w:jc w:val="center"/>
              <w:ind w:right="1481"/>
              <w:spacing w:after="0"/>
              <w:rPr>
                <w:sz w:val="20"/>
                <w:szCs w:val="20"/>
                <w:color w:val="auto"/>
              </w:rPr>
            </w:pPr>
            <w:r>
              <w:rPr>
                <w:rFonts w:ascii="Arial" w:cs="Arial" w:eastAsia="Arial" w:hAnsi="Arial"/>
                <w:sz w:val="14"/>
                <w:szCs w:val="14"/>
                <w:i w:val="1"/>
                <w:iCs w:val="1"/>
                <w:color w:val="auto"/>
                <w:w w:val="97"/>
              </w:rPr>
              <w:t>incorporation or organization)</w:t>
            </w:r>
          </w:p>
        </w:tc>
        <w:tc>
          <w:tcPr>
            <w:tcW w:w="620" w:type="dxa"/>
            <w:vAlign w:val="bottom"/>
          </w:tcPr>
          <w:p>
            <w:pPr>
              <w:spacing w:after="0"/>
              <w:rPr>
                <w:sz w:val="15"/>
                <w:szCs w:val="15"/>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6"/>
              </w:rPr>
              <w:t>1 Commvault Way</w:t>
            </w:r>
          </w:p>
        </w:tc>
        <w:tc>
          <w:tcPr>
            <w:tcW w:w="620" w:type="dxa"/>
            <w:vAlign w:val="bottom"/>
          </w:tcPr>
          <w:p>
            <w:pPr>
              <w:spacing w:after="0"/>
              <w:rPr>
                <w:sz w:val="14"/>
                <w:szCs w:val="14"/>
                <w:color w:val="auto"/>
              </w:rPr>
            </w:pPr>
          </w:p>
        </w:tc>
        <w:tc>
          <w:tcPr>
            <w:tcW w:w="3300" w:type="dxa"/>
            <w:vAlign w:val="bottom"/>
            <w:gridSpan w:val="2"/>
            <w:vMerge w:val="restart"/>
          </w:tcPr>
          <w:p>
            <w:pPr>
              <w:jc w:val="right"/>
              <w:ind w:right="2400"/>
              <w:spacing w:after="0"/>
              <w:rPr>
                <w:sz w:val="20"/>
                <w:szCs w:val="20"/>
                <w:color w:val="auto"/>
              </w:rPr>
            </w:pPr>
            <w:r>
              <w:rPr>
                <w:rFonts w:ascii="Arial" w:cs="Arial" w:eastAsia="Arial" w:hAnsi="Arial"/>
                <w:sz w:val="14"/>
                <w:szCs w:val="14"/>
                <w:b w:val="1"/>
                <w:bCs w:val="1"/>
                <w:color w:val="auto"/>
              </w:rPr>
              <w:t>07724</w:t>
            </w:r>
          </w:p>
        </w:tc>
        <w:tc>
          <w:tcPr>
            <w:tcW w:w="0" w:type="dxa"/>
            <w:vAlign w:val="bottom"/>
          </w:tcPr>
          <w:p>
            <w:pPr>
              <w:spacing w:after="0"/>
              <w:rPr>
                <w:sz w:val="1"/>
                <w:szCs w:val="1"/>
                <w:color w:val="auto"/>
              </w:rPr>
            </w:pPr>
          </w:p>
        </w:tc>
      </w:tr>
      <w:tr>
        <w:trPr>
          <w:trHeight w:val="186"/>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2"/>
              </w:rPr>
              <w:t>Tinton Falls, New Jersey</w:t>
            </w:r>
          </w:p>
        </w:tc>
        <w:tc>
          <w:tcPr>
            <w:tcW w:w="6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620" w:type="dxa"/>
            <w:vAlign w:val="bottom"/>
          </w:tcPr>
          <w:p>
            <w:pPr>
              <w:spacing w:after="0"/>
              <w:rPr>
                <w:sz w:val="17"/>
                <w:szCs w:val="17"/>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367"/>
        </w:trPr>
        <w:tc>
          <w:tcPr>
            <w:tcW w:w="6900" w:type="dxa"/>
            <w:vAlign w:val="bottom"/>
            <w:gridSpan w:val="2"/>
          </w:tcPr>
          <w:p>
            <w:pPr>
              <w:jc w:val="center"/>
              <w:ind w:left="4448"/>
              <w:spacing w:after="0"/>
              <w:rPr>
                <w:sz w:val="20"/>
                <w:szCs w:val="20"/>
                <w:color w:val="auto"/>
              </w:rPr>
            </w:pPr>
            <w:r>
              <w:rPr>
                <w:rFonts w:ascii="Arial" w:cs="Arial" w:eastAsia="Arial" w:hAnsi="Arial"/>
                <w:sz w:val="14"/>
                <w:szCs w:val="14"/>
                <w:b w:val="1"/>
                <w:bCs w:val="1"/>
                <w:color w:val="auto"/>
                <w:w w:val="93"/>
              </w:rPr>
              <w:t>(732) 870-4000</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4760" w:type="dxa"/>
            <w:vAlign w:val="bottom"/>
            <w:tcBorders>
              <w:bottom w:val="single" w:sz="8" w:color="auto"/>
            </w:tcBorders>
            <w:gridSpan w:val="3"/>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748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 None</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900" w:type="dxa"/>
            <w:vAlign w:val="bottom"/>
            <w:gridSpan w:val="2"/>
          </w:tcPr>
          <w:p>
            <w:pPr>
              <w:jc w:val="center"/>
              <w:ind w:right="1381"/>
              <w:spacing w:after="0"/>
              <w:rPr>
                <w:sz w:val="20"/>
                <w:szCs w:val="20"/>
                <w:color w:val="auto"/>
              </w:rPr>
            </w:pPr>
            <w:r>
              <w:rPr>
                <w:rFonts w:ascii="Arial" w:cs="Arial" w:eastAsia="Arial" w:hAnsi="Arial"/>
                <w:sz w:val="14"/>
                <w:szCs w:val="14"/>
                <w:b w:val="1"/>
                <w:bCs w:val="1"/>
                <w:color w:val="auto"/>
                <w:w w:val="89"/>
              </w:rPr>
              <w:t>Title of each class</w:t>
            </w:r>
          </w:p>
        </w:tc>
        <w:tc>
          <w:tcPr>
            <w:tcW w:w="39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jc w:val="center"/>
              <w:ind w:right="1401"/>
              <w:spacing w:after="0"/>
              <w:rPr>
                <w:sz w:val="20"/>
                <w:szCs w:val="20"/>
                <w:color w:val="auto"/>
              </w:rPr>
            </w:pPr>
            <w:r>
              <w:rPr>
                <w:rFonts w:ascii="Arial" w:cs="Arial" w:eastAsia="Arial" w:hAnsi="Arial"/>
                <w:sz w:val="14"/>
                <w:szCs w:val="14"/>
                <w:color w:val="auto"/>
                <w:w w:val="92"/>
              </w:rPr>
              <w:t>Common Stock, $0.01 par value</w:t>
            </w:r>
          </w:p>
        </w:tc>
        <w:tc>
          <w:tcPr>
            <w:tcW w:w="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540"/>
              <w:spacing w:after="0"/>
              <w:rPr>
                <w:sz w:val="20"/>
                <w:szCs w:val="20"/>
                <w:color w:val="auto"/>
              </w:rPr>
            </w:pPr>
            <w:r>
              <w:rPr>
                <w:rFonts w:ascii="Arial" w:cs="Arial" w:eastAsia="Arial" w:hAnsi="Arial"/>
                <w:sz w:val="14"/>
                <w:szCs w:val="14"/>
                <w:color w:val="auto"/>
                <w:w w:val="97"/>
              </w:rPr>
              <w:t>The NASDAQ Stock Market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900" w:type="dxa"/>
            <w:vAlign w:val="bottom"/>
            <w:gridSpan w:val="2"/>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2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100"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“emerging growth company” in rule 12b-2 of the Exchange Act.</w:t>
      </w:r>
    </w:p>
    <w:p>
      <w:pPr>
        <w:spacing w:after="0" w:line="106" w:lineRule="exact"/>
        <w:rPr>
          <w:sz w:val="24"/>
          <w:szCs w:val="24"/>
          <w:color w:val="auto"/>
        </w:rPr>
      </w:pPr>
    </w:p>
    <w:p>
      <w:pPr>
        <w:ind w:left="780" w:right="940" w:firstLine="109"/>
        <w:spacing w:after="0" w:line="21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o Non-accelerated filer o Smaller reporting company o Emerging growth company o</w:t>
      </w:r>
    </w:p>
    <w:p>
      <w:pPr>
        <w:spacing w:after="0" w:line="328" w:lineRule="exact"/>
        <w:rPr>
          <w:sz w:val="24"/>
          <w:szCs w:val="24"/>
          <w:color w:val="auto"/>
        </w:rPr>
      </w:pPr>
    </w:p>
    <w:p>
      <w:pPr>
        <w:ind w:right="60" w:firstLine="648"/>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 w:lineRule="exact"/>
        <w:rPr>
          <w:sz w:val="24"/>
          <w:szCs w:val="24"/>
          <w:color w:val="auto"/>
        </w:rPr>
      </w:pPr>
    </w:p>
    <w:p>
      <w:pPr>
        <w:spacing w:after="0" w:line="161" w:lineRule="exact"/>
        <w:tabs>
          <w:tab w:leader="none" w:pos="666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20" w:firstLine="648"/>
        <w:spacing w:after="0" w:line="273" w:lineRule="auto"/>
        <w:rPr>
          <w:sz w:val="20"/>
          <w:szCs w:val="20"/>
          <w:color w:val="auto"/>
        </w:rPr>
      </w:pPr>
      <w:r>
        <w:rPr>
          <w:rFonts w:ascii="Arial" w:cs="Arial" w:eastAsia="Arial" w:hAnsi="Arial"/>
          <w:sz w:val="14"/>
          <w:szCs w:val="14"/>
          <w:color w:val="auto"/>
        </w:rPr>
        <w:t>As of September 30, 2017,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$2.6 billion.</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May 1, 2018, there were 45,482,346 shares of the registrant’s common stock ($0.01 par value) outstanding.</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648"/>
        <w:spacing w:after="0" w:line="257" w:lineRule="auto"/>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2018 Annual Meeting of Stockholders (the “Proxy Statement”), which is expected to be filed not later than 120 days after the registrant’s fiscal year ended March 31, 2018. Except as expressly incorporated by reference, the Proxy Statement shall not be deemed to be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189230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206375</wp:posOffset>
            </wp:positionV>
            <wp:extent cx="6869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9"/>
              </w:rPr>
              <w:t>COMMVAULT SYSTEMS, INC.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60" w:type="dxa"/>
            <w:vAlign w:val="bottom"/>
            <w:gridSpan w:val="7"/>
          </w:tcPr>
          <w:p>
            <w:pPr>
              <w:jc w:val="center"/>
              <w:ind w:right="4260"/>
              <w:spacing w:after="0"/>
              <w:rPr>
                <w:sz w:val="20"/>
                <w:szCs w:val="20"/>
                <w:color w:val="auto"/>
              </w:rPr>
            </w:pPr>
            <w:r>
              <w:rPr>
                <w:rFonts w:ascii="Arial" w:cs="Arial" w:eastAsia="Arial" w:hAnsi="Arial"/>
                <w:sz w:val="18"/>
                <w:szCs w:val="18"/>
                <w:b w:val="1"/>
                <w:bCs w:val="1"/>
                <w:color w:val="auto"/>
              </w:rPr>
              <w:t>FORM 10-K</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8"/>
              </w:rPr>
              <w:t>FISCAL YEAR ENDED MARCH 31, 2018</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gridSpan w:val="6"/>
          </w:tcPr>
          <w:p>
            <w:pPr>
              <w:jc w:val="center"/>
              <w:ind w:right="4300"/>
              <w:spacing w:after="0"/>
              <w:rPr>
                <w:sz w:val="20"/>
                <w:szCs w:val="20"/>
                <w:color w:val="auto"/>
              </w:rPr>
            </w:pPr>
            <w:r>
              <w:rPr>
                <w:rFonts w:ascii="Arial" w:cs="Arial" w:eastAsia="Arial" w:hAnsi="Arial"/>
                <w:sz w:val="18"/>
                <w:szCs w:val="18"/>
                <w:b w:val="1"/>
                <w:bCs w:val="1"/>
                <w:color w:val="auto"/>
                <w:w w:val="98"/>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Business</w:t>
              </w:r>
            </w:hyperlink>
          </w:p>
        </w:tc>
        <w:tc>
          <w:tcPr>
            <w:tcW w:w="8800" w:type="dxa"/>
            <w:vAlign w:val="bottom"/>
            <w:gridSpan w:val="18"/>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5">
              <w:r>
                <w:rPr>
                  <w:rFonts w:ascii="Arial" w:cs="Arial" w:eastAsia="Arial" w:hAnsi="Arial"/>
                  <w:sz w:val="18"/>
                  <w:szCs w:val="18"/>
                  <w:color w:val="0000EE"/>
                  <w:w w:val="81"/>
                </w:rPr>
                <w:t>Risk Factors</w:t>
              </w:r>
            </w:hyperlink>
          </w:p>
        </w:tc>
        <w:tc>
          <w:tcPr>
            <w:tcW w:w="8540" w:type="dxa"/>
            <w:vAlign w:val="bottom"/>
            <w:gridSpan w:val="1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400" w:type="dxa"/>
            <w:vAlign w:val="bottom"/>
            <w:gridSpan w:val="10"/>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w w:val="99"/>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1360" w:type="dxa"/>
            <w:vAlign w:val="bottom"/>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6400" w:type="dxa"/>
            <w:vAlign w:val="bottom"/>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220" w:type="dxa"/>
            <w:vAlign w:val="bottom"/>
            <w:gridSpan w:val="13"/>
          </w:tcPr>
          <w:p>
            <w:pPr>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Financial Statements (as adjusted) and Supplementary Data</w:t>
              </w:r>
            </w:hyperlink>
          </w:p>
        </w:tc>
        <w:tc>
          <w:tcPr>
            <w:tcW w:w="5160" w:type="dxa"/>
            <w:vAlign w:val="bottom"/>
            <w:gridSpan w:val="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938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296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7680" w:type="dxa"/>
            <w:vAlign w:val="bottom"/>
            <w:gridSpan w:val="1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8"/>
          </w:tcPr>
          <w:p>
            <w:pPr>
              <w:spacing w:after="0"/>
              <w:rPr>
                <w:rFonts w:ascii="Arial" w:cs="Arial" w:eastAsia="Arial" w:hAnsi="Arial"/>
                <w:sz w:val="18"/>
                <w:szCs w:val="18"/>
                <w:color w:val="0000EE"/>
                <w:w w:val="86"/>
              </w:rPr>
            </w:pPr>
            <w:hyperlink w:anchor="page82">
              <w:r>
                <w:rPr>
                  <w:rFonts w:ascii="Arial" w:cs="Arial" w:eastAsia="Arial" w:hAnsi="Arial"/>
                  <w:sz w:val="18"/>
                  <w:szCs w:val="18"/>
                  <w:color w:val="0000EE"/>
                  <w:w w:val="86"/>
                </w:rPr>
                <w:t>Executive Compensation</w:t>
              </w:r>
            </w:hyperlink>
          </w:p>
        </w:tc>
        <w:tc>
          <w:tcPr>
            <w:tcW w:w="2280" w:type="dxa"/>
            <w:vAlign w:val="bottom"/>
            <w:gridSpan w:val="4"/>
          </w:tcPr>
          <w:p>
            <w:pPr>
              <w:spacing w:after="0"/>
              <w:rPr>
                <w:sz w:val="21"/>
                <w:szCs w:val="21"/>
                <w:color w:val="auto"/>
              </w:rPr>
            </w:pPr>
          </w:p>
        </w:tc>
        <w:tc>
          <w:tcPr>
            <w:tcW w:w="5360" w:type="dxa"/>
            <w:vAlign w:val="bottom"/>
            <w:gridSpan w:val="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80" w:type="dxa"/>
            <w:vAlign w:val="bottom"/>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1"/>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Exhibits and Financial Statement Schedules</w:t>
              </w:r>
            </w:hyperlink>
          </w:p>
        </w:tc>
        <w:tc>
          <w:tcPr>
            <w:tcW w:w="6280" w:type="dxa"/>
            <w:vAlign w:val="bottom"/>
            <w:gridSpan w:val="8"/>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3100" w:type="dxa"/>
            <w:vAlign w:val="bottom"/>
            <w:gridSpan w:val="1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6280" w:type="dxa"/>
            <w:vAlign w:val="bottom"/>
            <w:gridSpan w:val="8"/>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SIGNATURES</w:t>
              </w:r>
            </w:hyperlink>
          </w:p>
        </w:tc>
        <w:tc>
          <w:tcPr>
            <w:tcW w:w="9380" w:type="dxa"/>
            <w:vAlign w:val="bottom"/>
            <w:gridSpan w:val="1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507"/>
        </w:trPr>
        <w:tc>
          <w:tcPr>
            <w:tcW w:w="1100" w:type="dxa"/>
            <w:vAlign w:val="bottom"/>
            <w:tcBorders>
              <w:top w:val="single" w:sz="8" w:color="0000EE"/>
            </w:tcBorders>
          </w:tcPr>
          <w:p>
            <w:pPr>
              <w:spacing w:after="0"/>
              <w:rPr>
                <w:sz w:val="24"/>
                <w:szCs w:val="24"/>
                <w:color w:val="auto"/>
              </w:rPr>
            </w:pPr>
          </w:p>
        </w:tc>
        <w:tc>
          <w:tcPr>
            <w:tcW w:w="5380" w:type="dxa"/>
            <w:vAlign w:val="bottom"/>
            <w:gridSpan w:val="14"/>
          </w:tcPr>
          <w:p>
            <w:pPr>
              <w:jc w:val="center"/>
              <w:ind w:left="367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within the meaning of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protection data and information management solution, built from the ground up on a single platform and unified code base. All software functionality shares the same back-end technologies to deliver the benefits of a holistic approach to protecting, managing, and accessing data. The software addresses many aspects of data management in the enterprise, while providing scalability and control of data and information. We also provide our customers with a broad range of professional services that are delivered by our worldwide support and field operations.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features of our software platform include:</w:t>
      </w:r>
    </w:p>
    <w:p>
      <w:pPr>
        <w:spacing w:after="0" w:line="306" w:lineRule="exact"/>
        <w:rPr>
          <w:sz w:val="20"/>
          <w:szCs w:val="20"/>
          <w:color w:val="auto"/>
        </w:rPr>
      </w:pPr>
    </w:p>
    <w:p>
      <w:pPr>
        <w:ind w:left="660" w:right="4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Data protection solutions supporting all major operating systems, applications, and databases on virtual and physical servers, network-attached storage, cloud-based infrastructures, and mobile devices;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through a single console; view, manage, and access all functions and all data and information across the enterprise;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Multiple protection methods including backup and archive, snapshot management, replication, and content indexing for eDiscovery;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Efficient storage management using deduplication for disk, tape and cloud;</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Integration with the industry's top storage arrays to automate the creation of indexed, application-aware hardware snapshot copies across multi-vendor storage environments;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 virtual infrastructure management supporting multiple hypervisors, including VMware and Hyper-V;</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Security capabilities to limit access to critical data, provide granular management capabilities, and provide single sign on access for Active Directory users;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Policy based data management, allowing users to manage data based on business needs and not physical location; and</w:t>
      </w:r>
    </w:p>
    <w:p>
      <w:pPr>
        <w:spacing w:after="0" w:line="9"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end-user experience that allows them to protect, find and recover their own data using common tools such as web browsers, Microsoft Outlook and File Explorer.</w:t>
      </w:r>
    </w:p>
    <w:p>
      <w:pPr>
        <w:spacing w:after="0" w:line="34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Commvault software is built upon an innovative single platform architecture. We refer to the single, unified code base underlying each of our applications as our Single Platform. Our Single Platform is unique and differentiates us from our competitors, some of whom address market needs by offering multiple and disparate point products that have come together as a collection often as a result of acquisition strategies. We believe that the disparate and point product approach forces users to install and maintain separate products requiring their own infrastructure, training, maintenance and management which can result in a complex and costly environment for customers who are looking for a single solution that will improve operations, minimize risk and reduce overall costs.</w:t>
      </w:r>
    </w:p>
    <w:p>
      <w:pPr>
        <w:spacing w:after="0" w:line="1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Commvault software enables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fiscal 2018, we started selling appliances that integrate our software with hardware and address a wide-range of business needs and use cases, ranging from support for remote or branch offices with limited IT staff up to large corporate data centers. These appliances, based on Commvault’s innovative HyperScale software architecture are targeted for ease of procurement, installation, and operation for mid market and small enterprise customers. The same HyperScale software architecture is extensible to multiple petabytes when deployed in Commvault’s Reference Design Program and integrated with our Alliance partners’ x86 server architecture.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26" w:right="259" w:bottom="1440" w:gutter="0" w:footer="0" w:header="0"/>
        </w:sectPr>
      </w:pPr>
    </w:p>
    <w:bookmarkStart w:id="4" w:name="page5"/>
    <w:bookmarkEnd w:id="4"/>
    <w:p>
      <w:pPr>
        <w:ind w:right="80" w:firstLine="648"/>
        <w:spacing w:after="0" w:line="259" w:lineRule="auto"/>
        <w:rPr>
          <w:sz w:val="20"/>
          <w:szCs w:val="20"/>
          <w:color w:val="auto"/>
        </w:rPr>
      </w:pPr>
      <w:r>
        <w:rPr>
          <w:rFonts w:ascii="Arial" w:cs="Arial" w:eastAsia="Arial" w:hAnsi="Arial"/>
          <w:sz w:val="18"/>
          <w:szCs w:val="18"/>
          <w:color w:val="auto"/>
        </w:rPr>
        <w:t>We have established a worldwide, multi-channel distribution network to sell our software and products,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 As of March 31, 2018, we had licensed our data and information management software to over 26,000 registered customers.</w:t>
      </w:r>
    </w:p>
    <w:p>
      <w:pPr>
        <w:spacing w:after="0" w:line="13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internet address is www.commvault.com. On this website, we post the following filings as soon as reasonably practicable after they are electronically filed with or furnished to the U.S. Securities and Exchange Commission (SEC): our Annual Reports on Form 10-K, our quarterly reports on Form 10-Q, our current reports on Form 8-K, our proxy statements related to our annual stockholders’ meetings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incorporated by reference into this Form 10-K or in any other report, statement or document we file with the SEC.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driving force behind the growth of the data and information management software industry is the rapid growth of data, coupled with the need to reliably protect and quickly access that data, while maintaining the ability to effectively manage the emerging regulations around compliance and e-discovery.</w:t>
      </w:r>
    </w:p>
    <w:p>
      <w:pPr>
        <w:spacing w:after="0" w:line="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increasing reliance on critical enterprise software applications such as e-mail, relational databases, enterprise resource planning, customer relationship management and workgroup collaboration tools is resulting in the rapid growth of data across all enterprises. This data is widely considered to be one of an organization’s most valued and strategic assets. Given the need for actionable and intelligent insights into data sets and file systems, organizations increasingly must scale and store information at unprecedented levels. Big data initiatives leverage new approaches and technologies to store, index and analyze huge data sets, while minimizing storage requirements and driving faster outcomes.</w:t>
      </w:r>
    </w:p>
    <w:p>
      <w:pPr>
        <w:spacing w:after="0" w:line="119"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color w:val="auto"/>
        </w:rPr>
        <w:t>Ensuring the security, availability and integrity of the data has become a critical task as regulatory compliance and corporate governance objectives affecting many organizations mandate the creation of multiple copies of data with longer and more complex retention requirements. Government regulations, such as those issued under the Sarbanes-Oxley Act, the Health Insurance Portability and Accountability Act (HIPAA), Government Paper Elimination Act (GPEA), Homeland Security, the Patriot Act, Freedom of Information Act (FOIA), the Basel Committee on Banking Supervision ("The Basel Accords"), the Dodd-Frank Wall Street Reform and Consumer Protection Act, GDPR, as well as company policies requiring data access, protection and preservation, are expanding the proportion of data that must be archived and easily accessible for future use.</w:t>
      </w:r>
    </w:p>
    <w:p>
      <w:pPr>
        <w:spacing w:after="0" w:line="1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to rapid data growth, data storage has transitioned from being server-attached to becoming widely distributed across local and global networked storage systems. Data previously stored on primary disk and backed up on tape is increasingly being backed up, managed and stored on a broader array of storage tiers ranging from high-cost, high-performance disk systems, to lower-cost mid-range and low-end disk systems, to tape libraries and both public and private cloud storage services. This transition has been driven by the growth of data, the pervasive use of distributed critical enterprise software applications, the decrease in disk cost, and the demand for 24/7 business continuity.</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virtualized environments with larger and more complex networked data and storage solutions. We also believe the cloud will continue to significantly impact the way that applications are delivered, data is stored and information is retrieved.</w:t>
      </w:r>
    </w:p>
    <w:p>
      <w:pPr>
        <w:spacing w:after="0" w:line="13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rapid growth of data and the need to securely protect, manage and access this data is driving substantial opportunities for managed service providers ("MSPs") to help organizations deploy and manage solutions that deliver data management capabilities. The result is reduced long-term management costs with increased offerings to customers, which we believe represents a long-term industry trend in the way that services are offered.</w:t>
      </w:r>
    </w:p>
    <w:p>
      <w:pPr>
        <w:spacing w:after="0" w:line="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believe that these trends are increasing the demand for software applications that can simplify data and information management, provide secure and reliable access to all data across a broad spectrum of tiered storage and computing systems and seamlessly scale to accommodate growth, while reducing the total cost of ownership to the customer.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Software and Products</w:t>
      </w:r>
    </w:p>
    <w:p>
      <w:pPr>
        <w:spacing w:after="0" w:line="9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Historically, the vast majority of our software licenses provided for a perpetual right to use our software and are sold on a per terabyte capacity basis, per-copy, as site licenses or as a solution set. In recent years, most of our software and products revenue has been sold on a capacity basis. Software licenses sold on a capacity basis provide the customer with unlimited licenses of specified software products based on a defined level of terabytes of data under management. As a result, when we sell our software via a capacity license, certain of the various functionalities discussed below are bundled into one capacity based price. Site licenses give the customer the additional right to deploy the software on a limited basis during a specified term.</w:t>
      </w:r>
    </w:p>
    <w:p>
      <w:pPr>
        <w:spacing w:after="0" w:line="2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w:t>
      </w:r>
    </w:p>
    <w:p>
      <w:pPr>
        <w:spacing w:after="0" w:line="5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fiscal 2018, an insignificant amount of our revenue was sold under subscription, or term based, license arrangements. Any of our licensing models (capacity, solution set,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recognized when the software is delivered. In fiscal 2018, we started to introduce more subscription arrangements into the market. We expect revenue from these types of arrangements as a percentage of our total revenue to increase in the next few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Commvault Software Solutions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Commvault software suite contains solutions that are all built on a single unified code base and platform to protect, manage and access data and information. Within the platform, tightly integrated, powerful software features deliver functionality throughout physical and virtual environments to help protect and recover data, manage costs and complexity and gain better insight into information. Our primary software solutions are Data Protection, Backup and Recovery; Cloud and Infrastructure Management; and Retention and Compliance.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Backup and Recovery</w:t>
      </w:r>
    </w:p>
    <w:p>
      <w:pPr>
        <w:spacing w:after="0" w:line="15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Data Protection, Backup and Recovery software solutions provide enterprise-level backup and recovery from a single, centralized management console. It covers the full range of data sources, file types, storage media and backup modes - from snapshots to streaming. Our integrated, automated data protection approach provides a single, complete view of all stored data no matter if it is on premises or in the cloud. Our software solution allows for the backup of databases, files, applications, endpoints and virtual machines (VMs) with maximum efficiency according to data type and recovery profile. It also helps to optimize storage with deduplication, recover data rapidly and easily and leverage reports to continually improve backup and recovery processes.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Virtual Machines (VMs) and Cloud Platforms</w:t>
      </w:r>
    </w:p>
    <w:p>
      <w:pPr>
        <w:spacing w:after="0" w:line="158" w:lineRule="exact"/>
        <w:rPr>
          <w:sz w:val="20"/>
          <w:szCs w:val="20"/>
          <w:color w:val="auto"/>
        </w:rPr>
      </w:pPr>
    </w:p>
    <w:p>
      <w:pPr>
        <w:ind w:left="660" w:right="160" w:firstLine="648"/>
        <w:spacing w:after="0" w:line="259" w:lineRule="auto"/>
        <w:rPr>
          <w:sz w:val="20"/>
          <w:szCs w:val="20"/>
          <w:color w:val="auto"/>
        </w:rPr>
      </w:pPr>
      <w:r>
        <w:rPr>
          <w:rFonts w:ascii="Arial" w:cs="Arial" w:eastAsia="Arial" w:hAnsi="Arial"/>
          <w:sz w:val="18"/>
          <w:szCs w:val="18"/>
          <w:color w:val="auto"/>
        </w:rPr>
        <w:t>Our software solution for VM backup, recovery and cloud management delivers a number of benefits such as: VM recovery with live recovery options; backup to and in the cloud; custom-fit data protection for SLAs; broad hardware snapshot management; and workload portability across physical, virtual and cloud platforms. We offer a cloud management solution across multiple VM and cloud platforms, including Amazon Web Services (AWS), Microsoft Azure, Google Cloud and VMware.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Databases</w:t>
      </w:r>
    </w:p>
    <w:p>
      <w:pPr>
        <w:spacing w:after="0" w:line="158" w:lineRule="exact"/>
        <w:rPr>
          <w:sz w:val="20"/>
          <w:szCs w:val="20"/>
          <w:color w:val="auto"/>
        </w:rPr>
      </w:pPr>
    </w:p>
    <w:p>
      <w:pPr>
        <w:ind w:left="660" w:right="320" w:firstLine="648"/>
        <w:spacing w:after="0" w:line="259" w:lineRule="auto"/>
        <w:rPr>
          <w:sz w:val="20"/>
          <w:szCs w:val="20"/>
          <w:color w:val="auto"/>
        </w:rPr>
      </w:pPr>
      <w:r>
        <w:rPr>
          <w:rFonts w:ascii="Arial" w:cs="Arial" w:eastAsia="Arial" w:hAnsi="Arial"/>
          <w:sz w:val="18"/>
          <w:szCs w:val="18"/>
          <w:color w:val="auto"/>
        </w:rPr>
        <w:t>We provide a simple way to protect and recover business-critical databases through automatic discovery, push-button recovery, intuitive deduplication, cloning/replication, and by hardware snapshots through built-in application integration. We believe we eliminate the need for multiple, costly backup tools and complex scripting, while improving database performance. Our objective is to accelerate recovery and shrink backup windows, while providing granular, table-level recovery.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07"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auto"/>
        </w:rPr>
        <w:t>Email and Enterprise Applications</w:t>
      </w:r>
    </w:p>
    <w:p>
      <w:pPr>
        <w:spacing w:after="0" w:line="158" w:lineRule="exact"/>
        <w:rPr>
          <w:sz w:val="20"/>
          <w:szCs w:val="20"/>
          <w:color w:val="auto"/>
        </w:rPr>
      </w:pPr>
    </w:p>
    <w:p>
      <w:pPr>
        <w:ind w:left="660" w:firstLine="648"/>
        <w:spacing w:after="0" w:line="257" w:lineRule="auto"/>
        <w:rPr>
          <w:sz w:val="20"/>
          <w:szCs w:val="20"/>
          <w:color w:val="auto"/>
        </w:rPr>
      </w:pPr>
      <w:r>
        <w:rPr>
          <w:rFonts w:ascii="Arial" w:cs="Arial" w:eastAsia="Arial" w:hAnsi="Arial"/>
          <w:sz w:val="18"/>
          <w:szCs w:val="18"/>
          <w:color w:val="auto"/>
        </w:rPr>
        <w:t>Email along with enterprise applications are critical to a business. We believe a significant portion of business-critical information is stored in email so reliable backup and recovery is essential. Commvault Data Protection, Backup and Recovery gives users self-service access to search and restore messages without IT intervention. Our solution provides an enterprise a single solution to backup, restore and archive their important messaging applications. In addition, we provide our customers the ability to protect a wide range of applications, such as SharePoint, Exchange, Oracle, Office 365, and SAP enterprise software solutions.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File Protection and Recovery</w:t>
      </w:r>
    </w:p>
    <w:p>
      <w:pPr>
        <w:spacing w:after="0" w:line="158" w:lineRule="exact"/>
        <w:rPr>
          <w:sz w:val="20"/>
          <w:szCs w:val="20"/>
          <w:color w:val="auto"/>
        </w:rPr>
      </w:pPr>
    </w:p>
    <w:p>
      <w:pPr>
        <w:ind w:left="660" w:right="220" w:firstLine="648"/>
        <w:spacing w:after="0" w:line="259" w:lineRule="auto"/>
        <w:rPr>
          <w:sz w:val="20"/>
          <w:szCs w:val="20"/>
          <w:color w:val="auto"/>
        </w:rPr>
      </w:pPr>
      <w:r>
        <w:rPr>
          <w:rFonts w:ascii="Arial" w:cs="Arial" w:eastAsia="Arial" w:hAnsi="Arial"/>
          <w:sz w:val="18"/>
          <w:szCs w:val="18"/>
          <w:color w:val="auto"/>
        </w:rPr>
        <w:t>Our software solution brings unstructured data into management. Our File Protection and Recovery solution make it easy to find, recover and restore lost or damaged files at any level of granularity, from single files to whole file systems. In addition, business files stored in third-party file sharing applications can be protected in a secure, searchable and centralized virtual repository. Our integrated snapshot management indexes snapshots to make them searchable, making file recovery an easy process.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Endpoint Data Protection</w:t>
      </w:r>
    </w:p>
    <w:p>
      <w:pPr>
        <w:spacing w:after="0" w:line="158"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18"/>
          <w:szCs w:val="18"/>
          <w:color w:val="auto"/>
        </w:rPr>
        <w:t>Our Endpoint Data Protection solution enables data created and stored on laptops and desktops to be accessible anytime with a self-service recovery portal accessible from any web browser or mobile device. Our solution covers endpoint data on laptops, desktops and other devices with source-side deduplication, opportunistic scheduling and bandwidth throttling. This solution is offered both on-premises (customer operated) and "as-a-service" (Commvault operated).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Source-side Deduplication</w:t>
      </w:r>
    </w:p>
    <w:p>
      <w:pPr>
        <w:spacing w:after="0" w:line="158" w:lineRule="exact"/>
        <w:rPr>
          <w:sz w:val="20"/>
          <w:szCs w:val="20"/>
          <w:color w:val="auto"/>
        </w:rPr>
      </w:pPr>
    </w:p>
    <w:p>
      <w:pPr>
        <w:ind w:left="660" w:right="180" w:firstLine="648"/>
        <w:spacing w:after="0" w:line="286" w:lineRule="auto"/>
        <w:rPr>
          <w:sz w:val="20"/>
          <w:szCs w:val="20"/>
          <w:color w:val="auto"/>
        </w:rPr>
      </w:pPr>
      <w:r>
        <w:rPr>
          <w:rFonts w:ascii="Arial" w:cs="Arial" w:eastAsia="Arial" w:hAnsi="Arial"/>
          <w:sz w:val="17"/>
          <w:szCs w:val="17"/>
          <w:color w:val="auto"/>
        </w:rPr>
        <w:t>Our software solutions integrate deduplication functionality directly into our software for a backup and recovery approach that is scalable and cost effective. Source-side deduplication can boost backup speeds while decreasing storage and network resource consumption whether protecting data in private or public clouds, remote office servers, laptops or critical applications in the data center.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Cloud and Infrastructure Management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Cloud and Infrastructure Management software solutions provide an efficient way to manage storage hardware and virtual infrastructure as data volumes grow and more applications move to the cloud.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VM and Cloud Management</w:t>
      </w:r>
    </w:p>
    <w:p>
      <w:pPr>
        <w:spacing w:after="0" w:line="158" w:lineRule="exact"/>
        <w:rPr>
          <w:sz w:val="20"/>
          <w:szCs w:val="20"/>
          <w:color w:val="auto"/>
        </w:rPr>
      </w:pPr>
    </w:p>
    <w:p>
      <w:pPr>
        <w:ind w:left="660" w:right="60" w:firstLine="648"/>
        <w:spacing w:after="0" w:line="279" w:lineRule="auto"/>
        <w:rPr>
          <w:sz w:val="20"/>
          <w:szCs w:val="20"/>
          <w:color w:val="auto"/>
        </w:rPr>
      </w:pPr>
      <w:r>
        <w:rPr>
          <w:rFonts w:ascii="Arial" w:cs="Arial" w:eastAsia="Arial" w:hAnsi="Arial"/>
          <w:sz w:val="17"/>
          <w:szCs w:val="17"/>
          <w:color w:val="auto"/>
        </w:rPr>
        <w:t>Our holistic approach to cloud management allows companies to manage a virtual infrastructure across multiple hypervisors and cloud platforms. Our VM and Cloud Management solution can streamline operations over the entire VM lifecycle, from provisioning to protection to decommissioning. With our software solution, companies can manage VMware, Microsoft Hyper-V, Amazon Web Services EC2, Google Cloud and Microsoft Azure hypervisors through a single solution to get the most out of all their technologies.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Snapshot Management</w:t>
      </w:r>
    </w:p>
    <w:p>
      <w:pPr>
        <w:spacing w:after="0" w:line="158" w:lineRule="exact"/>
        <w:rPr>
          <w:sz w:val="20"/>
          <w:szCs w:val="20"/>
          <w:color w:val="auto"/>
        </w:rPr>
      </w:pPr>
    </w:p>
    <w:p>
      <w:pPr>
        <w:ind w:left="660" w:right="60" w:firstLine="648"/>
        <w:spacing w:after="0" w:line="257" w:lineRule="auto"/>
        <w:rPr>
          <w:sz w:val="20"/>
          <w:szCs w:val="20"/>
          <w:color w:val="auto"/>
        </w:rPr>
      </w:pPr>
      <w:r>
        <w:rPr>
          <w:rFonts w:ascii="Arial" w:cs="Arial" w:eastAsia="Arial" w:hAnsi="Arial"/>
          <w:sz w:val="18"/>
          <w:szCs w:val="18"/>
          <w:color w:val="auto"/>
        </w:rPr>
        <w:t>Our software solutions can simplify snapshot management with a single console for many hardware storage vendors. Our built-in reporting and alerting lets users perform more detailed utilization and capacity planning for hardware snapshots. With our Snapshot Management software solution, hardware snapshots can be managed across a wide selection of vendors such as DataCore, Dell-EMC, Fujitsu, HPE, Hitachi Vantara, Huawei, IBM, INFINIDAT, NetApp, Nimble Storage, Nutanix, Oracle ZFS and Pure Storage. Our underlying IntelliSnap™ technology provides the multi-vendor flexibility.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Orchestration</w:t>
      </w:r>
    </w:p>
    <w:p>
      <w:pPr>
        <w:spacing w:after="0" w:line="158"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Our software solutions automate repetitive or highly complex data management tasks by combining individual process sets in a specific order or decision tree. Configuring our software to meet company specific IT needs can be achieved whether using our pre-built workflows or design or a company’s own with our graphical user interface.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0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Retention and Compliance</w:t>
      </w:r>
    </w:p>
    <w:p>
      <w:pPr>
        <w:spacing w:after="0" w:line="15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single virtual content repository makes it easier to index, archive and search managed data using our Retention and Compliance software solutions.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Content Based Retention</w:t>
      </w:r>
    </w:p>
    <w:p>
      <w:pPr>
        <w:spacing w:after="0" w:line="158"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Our Content Based Retention solution provides for user-defined retention policies to automatically organize, classify and store information based on relevant and usable criteria, such as file name, type, content, tags and keywords which can reduce complexity and risk of storing massive volumes of data.</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Enterprise Search and E-Discovery</w:t>
      </w:r>
    </w:p>
    <w:p>
      <w:pPr>
        <w:spacing w:after="0" w:line="158" w:lineRule="exact"/>
        <w:rPr>
          <w:sz w:val="20"/>
          <w:szCs w:val="20"/>
          <w:color w:val="auto"/>
        </w:rPr>
      </w:pPr>
    </w:p>
    <w:p>
      <w:pPr>
        <w:ind w:left="660" w:right="40" w:firstLine="648"/>
        <w:spacing w:after="0" w:line="264" w:lineRule="auto"/>
        <w:rPr>
          <w:sz w:val="20"/>
          <w:szCs w:val="20"/>
          <w:color w:val="auto"/>
        </w:rPr>
      </w:pPr>
      <w:r>
        <w:rPr>
          <w:rFonts w:ascii="Arial" w:cs="Arial" w:eastAsia="Arial" w:hAnsi="Arial"/>
          <w:sz w:val="18"/>
          <w:szCs w:val="18"/>
          <w:color w:val="auto"/>
        </w:rPr>
        <w:t>Our Enterprise Search and E-Discovery solution allows users to find information needed to satisfy internal search requirements or respond to external eDiscovery requests. We believe our software solution can minimize risk and exposure by providing a single, integrated platform for enterprise search and eDiscovery across the full range of devices, apps and file types.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Email Archiving</w:t>
      </w:r>
    </w:p>
    <w:p>
      <w:pPr>
        <w:spacing w:after="0" w:line="15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Our single, unified data management platform supports detailed archiving policies for email environments, including cloud email solutions like Microsoft Office 365. Users can classify data by application and automate email data management, even as volumes continue to grow. We also streamline eDiscovery across data silos, making email data accessible via a single, comprehensive platform.</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Data Loss Prevention</w:t>
      </w:r>
    </w:p>
    <w:p>
      <w:pPr>
        <w:spacing w:after="0" w:line="158"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Our software solutions include a number of built-in endpoint data protection and security features to help prevent unauthorized access and, if necessary, quickly restore files or applications to a new device. We believe our comprehensive approach to data loss prevention makes it easy to minimize compliance and litigation risks associated with losing critical business data.</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Secure File Sharing</w:t>
      </w:r>
    </w:p>
    <w:p>
      <w:pPr>
        <w:spacing w:after="0" w:line="158"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Our enterprise file-sharing capabilities allow for anytime access to data through a private cloud that is more secure than email or consumer file-sharing services. End-users can collaborate and still remain compliant with data-governance requirements while reducing the risk of exposing sensitive corporate data to unauthorized access.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Commvault HyperScale™ Technology</w:t>
      </w:r>
    </w:p>
    <w:p>
      <w:pPr>
        <w:spacing w:after="0" w:line="9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Introduced in fiscal 2018, Commvault HyperScale™ Technology is a cloud-ready, on premises data management solution that transforms a significant portion of enterprise infrastructure to provide cloud-like simplicity, elasticity, resiliency, flexibility and scale for secondary use cases in a modern scale-out approach. The software includes active copy management, hardware snapshot integration, support for all enterprise applications and physical, virtual and cloud platforms and SLA based polices and plans. Software defined services running on general purpose server based nodes, eliminate the need for dedicated media servers and expensive controller based storage, with the potential for reducing infrastructure costs significantly. A sophisticated orchestration engine, programmable API and direct data access through standard interfaces allow enterprises to embed these data management services, seamlessly into a broader cloud framework. This modern approach to data protection is available in two form factors - an all-in-one, preconfigured appliance form factor, and as reference architecture software version to be configured with the customers’ hardware of choice.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Commvault HyperScale™ Software</w:t>
      </w:r>
    </w:p>
    <w:p>
      <w:pPr>
        <w:spacing w:after="0" w:line="9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Commvault HyperScale Software is a unique scale-out infrastructure based on customer hardware preferences, enabling organizations to choose hardware configuration sizes and models from leading technology companies, including these initial program participants: Fujitsu, Cisco, Lenovo, HPE, Super Micro Computer, Huawei and Dell-EMC. Through the consumption of Commvault HyperScale Software, customers receive tested configurations that provide validated designs complemented by best-practice configurations. This simplified approach helps enterprises match hardware configurations and capacity to their secondary storage needs, while accelerating return on investment, reducing complexity and adding greater customer value.</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5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Commvault HyperScale™ Appliance</w:t>
      </w:r>
    </w:p>
    <w:p>
      <w:pPr>
        <w:spacing w:after="0" w:line="9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fiscal 2018, we started selling appliances that integrate the Company's software with hardware and address a wide-range of business needs and use cases, ranging from support for remote or branch offices with limited IT staff up to large corporate data centers. For customers wanting an all-in-one solution from acquisition to deployment, Commvault has introduced Commvault HyperScale Appliance, a highly differentiated data infrastructure solution that tightly integrates compute, storage, networking, virtualization, backup and recovery, full lifecycle data management and analytics into a single platform across the data center and in the cloud. Built on Commvault's technology, it enables customers to significantly decrease complexity and cost while increasing both scalability and IT agility. Because this solution is pre-designed, built, sold and supported by Commvault, customers save time in hardware acquisition, installation and integration, daily management and patching and updating.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 Protect with Cisco UCS</w:t>
      </w:r>
    </w:p>
    <w:p>
      <w:pPr>
        <w:spacing w:after="0" w:line="94"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Consistent with Commvault’s strategy to extend strategic alliances relationships to grow markets and expand selling opportunities, Commvault extended its partnership with Cisco, and together the two companies released a uniquely-branded offering of Commvault HyperScale Software, combined with leading data center technology from the Cisco UCS offering. Known as Scale Protect with Cisco UCS, the scale out solution with Commvault HyperScale Software is available on the Cisco price list, from Cisco sales personnel, and through the Cisco reseller channel.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9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suite of software applications. Our commitment to superior customer support is reflected in the breadth and depth of our service offerings as well as in our ongoing initiatives to engineer resiliency, automation and serviceability features directly into our products.</w:t>
      </w:r>
    </w:p>
    <w:p>
      <w:pPr>
        <w:spacing w:after="0" w:line="10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have established a global customer support organization built specifically to handle our expanding customer base. We offer multiple levels of customer support that can be tailored to the customer’s response needs and business sensitivities. Our customer support services consist of:</w:t>
      </w:r>
    </w:p>
    <w:p>
      <w:pPr>
        <w:spacing w:after="0" w:line="16" w:lineRule="exact"/>
        <w:rPr>
          <w:sz w:val="20"/>
          <w:szCs w:val="20"/>
          <w:color w:val="auto"/>
        </w:rPr>
      </w:pPr>
    </w:p>
    <w:p>
      <w:pPr>
        <w:ind w:left="980" w:right="100" w:hanging="324"/>
        <w:spacing w:after="0" w:line="255"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Support. </w:t>
      </w:r>
      <w:r>
        <w:rPr>
          <w:rFonts w:ascii="Arial" w:cs="Arial" w:eastAsia="Arial" w:hAnsi="Arial"/>
          <w:sz w:val="18"/>
          <w:szCs w:val="18"/>
          <w:color w:val="auto"/>
        </w:rPr>
        <w:t>Our support staff is available 24/7 by telephone to provide first response and manage the resolution of customer issues.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phone support, our customers have access to an online product support database for help with troubleshooting and operational questions. Innovative use of web-based diagnostic tools provides problem analysis and resolution.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85" w:lineRule="exact"/>
        <w:rPr>
          <w:rFonts w:ascii="Arial" w:cs="Arial" w:eastAsia="Arial" w:hAnsi="Arial"/>
          <w:sz w:val="18"/>
          <w:szCs w:val="18"/>
          <w:i w:val="1"/>
          <w:iCs w:val="1"/>
          <w:color w:val="auto"/>
        </w:rPr>
      </w:pPr>
    </w:p>
    <w:p>
      <w:pPr>
        <w:ind w:left="980" w:right="200" w:hanging="324"/>
        <w:spacing w:after="0" w:line="259"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Significant Network and Hardware Expertise. </w:t>
      </w:r>
      <w:r>
        <w:rPr>
          <w:rFonts w:ascii="Arial" w:cs="Arial" w:eastAsia="Arial" w:hAnsi="Arial"/>
          <w:sz w:val="18"/>
          <w:szCs w:val="18"/>
          <w:color w:val="auto"/>
        </w:rPr>
        <w:t>Our support engineers have extensive knowledge of complex applications, servers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We proactively take ownership of the 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78" w:lineRule="exact"/>
        <w:rPr>
          <w:rFonts w:ascii="Arial" w:cs="Arial" w:eastAsia="Arial" w:hAnsi="Arial"/>
          <w:sz w:val="18"/>
          <w:szCs w:val="18"/>
          <w:i w:val="1"/>
          <w:iCs w:val="1"/>
          <w:color w:val="auto"/>
        </w:rPr>
      </w:pPr>
    </w:p>
    <w:p>
      <w:pPr>
        <w:ind w:left="980" w:right="100" w:hanging="324"/>
        <w:spacing w:after="0" w:line="257"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Operations. </w:t>
      </w:r>
      <w:r>
        <w:rPr>
          <w:rFonts w:ascii="Arial" w:cs="Arial" w:eastAsia="Arial" w:hAnsi="Arial"/>
          <w:sz w:val="18"/>
          <w:szCs w:val="18"/>
          <w:color w:val="auto"/>
        </w:rPr>
        <w:t>Our global customer support headquarters is located at our state-of-the-art technical support center in Tinton Falls, New</w:t>
      </w:r>
      <w:r>
        <w:rPr>
          <w:rFonts w:ascii="Arial" w:cs="Arial" w:eastAsia="Arial" w:hAnsi="Arial"/>
          <w:sz w:val="18"/>
          <w:szCs w:val="18"/>
          <w:i w:val="1"/>
          <w:iCs w:val="1"/>
          <w:color w:val="auto"/>
        </w:rPr>
        <w:t xml:space="preserve"> </w:t>
      </w:r>
      <w:r>
        <w:rPr>
          <w:rFonts w:ascii="Arial" w:cs="Arial" w:eastAsia="Arial" w:hAnsi="Arial"/>
          <w:sz w:val="18"/>
          <w:szCs w:val="18"/>
          <w:color w:val="auto"/>
        </w:rPr>
        <w:t>Jersey. We also have established support operations in Reading, United Kingdom; Sydney, Australia; and Shanghai, China, which are complemented by regional support centers in other worldwide locations. Our cloud-based support system creates a virtual global support center combining these locations to allow for the fastest possible resolution times for customer incidents. We have designed our support infrastructure to be able to scale with the increasing globalization of our customers.</w:t>
      </w:r>
    </w:p>
    <w:p>
      <w:pPr>
        <w:spacing w:after="0" w:line="80" w:lineRule="exact"/>
        <w:rPr>
          <w:rFonts w:ascii="Arial" w:cs="Arial" w:eastAsia="Arial" w:hAnsi="Arial"/>
          <w:sz w:val="18"/>
          <w:szCs w:val="18"/>
          <w:i w:val="1"/>
          <w:iCs w:val="1"/>
          <w:color w:val="auto"/>
        </w:rPr>
      </w:pPr>
    </w:p>
    <w:p>
      <w:pPr>
        <w:ind w:left="980" w:right="160" w:hanging="324"/>
        <w:spacing w:after="0" w:line="279" w:lineRule="auto"/>
        <w:tabs>
          <w:tab w:leader="none" w:pos="98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Enhanced Support Options</w:t>
      </w:r>
      <w:r>
        <w:rPr>
          <w:rFonts w:ascii="Arial" w:cs="Arial" w:eastAsia="Arial" w:hAnsi="Arial"/>
          <w:sz w:val="17"/>
          <w:szCs w:val="17"/>
          <w:color w:val="auto"/>
        </w:rPr>
        <w:t>. We offer several enhanced customer support services such as Enterprise Support. Our Enterprise Support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is for customers with critical support needs and builds on our 24/7 real-time support deliverables and includes various levels of enhanced services to ensure dedicated support and customized reporting. Enterprise Support adds a specialized team of technical support engineers, an assigned support account manager and innovative tools to achieve our customers’ mission.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9" w:name="page10"/>
    <w:bookmarkEnd w:id="9"/>
    <w:p>
      <w:pPr>
        <w:ind w:firstLine="648"/>
        <w:spacing w:after="0" w:line="264" w:lineRule="auto"/>
        <w:rPr>
          <w:sz w:val="20"/>
          <w:szCs w:val="20"/>
          <w:color w:val="auto"/>
        </w:rPr>
      </w:pPr>
      <w:r>
        <w:rPr>
          <w:rFonts w:ascii="Arial" w:cs="Arial" w:eastAsia="Arial" w:hAnsi="Arial"/>
          <w:sz w:val="18"/>
          <w:szCs w:val="18"/>
          <w:color w:val="auto"/>
        </w:rPr>
        <w:t>Our technology consultants ensure that our customers' software environment is designed for optimal results and will continue to deliver over the long term. This same team of experts can install, configure, personalize and validate that environment so customers can achieve a better return on investment, faster and with more confidence.</w:t>
      </w:r>
    </w:p>
    <w:p>
      <w:pPr>
        <w:spacing w:after="0" w:line="73" w:lineRule="exact"/>
        <w:rPr>
          <w:sz w:val="20"/>
          <w:szCs w:val="20"/>
          <w:color w:val="auto"/>
        </w:rPr>
      </w:pPr>
    </w:p>
    <w:p>
      <w:pPr>
        <w:ind w:left="980" w:right="6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Consulting Services. </w:t>
      </w:r>
      <w:r>
        <w:rPr>
          <w:rFonts w:ascii="Arial" w:cs="Arial" w:eastAsia="Arial" w:hAnsi="Arial"/>
          <w:sz w:val="18"/>
          <w:szCs w:val="18"/>
          <w:color w:val="auto"/>
        </w:rPr>
        <w:t>Our technology consulting ensure that a customer’s software environment is designed for optimal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continue to deliver over the long term. We offer services such as architecture design; implementation; personalization; data migration; and health assessment. In addition, our residency services offer customers staff-augmentation options to assist with the rapid expert deployment of the Commvault software suite.</w:t>
      </w:r>
    </w:p>
    <w:p>
      <w:pPr>
        <w:spacing w:after="0" w:line="7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Our business consultants provide transformational insights that align to how specific businesses gather, retain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 data. We offer services such as disaster recovery readiness and policy implementation; private cloud services design; data classification and archive policy implementation; and operational efficiency assessment.</w:t>
      </w:r>
    </w:p>
    <w:p>
      <w:pPr>
        <w:spacing w:after="0" w:line="73" w:lineRule="exact"/>
        <w:rPr>
          <w:rFonts w:ascii="Arial" w:cs="Arial" w:eastAsia="Arial" w:hAnsi="Arial"/>
          <w:sz w:val="18"/>
          <w:szCs w:val="18"/>
          <w:color w:val="auto"/>
        </w:rPr>
      </w:pPr>
    </w:p>
    <w:p>
      <w:pPr>
        <w:ind w:left="980" w:right="140" w:hanging="324"/>
        <w:spacing w:after="0" w:line="273" w:lineRule="auto"/>
        <w:tabs>
          <w:tab w:leader="none" w:pos="9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Education Services. </w:t>
      </w:r>
      <w:r>
        <w:rPr>
          <w:rFonts w:ascii="Arial" w:cs="Arial" w:eastAsia="Arial" w:hAnsi="Arial"/>
          <w:sz w:val="17"/>
          <w:szCs w:val="17"/>
          <w:color w:val="auto"/>
        </w:rPr>
        <w:t>We provide global onsite training, offsite training and self-paced online alternatives for our products. Packaged or</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customized customer training courses are available in instructor-led or computer-based formats. We offer in-depth training and certification for our resellers in pre- and post-sales support methodologies, including web access to customizable documentation and training materials. In addition, we offer a Commvault Certification Program that validates expertise and advanced knowledge in topics, including Commvault Core Fundamentals, Implementation and Maintenance. We also offer more advanced Specialist, Engineer and Master technologies certifications. We believe certified personnel can increase a company's productivity and reduce operating costs.</w:t>
      </w:r>
    </w:p>
    <w:p>
      <w:pPr>
        <w:spacing w:after="0" w:line="70" w:lineRule="exact"/>
        <w:rPr>
          <w:rFonts w:ascii="Arial" w:cs="Arial" w:eastAsia="Arial" w:hAnsi="Arial"/>
          <w:sz w:val="17"/>
          <w:szCs w:val="17"/>
          <w:i w:val="1"/>
          <w:iCs w:val="1"/>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Remote Managed Services. </w:t>
      </w:r>
      <w:r>
        <w:rPr>
          <w:rFonts w:ascii="Arial" w:cs="Arial" w:eastAsia="Arial" w:hAnsi="Arial"/>
          <w:sz w:val="18"/>
          <w:szCs w:val="18"/>
          <w:color w:val="auto"/>
        </w:rPr>
        <w:t>Commvault Remote Managed Services provides remote monitoring and management of the Commvault data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platform deployed on a customer's environment. Our engineers configure, maintain and optimize a customer's Commvault software environment remotely via a secure connection.</w:t>
      </w:r>
    </w:p>
    <w:p>
      <w:pPr>
        <w:spacing w:after="0" w:line="73" w:lineRule="exact"/>
        <w:rPr>
          <w:rFonts w:ascii="Arial" w:cs="Arial" w:eastAsia="Arial" w:hAnsi="Arial"/>
          <w:sz w:val="18"/>
          <w:szCs w:val="18"/>
          <w:color w:val="auto"/>
        </w:rPr>
      </w:pPr>
    </w:p>
    <w:p>
      <w:pPr>
        <w:ind w:left="980" w:right="34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Commvault Software-as-a-Service. </w:t>
      </w:r>
      <w:r>
        <w:rPr>
          <w:rFonts w:ascii="Arial" w:cs="Arial" w:eastAsia="Arial" w:hAnsi="Arial"/>
          <w:sz w:val="17"/>
          <w:szCs w:val="17"/>
          <w:color w:val="auto"/>
        </w:rPr>
        <w:t>In fiscal 2018, we fully launched Commvault Endpoint Data Protection as a Service to simplify and</w:t>
      </w:r>
      <w:r>
        <w:rPr>
          <w:rFonts w:ascii="Arial" w:cs="Arial" w:eastAsia="Arial" w:hAnsi="Arial"/>
          <w:sz w:val="17"/>
          <w:szCs w:val="17"/>
          <w:i w:val="1"/>
          <w:iCs w:val="1"/>
          <w:color w:val="auto"/>
        </w:rPr>
        <w:t xml:space="preserve"> </w:t>
      </w:r>
      <w:r>
        <w:rPr>
          <w:rFonts w:ascii="Arial" w:cs="Arial" w:eastAsia="Arial" w:hAnsi="Arial"/>
          <w:sz w:val="17"/>
          <w:szCs w:val="17"/>
          <w:color w:val="auto"/>
        </w:rPr>
        <w:t>streamline the backup and recovery of corporate data stored on laptops, desktops and other devices in one flexible, easy-to-use software as a service (SaaS) offering. Fully managed by Commvault in the cloud with 24/7 customer support, Commvault Endpoint Data Protection as a Service eliminates the need for in-house infrastructure installation and reduces application management resources. We anticipate expanding Commvault Software-as-a-Service to additional use cases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 important element of Commvault’s strategy is to establish relationships with third parties that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and information management applications. This approach enhances our ability to expand our product offerings and customer base and to enter new markets. We have established the following types of strategic relationships:</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Technology Alliance Partners</w:t>
      </w:r>
      <w:r>
        <w:rPr>
          <w:rFonts w:ascii="Arial" w:cs="Arial" w:eastAsia="Arial" w:hAnsi="Arial"/>
          <w:sz w:val="18"/>
          <w:szCs w:val="18"/>
          <w:color w:val="auto"/>
        </w:rPr>
        <w:t>. We maintain strategic product and technology relationships with major industry leaders to ensure that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are integrated with, supported by and add value to our partners’ hardware and software products. Collaboration with these market leaders allows us to provide applications that enable our customers to improve data and information management efficiency. Our significant strategic relationships include Atos, Cisco, Citrix, Fujitsu, Hewlett Packard Enterprise (HPE), Infinidat, Microsoft, Oracle, SAP, and VMware. In addition to these relationships, we maintain relationships with a broad range of industry operating system, application and infrastructure vendors to verify and demonstrate the interoperability of our software applications with their equipment and technologies.</w:t>
      </w:r>
    </w:p>
    <w:p>
      <w:pPr>
        <w:spacing w:after="0" w:line="13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 xml:space="preserve">Distributors, Value-Added Reseller, Systems Integrator, Corporate Reseller and Original Equipment Manufacturer Relationships. </w:t>
      </w:r>
      <w:r>
        <w:rPr>
          <w:rFonts w:ascii="Arial" w:cs="Arial" w:eastAsia="Arial" w:hAnsi="Arial"/>
          <w:sz w:val="16"/>
          <w:szCs w:val="16"/>
          <w:color w:val="auto"/>
        </w:rPr>
        <w:t>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bundle or sell our software applications together with their own products, and our value-added resellers resell our software applications independently. As of March 31, 2018, we had more than 500 reseller partners and systems integrators that have distributed our software worldwide.</w:t>
      </w:r>
    </w:p>
    <w:p>
      <w:pPr>
        <w:spacing w:after="0" w:line="93"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order to broaden our market coverage, we work closely with our Global Original Equipment Manufacturer (OEM) Partners, investing significant time and resources to deliver unique, joint solutions incorporating Commvault software. These partners team with our technical, engineering, marketing and sales force on helping to enhance integration, tuning, operational management, implementation and vision for solutions that are designed to meet current and future data and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ind w:right="180"/>
        <w:spacing w:after="0" w:line="257" w:lineRule="auto"/>
        <w:rPr>
          <w:sz w:val="20"/>
          <w:szCs w:val="20"/>
          <w:color w:val="auto"/>
        </w:rPr>
      </w:pPr>
      <w:r>
        <w:rPr>
          <w:rFonts w:ascii="Arial" w:cs="Arial" w:eastAsia="Arial" w:hAnsi="Arial"/>
          <w:sz w:val="18"/>
          <w:szCs w:val="18"/>
          <w:color w:val="auto"/>
        </w:rPr>
        <w:t>management needs. Our alliance managers work directly with Global OEM Partners to design, deliver and support field activities that make it easier for customers to locate, learn about, and purchase these differentiated solutions. Our most significant OEM partner is Hitachi Vantara (Hitachi). Hitachi has no obligation to recommend or offer our software applications exclusively or at all, and they have no minimum sales requirements and can terminate our relationship at any time. Sales through our original equipment manufacturer agreements, accounted for 12% of our total revenues in fiscal 2018 and 15% of our total revenues for fiscal 2017.</w:t>
      </w:r>
    </w:p>
    <w:p>
      <w:pPr>
        <w:spacing w:after="0" w:line="13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we have a non-exclusive distribution agreements covering our North American commercial markets and our U.S. Federal Government markets with Arrow Enterprise Computing Solutions, Inc. (Arrow), a subsidiary of Arrow Electronics, Inc. Pursuant to these distribution agreements, Arrow's primary role is to enable a more efficient and effective distribution channel for our products and services by managing our reseller partners and leveraging their own industry experience. Sales generated through our distribution agreement with Arrow accounted for approximately 36% of our total revenue in fiscal 2018 and fiscal 2017.</w:t>
      </w:r>
    </w:p>
    <w:p>
      <w:pPr>
        <w:spacing w:after="0" w:line="134"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i w:val="1"/>
          <w:iCs w:val="1"/>
          <w:color w:val="auto"/>
        </w:rPr>
        <w:t xml:space="preserve">Service Provider Partners. </w:t>
      </w:r>
      <w:r>
        <w:rPr>
          <w:rFonts w:ascii="Arial" w:cs="Arial" w:eastAsia="Arial" w:hAnsi="Arial"/>
          <w:sz w:val="16"/>
          <w:szCs w:val="16"/>
          <w:color w:val="auto"/>
        </w:rPr>
        <w:t>Our software is the data protection platform for over 200 service providers, which provide cloud-based solutions to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worldwide. As companies of all sizes and markets rapidly adopt cloud infrastructures for improved costs, speed and agility, we remain committed to these strategic relationships to address this growing trend. Customers looking to move IT operations into the cloud depend on service providers to help them migrate, manage and protect their cloud infrastructures. We have partnered with a broad ecosystem of managed service provider and cloud partners so they can effectively deliver data management-as-a-service solutions based on Commvault software across geographies, vertical markets and offerings. Leading providers who have integrated Commvault software into their solution portfolios include Microsoft Windows Azure, AWS, Dimension Data, NetApp,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Rackspace.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sell Commvault software applications and related services directly to large global enterprises, small and medium sized businesses and government agencies, and indirectly through value-added resellers, systems integrators, corporate resellers and original equipment manufacturer partners. As of March 31, 2018, we had licensed our software applications to over 26,000 registered customers in a broad range of industries, including banking, insurance and financial services, government, healthcare, pharmaceuticals and medical services, technology, legal, manufacturing, utilities and energy.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We believe our Single Platform serves as a major differentiator versus our competitors’ data and information management software products. Our Single Platform’s unique indexing, cataloging, data movement, media management and policy technologies are the source of the performance, scale, management, cost of ownership benefits and seamless interoperability inherent in all of our data and information management software applications. Additional options enable content search, data encryption and auditing features to support data discovery and compliance requirements. Each of these solutions share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and information management applications provides easier data and information management and lower total cost of ownership. We participate in industry standards groups and activities that we believe will have a direct bearing on the data and information management software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sell our data and information management software applications and related services to large global enterprises, small and medium sized businesses, and government agencies. We sell through our worldwide direct sales force and our global network of distributors, value-added resellers, systems integrators, corporate resellers and original equipment manufacturer partners. As of March 31, 2018, we had 944 employees in sales and marketing. These employees are primarily located in North America, Europe, Australia and Asia.</w:t>
      </w:r>
    </w:p>
    <w:p>
      <w:pPr>
        <w:spacing w:after="0" w:line="13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a variety of marketing programs designed to create brand awareness and market recognition for our product offerings and for sales lead generation. Our marketing efforts include our annual customer conference (Commvault GO), active participation at trade shows, technical conferences and technology seminars; advertising; content development and distribution; public relations; social media; industry analyst relations; publication of technical and educational articles in industry journals; sales training; and preparation of competitive analyses. In addition, our strategic partners augment our marketing and sales campaigns through seminars, trade shows and joint public relations and advertising campaigns. Our customers and strategic partners provide references and recommendations that we often feature in external marketing activities.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3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research and development organization is responsible for the design, development, testing and certification of our data and information management software applications. As of March 31, 2018, we had 638 employees in our research and development group, of which 230 are located in our Hyderabad and Bangalore development centers in India.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 We spent $94.2 million on research and development activities in fiscal 2018, $83.5 million in fiscal 2017 and $69.3 million in fiscal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data storage management market is intensely competitive, highly fragmented and characterized by rapidly changing technology and evolving standards. We currently compete with other providers of data and information management software as well as large and emerging storage hardware manufacturers that have developed or acquired their own data and information management software products. These manufacturers have the resources and capabilities to develop their own data and information management software applications, and many have been making acquisitions and broadening their efforts to include broader data and information management and storage products. These manufacturers and/or our other current and potential competitors may establish cooperative relationships among themselves or with third parties, creating new competitors or alliances. Large operating system and application vendors have introduced products or functionality that includes some of the same functions offered by our software applications. In the future, further development by these vendors could cause some features of our software applications to become redundant.</w:t>
      </w:r>
    </w:p>
    <w:p>
      <w:pPr>
        <w:spacing w:after="0" w:line="1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primary competitors in the data and information management software applications market, each of which has one or more products that compete with a part of or our entire software suite, are Dell EMC, IBM, Veritas, Veeam, Rubrik and Cohesity.</w:t>
      </w:r>
    </w:p>
    <w:p>
      <w:pPr>
        <w:spacing w:after="0" w:line="11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principal competitive factors in our industry include product functionality, product performance,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Although some of our competitors have greater resources, a larger installed customer base and greater name recognition, we believe we compete favorably on the basis of these competitive factors.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unique product architecture is one of the primary reasons why we compete so successfully. Whereas other competitive solutions in the market are based on multiple, disparate products, our modular offering is based on a single, unified, underlying code base resulting in favorable efficiencies in functionality, integration, scalability and support. Our focused approach to data and information management and our ability to respond to customer feedback also drives the functionality and features of our products, which we believe lead the industry in terms of performance and usability, as evidenced by numerous industry awards we have received.</w:t>
      </w:r>
    </w:p>
    <w:p>
      <w:pPr>
        <w:spacing w:after="0" w:line="13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From a customer perspective, highly integrated products such as ours, which are based on a single, unified, underlying code base, are easier and less expensive to deploy, operate and manage. This flexibility, in turn, makes it significantly easier to scale our products over a customer’s entire IT environment. Supporting and enhancing our products is made more efficient due to this single, unified, underlying code base, unlike our competitors who are required to support and enhance multiple, disparate products, most of which are based on differing underlying software code. Supporting multiple, disparate products places more onerous and costly demands on our competitors’ internal human and operational capital. We believe that Commvault software, because of its unique architecture, creates a compelling functional, integration, scalability and support advantage. We continue to expand our worldwide sales infrastructure and increase our distribution throughout the Americas, Europe, Middle East, Africa, Australia and Asia to meet the needs of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07" w:right="259" w:bottom="1440" w:gutter="0" w:footer="0" w:header="0"/>
        </w:sectPr>
      </w:pPr>
    </w:p>
    <w:bookmarkStart w:id="12" w:name="page13"/>
    <w:bookmarkEnd w:id="12"/>
    <w:p>
      <w:pPr>
        <w:ind w:right="60" w:firstLine="648"/>
        <w:spacing w:after="0" w:line="257"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of our competitors have greater name recognition than us, which could provide them a competitive advantage with some customers. Some of our competitors also have longer operating histories, have substantially greater technical, sales, marketing and other global resources than we do, as well as a larger installed customer base and broader product offerings, including hardware. As a result, these competitors can devote greater resources to the development, promotion, sale and support of their products than we can.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certain restrictions on use. These license agreements are primarily in the form of shrink-wrap or click-wrap licenses, which are not negotiated with or signed by our end-user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11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31, 2018, we had 586 issued patents and 322 pending patent applications in the United States, as well as 71 issued patents in foreign countries and 26 pending foreign patent applications. No single patent, copyright, trademark, license, or other intellectual property right is solely responsible for protecting our products or services. Moreover, we may lack adequate patent or other intellectual property protection for certain innovations that later turn out to be important to our business.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12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to patent laws or regulations in the U.S. and other foreign jurisdictions, or new interpretations of these laws and regulations, could also diminish the value of our patents and patent applications or narrow the scope of our patent protection. For example, changes in patent laws and regulations in the U.S. and new patent laws in Europe may affect the ability of companies, including Commvault, to protect innovations, bring patent infringement claims, and defend against claims of patent infringement. The costs of compliance with these laws and regulations are high and are likely to increase in the future.</w:t>
      </w:r>
    </w:p>
    <w:p>
      <w:pPr>
        <w:spacing w:after="0" w:line="1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but effective patent, copyright, trademark and trade secret protection may not be available or may be limited in foreign countries. If we fail to protect our intellectual property and other proprietary rights, our business could be negatively impacted.</w:t>
      </w:r>
    </w:p>
    <w:p>
      <w:pPr>
        <w:spacing w:after="0" w:line="13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currently resell certain software from Microsoft, including Microsoft SQL Server, used in conjunction with our software applications pursuant to an independent software vendor royalty license and distribution agreement that we have and plan to continue renewing annually. We have also entered into and may enter into agreements with additional third parties, including RedHat, to license their technology for use with our software applications.</w:t>
      </w:r>
    </w:p>
    <w:p>
      <w:pPr>
        <w:spacing w:after="0" w:line="9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such as royalty-free licensing of proprietary portions of our products, disclosing proprietary parts of our source code, or commencing costly product redesigns that could result in a loss of intellectual property rights, product performance degradation, or a delay in shipping products to customers, and which may negatively affect our business, financial condition, operating results, cash flow and ability to commercialize our products or technologies.</w:t>
      </w:r>
    </w:p>
    <w:p>
      <w:pPr>
        <w:spacing w:after="0" w:line="10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ind w:right="80" w:firstLine="648"/>
        <w:spacing w:after="0" w:line="255" w:lineRule="auto"/>
        <w:rPr>
          <w:sz w:val="20"/>
          <w:szCs w:val="20"/>
          <w:color w:val="auto"/>
        </w:rPr>
      </w:pPr>
      <w:r>
        <w:rPr>
          <w:rFonts w:ascii="Arial" w:cs="Arial" w:eastAsia="Arial" w:hAnsi="Arial"/>
          <w:sz w:val="18"/>
          <w:szCs w:val="18"/>
          <w:color w:val="auto"/>
        </w:rPr>
        <w:t>In the United States, we own federal registrations for or have common law trademark rights in the following marks: Commvault, the “C hexagon” logo &amp; Commvault, the “CV” Logo &amp; Commvault, the “C hexagon” logo, the “CV” logo, Commvault Systems, APSS, Commvault GO, Solving Forward, SIM, Singular Information Management, Simpana, Simpana (logo), Commvault Galaxy, Commvault Edge, Unified Data Management, Edge Drive, QiNetix, Quick Recovery, QR, CommNet, GridStor, Vault Tracker, InnerVault, Quick Snap, QSnap, IntelliSnap, Simpana OnePass, Recovery Director, CommServe, CommCell, ROMS, Distinctly Data and CommValue. We also have several other trademarks and have obtained or are actively pursuing trademark registrations in several foreign jurisdictions.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As of March 31, 2018, we had 2,839 employees worldwide, including 944 in sales and marketing, 638 in research and development, 974 in customer services and support and 283 in general and 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1, 2018:</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20" w:type="dxa"/>
            <w:vAlign w:val="bottom"/>
          </w:tcPr>
          <w:p>
            <w:pPr>
              <w:spacing w:after="0"/>
              <w:rPr>
                <w:sz w:val="14"/>
                <w:szCs w:val="14"/>
                <w:color w:val="auto"/>
              </w:rPr>
            </w:pPr>
          </w:p>
        </w:tc>
        <w:tc>
          <w:tcPr>
            <w:tcW w:w="2340" w:type="dxa"/>
            <w:vAlign w:val="bottom"/>
            <w:gridSpan w:val="3"/>
          </w:tcPr>
          <w:p>
            <w:pPr>
              <w:jc w:val="center"/>
              <w:ind w:left="1054"/>
              <w:spacing w:after="0"/>
              <w:rPr>
                <w:sz w:val="20"/>
                <w:szCs w:val="20"/>
                <w:color w:val="auto"/>
              </w:rPr>
            </w:pPr>
            <w:r>
              <w:rPr>
                <w:rFonts w:ascii="Arial" w:cs="Arial" w:eastAsia="Arial" w:hAnsi="Arial"/>
                <w:sz w:val="14"/>
                <w:szCs w:val="14"/>
                <w:b w:val="1"/>
                <w:bCs w:val="1"/>
                <w:color w:val="auto"/>
                <w:w w:val="90"/>
              </w:rPr>
              <w:t>Age</w:t>
            </w:r>
          </w:p>
        </w:tc>
        <w:tc>
          <w:tcPr>
            <w:tcW w:w="4120" w:type="dxa"/>
            <w:vAlign w:val="bottom"/>
            <w:gridSpan w:val="3"/>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64"/>
        </w:trPr>
        <w:tc>
          <w:tcPr>
            <w:tcW w:w="2980" w:type="dxa"/>
            <w:vAlign w:val="bottom"/>
            <w:gridSpan w:val="2"/>
          </w:tcPr>
          <w:p>
            <w:pPr>
              <w:spacing w:after="0"/>
              <w:rPr>
                <w:sz w:val="20"/>
                <w:szCs w:val="20"/>
                <w:color w:val="auto"/>
              </w:rPr>
            </w:pPr>
            <w:r>
              <w:rPr>
                <w:rFonts w:ascii="Arial" w:cs="Arial" w:eastAsia="Arial" w:hAnsi="Arial"/>
                <w:sz w:val="18"/>
                <w:szCs w:val="18"/>
                <w:color w:val="auto"/>
              </w:rPr>
              <w:t>N. Robert Hammer</w:t>
            </w:r>
          </w:p>
        </w:tc>
        <w:tc>
          <w:tcPr>
            <w:tcW w:w="1860" w:type="dxa"/>
            <w:vAlign w:val="bottom"/>
            <w:gridSpan w:val="2"/>
          </w:tcPr>
          <w:p>
            <w:pPr>
              <w:jc w:val="center"/>
              <w:ind w:left="1514"/>
              <w:spacing w:after="0"/>
              <w:rPr>
                <w:sz w:val="20"/>
                <w:szCs w:val="20"/>
                <w:color w:val="auto"/>
              </w:rPr>
            </w:pPr>
            <w:r>
              <w:rPr>
                <w:rFonts w:ascii="Arial" w:cs="Arial" w:eastAsia="Arial" w:hAnsi="Arial"/>
                <w:sz w:val="18"/>
                <w:szCs w:val="18"/>
                <w:color w:val="auto"/>
                <w:w w:val="89"/>
              </w:rPr>
              <w:t>76</w:t>
            </w:r>
          </w:p>
        </w:tc>
        <w:tc>
          <w:tcPr>
            <w:tcW w:w="480" w:type="dxa"/>
            <w:vAlign w:val="bottom"/>
          </w:tcPr>
          <w:p>
            <w:pPr>
              <w:spacing w:after="0"/>
              <w:rPr>
                <w:sz w:val="22"/>
                <w:szCs w:val="22"/>
                <w:color w:val="auto"/>
              </w:rPr>
            </w:pPr>
          </w:p>
        </w:tc>
        <w:tc>
          <w:tcPr>
            <w:tcW w:w="4120" w:type="dxa"/>
            <w:vAlign w:val="bottom"/>
            <w:gridSpan w:val="3"/>
          </w:tcPr>
          <w:p>
            <w:pPr>
              <w:ind w:left="500"/>
              <w:spacing w:after="0"/>
              <w:rPr>
                <w:sz w:val="20"/>
                <w:szCs w:val="20"/>
                <w:color w:val="auto"/>
              </w:rPr>
            </w:pPr>
            <w:r>
              <w:rPr>
                <w:rFonts w:ascii="Arial" w:cs="Arial" w:eastAsia="Arial" w:hAnsi="Arial"/>
                <w:sz w:val="18"/>
                <w:szCs w:val="18"/>
                <w:color w:val="auto"/>
                <w:w w:val="92"/>
              </w:rPr>
              <w:t>Chairman, President and Chief Executive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Alan G. Bunte</w:t>
            </w:r>
          </w:p>
        </w:tc>
        <w:tc>
          <w:tcPr>
            <w:tcW w:w="1860" w:type="dxa"/>
            <w:vAlign w:val="bottom"/>
            <w:gridSpan w:val="2"/>
          </w:tcPr>
          <w:p>
            <w:pPr>
              <w:jc w:val="center"/>
              <w:ind w:left="1514"/>
              <w:spacing w:after="0"/>
              <w:rPr>
                <w:sz w:val="20"/>
                <w:szCs w:val="20"/>
                <w:color w:val="auto"/>
              </w:rPr>
            </w:pPr>
            <w:r>
              <w:rPr>
                <w:rFonts w:ascii="Arial" w:cs="Arial" w:eastAsia="Arial" w:hAnsi="Arial"/>
                <w:sz w:val="18"/>
                <w:szCs w:val="18"/>
                <w:color w:val="auto"/>
                <w:w w:val="89"/>
              </w:rPr>
              <w:t>64</w:t>
            </w:r>
          </w:p>
        </w:tc>
        <w:tc>
          <w:tcPr>
            <w:tcW w:w="480" w:type="dxa"/>
            <w:vAlign w:val="bottom"/>
          </w:tcPr>
          <w:p>
            <w:pPr>
              <w:spacing w:after="0"/>
              <w:rPr>
                <w:sz w:val="23"/>
                <w:szCs w:val="23"/>
                <w:color w:val="auto"/>
              </w:rPr>
            </w:pPr>
          </w:p>
        </w:tc>
        <w:tc>
          <w:tcPr>
            <w:tcW w:w="4120" w:type="dxa"/>
            <w:vAlign w:val="bottom"/>
            <w:gridSpan w:val="3"/>
          </w:tcPr>
          <w:p>
            <w:pPr>
              <w:ind w:left="50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Brian Carolan</w:t>
            </w:r>
          </w:p>
        </w:tc>
        <w:tc>
          <w:tcPr>
            <w:tcW w:w="1860" w:type="dxa"/>
            <w:vAlign w:val="bottom"/>
            <w:gridSpan w:val="2"/>
          </w:tcPr>
          <w:p>
            <w:pPr>
              <w:jc w:val="center"/>
              <w:ind w:left="1514"/>
              <w:spacing w:after="0"/>
              <w:rPr>
                <w:sz w:val="20"/>
                <w:szCs w:val="20"/>
                <w:color w:val="auto"/>
              </w:rPr>
            </w:pPr>
            <w:r>
              <w:rPr>
                <w:rFonts w:ascii="Arial" w:cs="Arial" w:eastAsia="Arial" w:hAnsi="Arial"/>
                <w:sz w:val="18"/>
                <w:szCs w:val="18"/>
                <w:color w:val="auto"/>
                <w:w w:val="89"/>
              </w:rPr>
              <w:t>47</w:t>
            </w:r>
          </w:p>
        </w:tc>
        <w:tc>
          <w:tcPr>
            <w:tcW w:w="480" w:type="dxa"/>
            <w:vAlign w:val="bottom"/>
          </w:tcPr>
          <w:p>
            <w:pPr>
              <w:spacing w:after="0"/>
              <w:rPr>
                <w:sz w:val="23"/>
                <w:szCs w:val="23"/>
                <w:color w:val="auto"/>
              </w:rPr>
            </w:pPr>
          </w:p>
        </w:tc>
        <w:tc>
          <w:tcPr>
            <w:tcW w:w="4120" w:type="dxa"/>
            <w:vAlign w:val="bottom"/>
            <w:gridSpan w:val="3"/>
          </w:tcPr>
          <w:p>
            <w:pPr>
              <w:ind w:left="500"/>
              <w:spacing w:after="0"/>
              <w:rPr>
                <w:sz w:val="20"/>
                <w:szCs w:val="20"/>
                <w:color w:val="auto"/>
              </w:rPr>
            </w:pPr>
            <w:r>
              <w:rPr>
                <w:rFonts w:ascii="Arial" w:cs="Arial" w:eastAsia="Arial" w:hAnsi="Arial"/>
                <w:sz w:val="18"/>
                <w:szCs w:val="18"/>
                <w:color w:val="auto"/>
              </w:rPr>
              <w:t>Vice President, Chief Financial Officer</w:t>
            </w:r>
          </w:p>
        </w:tc>
      </w:tr>
      <w:tr>
        <w:trPr>
          <w:trHeight w:val="270"/>
        </w:trPr>
        <w:tc>
          <w:tcPr>
            <w:tcW w:w="2980" w:type="dxa"/>
            <w:vAlign w:val="bottom"/>
            <w:gridSpan w:val="2"/>
          </w:tcPr>
          <w:p>
            <w:pPr>
              <w:spacing w:after="0"/>
              <w:rPr>
                <w:sz w:val="20"/>
                <w:szCs w:val="20"/>
                <w:color w:val="auto"/>
              </w:rPr>
            </w:pPr>
            <w:r>
              <w:rPr>
                <w:rFonts w:ascii="Arial" w:cs="Arial" w:eastAsia="Arial" w:hAnsi="Arial"/>
                <w:sz w:val="18"/>
                <w:szCs w:val="18"/>
                <w:color w:val="auto"/>
              </w:rPr>
              <w:t>Ron Miiller</w:t>
            </w:r>
          </w:p>
        </w:tc>
        <w:tc>
          <w:tcPr>
            <w:tcW w:w="1860" w:type="dxa"/>
            <w:vAlign w:val="bottom"/>
            <w:gridSpan w:val="2"/>
          </w:tcPr>
          <w:p>
            <w:pPr>
              <w:jc w:val="center"/>
              <w:ind w:left="1514"/>
              <w:spacing w:after="0"/>
              <w:rPr>
                <w:sz w:val="20"/>
                <w:szCs w:val="20"/>
                <w:color w:val="auto"/>
              </w:rPr>
            </w:pPr>
            <w:r>
              <w:rPr>
                <w:rFonts w:ascii="Arial" w:cs="Arial" w:eastAsia="Arial" w:hAnsi="Arial"/>
                <w:sz w:val="18"/>
                <w:szCs w:val="18"/>
                <w:color w:val="auto"/>
                <w:w w:val="89"/>
              </w:rPr>
              <w:t>51</w:t>
            </w:r>
          </w:p>
        </w:tc>
        <w:tc>
          <w:tcPr>
            <w:tcW w:w="480" w:type="dxa"/>
            <w:vAlign w:val="bottom"/>
          </w:tcPr>
          <w:p>
            <w:pPr>
              <w:spacing w:after="0"/>
              <w:rPr>
                <w:sz w:val="23"/>
                <w:szCs w:val="23"/>
                <w:color w:val="auto"/>
              </w:rPr>
            </w:pPr>
          </w:p>
        </w:tc>
        <w:tc>
          <w:tcPr>
            <w:tcW w:w="4120" w:type="dxa"/>
            <w:vAlign w:val="bottom"/>
            <w:gridSpan w:val="3"/>
          </w:tcPr>
          <w:p>
            <w:pPr>
              <w:ind w:left="500"/>
              <w:spacing w:after="0"/>
              <w:rPr>
                <w:sz w:val="20"/>
                <w:szCs w:val="20"/>
                <w:color w:val="auto"/>
              </w:rPr>
            </w:pPr>
            <w:r>
              <w:rPr>
                <w:rFonts w:ascii="Arial" w:cs="Arial" w:eastAsia="Arial" w:hAnsi="Arial"/>
                <w:sz w:val="18"/>
                <w:szCs w:val="18"/>
                <w:color w:val="auto"/>
              </w:rPr>
              <w:t>Senior Vice President of Worldwide Sales</w:t>
            </w:r>
          </w:p>
        </w:tc>
      </w:tr>
    </w:tbl>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N. Robert Hammer </w:t>
      </w:r>
      <w:r>
        <w:rPr>
          <w:rFonts w:ascii="Arial" w:cs="Arial" w:eastAsia="Arial" w:hAnsi="Arial"/>
          <w:sz w:val="17"/>
          <w:szCs w:val="17"/>
          <w:color w:val="auto"/>
        </w:rPr>
        <w:t>has served as our Chairman, President and Chief Executive Officer since March 1998. Mr. Hammer was also a venture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from 1997 until December 2003 of the Sprout Group, the venture capital arm of Credit Suisse’s asset management business. Prior to joining the Sprout Group, Mr. Hammer served as the Chairman, President and Chief Executive Officer of Norand Corporation, a portable computer systems manufacturer, from 1988 until its acquisition by Western Atlas, Inc. in 1997. Mr. Hammer led Norand following its leveraged buy-out from Pioneer Hi-Bred International, Inc. and through its initial public offering in 1993. Prior to joining Norand, Mr. Hammer also served as Chairman, President and Chief Executive Officer of publicly-held Telequest Corporation from 1987 until 1988 and of privately-held Material Progress Corporation from 1982 until 1987. Prior to joining Material Progress Corporation, Mr. Hammer spent 15 years in various sales, marketing and management positions with Celanese Corporation, rising to the level of Vice President and General Manager of the structural composites materials business. Mr. Hammer obtained his bachelor’s degree and master’s degree in business administration from Columbia University.</w:t>
      </w:r>
    </w:p>
    <w:p>
      <w:pPr>
        <w:spacing w:after="0" w:line="12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Alan G. Bunte </w:t>
      </w:r>
      <w:r>
        <w:rPr>
          <w:rFonts w:ascii="Arial" w:cs="Arial" w:eastAsia="Arial" w:hAnsi="Arial"/>
          <w:sz w:val="16"/>
          <w:szCs w:val="16"/>
          <w:color w:val="auto"/>
        </w:rPr>
        <w:t>has served as our Executive Vice President and Chief Operating Officer since October 2003 and served as our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December 1999 until October 2003. Since January 2008, Mr. Bunte has also served as a Director of Commvault. Prior to joining our company,</w:t>
      </w:r>
    </w:p>
    <w:p>
      <w:pPr>
        <w:ind w:right="60"/>
        <w:spacing w:after="0" w:line="290" w:lineRule="auto"/>
        <w:rPr>
          <w:sz w:val="20"/>
          <w:szCs w:val="20"/>
          <w:color w:val="auto"/>
        </w:rPr>
      </w:pPr>
      <w:r>
        <w:rPr>
          <w:rFonts w:ascii="Arial" w:cs="Arial" w:eastAsia="Arial" w:hAnsi="Arial"/>
          <w:sz w:val="17"/>
          <w:szCs w:val="17"/>
          <w:color w:val="auto"/>
        </w:rPr>
        <w:t>Mr. Bunte was with Norand Corporation from 1986 to January 1998, serving as its Senior Vice President of planning and business development from 1991 to January 1998. Mr. Bunte obtained his bachelor’s and master’s degrees in business administration from the University of Iowa.</w:t>
      </w:r>
    </w:p>
    <w:p>
      <w:pPr>
        <w:spacing w:after="0" w:line="10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Brian Carolan </w:t>
      </w:r>
      <w:r>
        <w:rPr>
          <w:rFonts w:ascii="Arial" w:cs="Arial" w:eastAsia="Arial" w:hAnsi="Arial"/>
          <w:sz w:val="17"/>
          <w:szCs w:val="17"/>
          <w:color w:val="auto"/>
        </w:rPr>
        <w:t>has served as our Vice President, Finance and Chief Financial Officer since October 2012. Prior to his current role, Mr. Carolan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Finance and Chief Accounting Officer from July 2006 until September 2012. He also held the position of Controller from February 2001 until June 2006. Prior to joining our company, Mr. Carolan was with Ernst &amp; Young LLP in its Technology, Communications and Entertainment audit practice from 1993 until January 2001. Mr. Carolan obtained his bachelor’s degree in accounting from Villanova University, his master’s degree in business administration from New York University and is a certified public accountant in the State of New Jersey.</w:t>
      </w:r>
    </w:p>
    <w:p>
      <w:pPr>
        <w:spacing w:after="0" w:line="11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Ron Miiller </w:t>
      </w:r>
      <w:r>
        <w:rPr>
          <w:rFonts w:ascii="Arial" w:cs="Arial" w:eastAsia="Arial" w:hAnsi="Arial"/>
          <w:sz w:val="17"/>
          <w:szCs w:val="17"/>
          <w:color w:val="auto"/>
        </w:rPr>
        <w:t>has served as our Senior Vice President of Worldwide Sales since April 2011. Prior to his current role, Mr. Miiller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Sales, Americas from January 2005 to March 2011 and as our Central Region Sales Manager from March 2000 to December 2004. Prior to joining our company, Mr. Miiller served as Director, Central Region Sales for Softworks, Inc., an EMC company, from March 1997 through March 2000, and prior to that Mr. Miiller was with Moore Corporation, a diversified print and electronic communications company from 1989 through March 1997 in various leadership roles. Mr. Miiller received his bachelor of science degree in marketing from Ball State University.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30" w:right="259" w:bottom="1440" w:gutter="0" w:footer="0" w:header="0"/>
        </w:sectPr>
      </w:pPr>
    </w:p>
    <w:bookmarkStart w:id="14" w:name="page15"/>
    <w:bookmarkEnd w:id="14"/>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occurs,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3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data and information management software market is intensely competitive, highly fragmented and characterized by rapidly changing technology and evolving standards, changing customer requirements and frequent new product introductions. Competitors vary in size and in the scope and breadth of the products and services offered. Our primary competitors include Dell EMC, IBM, Veritas, Veeam, Rubrik and Cohesity.</w:t>
      </w:r>
    </w:p>
    <w:p>
      <w:pPr>
        <w:spacing w:after="0" w:line="1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If we are unable to address these factors, our competitive position could weaken and we could experience a decline in revenues that could adversely affect our business.</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Some of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13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It is also costly and time-consuming to change data and information management systems. Most of our new customers have installed data and information management software, which gives an incumbent competitor an advantage in retaining a customer because it already understands the network infrastructure, user demands and information technology needs of the customer, and also because some customers are reluctant to invest the time and money necessary to change vendors.</w:t>
      </w:r>
    </w:p>
    <w:p>
      <w:pPr>
        <w:spacing w:after="0" w:line="13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as well as some hardware manufacturers, have introduced products or functionality that includes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original equipment manufacturers, including those we partner with, and from systems and network management companies, especially those that have historically focused on the mainframe computer market and have been making acquisitions and broadening their efforts to include data and information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88" w:right="259" w:bottom="1440" w:gutter="0" w:footer="0" w:header="0"/>
        </w:sectPr>
      </w:pPr>
    </w:p>
    <w:bookmarkStart w:id="15" w:name="page16"/>
    <w:bookmarkEnd w:id="15"/>
    <w:p>
      <w:pPr>
        <w:ind w:right="100"/>
        <w:spacing w:after="0" w:line="264" w:lineRule="auto"/>
        <w:rPr>
          <w:sz w:val="20"/>
          <w:szCs w:val="20"/>
          <w:color w:val="auto"/>
        </w:rPr>
      </w:pPr>
      <w:r>
        <w:rPr>
          <w:rFonts w:ascii="Arial" w:cs="Arial" w:eastAsia="Arial" w:hAnsi="Arial"/>
          <w:sz w:val="18"/>
          <w:szCs w:val="18"/>
          <w:b w:val="1"/>
          <w:bCs w:val="1"/>
          <w:i w:val="1"/>
          <w:iCs w:val="1"/>
          <w:color w:val="auto"/>
        </w:rPr>
        <w:t>We rely on indirect sales channels, such as value-added resellers, systems integrators, corporate resellers, distributors, and original equipment manufacturers, for the distribution of our software applications, and the failure of these channels to effectively sell our software applications could have a material adverse effect on our revenues and results of operations.</w:t>
      </w:r>
    </w:p>
    <w:p>
      <w:pPr>
        <w:spacing w:after="0" w:line="12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typically do not contain minimum sales requirements and in many cases may be terminated by either party without cause. Many of our resellers carry software applications that compete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own, it could have a material adverse effect on our future revenues. Events or occurrences of this nature could seriously harm our sales and results of operations. If we fail to manage our resellers successfully, there may be conflicts between resellers or they could fail to perform as we anticipate, including required compliance with the terms and obligations of our reseller agreement, either of which could reduce our sales or impact our reputation in the market. In addition, we expect that a portion of our sales growth will depend upon our ability to identify and attract new reseller partners. Our competitors also use reseller arrangements and may be more successful in attracting reseller partners and could enter into exclusive relationships with resellers that make it difficult to expand our reseller network. Any failure on our part to maintain and/or expand our network of resellers could impair our ability to grow revenues in the future.</w:t>
      </w:r>
    </w:p>
    <w:p>
      <w:pPr>
        <w:spacing w:after="0" w:line="11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Some of our resellers possess significant resources and advanced technical abilities. These resellers, particularly our corporate resellers, may, either independently or jointly with our competitors, develop and market products and related services that compete with our offerings. If this were to occur, these resellers might discontinue marketing and distributing our software applications and services. In addition, these resellers would have an advantage over us when marketing their competing products and related services because of their existing customer relationships. The occurrence of any of these events could have a material adverse effect on our revenues and results of operations.</w:t>
      </w:r>
    </w:p>
    <w:p>
      <w:pPr>
        <w:spacing w:after="0" w:line="119"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In addition, we have a distribution agreement covering our North American commercial markets and our U.S. Federal Government market with Arrow. Pursuant to this distribution agreement, Arrow’s primary role is to enable a more efficient and effective distribution channel for our products and services by managing our reseller partners and leveraging their own industry experience. Many of our North American resellers buy from Arrow. Sales through our distribution agreement with Arrow accounted for approximately 36% of our total revenues for fiscal 2018 and fiscal 2017.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revenues.</w:t>
      </w:r>
    </w:p>
    <w:p>
      <w:pPr>
        <w:spacing w:after="0" w:line="1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original equipment manufacturers sell our software applications and in some cases incorporate our data and information management software into systems that they sell. A material portion of our revenues is generated through these arrangements. However, we have no control over the shipping dates or volumes of systems these original equipment manufacturers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original equipment manufacturers also could choose to develop their own data and information management software internally and incorporate those products into their systems instead of our software applications. The original equipment manufacturers that we do business with also compete with one another. If one of our original equipment manufacturer partners views our arrangement with another original equipment manufacturer as competing with its products, it may decide to stop doing business with us. Any material decrease in the volume of sales generated by original equipment manufacturers we do business with, as a result of these factors or otherwise, could have a material adverse effect on our revenues and results of operations in future periods. Sales through our original equipment manufacturer agreements accounted for approximately 12% of our total revenues for fiscal 2018 and 15% of our total revenues for fiscal 2017.</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11" w:right="2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respond to rapid technological changes with new software applications and services offerings, which could have a material adverse effect on our sales and profitability.</w:t>
      </w:r>
    </w:p>
    <w:p>
      <w:pPr>
        <w:spacing w:after="0" w:line="3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markets for our software applications are characterized by rapid technological changes, changing customer needs, frequent new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 events were to occur, our ability to retain or increase market share in the data and information management software market could be materially adversely affected.</w:t>
      </w:r>
    </w:p>
    <w:p>
      <w:pPr>
        <w:spacing w:after="0" w:line="13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devote significant resources to the development of new products and the enhancement of existing products. 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If the cost for annual maintenance and support agreements with our customers is not competitive in the market or if our customers do not renew their annual maintenance and support agreements either at all, or on terms that are less favorable to us, our business and financial performance might be adversely impacted.</w:t>
      </w:r>
    </w:p>
    <w:p>
      <w:pPr>
        <w:spacing w:after="0" w:line="12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Most of our maintenance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do not renew their annual maintenance and support agreements either at all, or on terms that are less favorable to us, our business and financial performance might be adversely impacted.</w:t>
      </w:r>
    </w:p>
    <w:p>
      <w:pPr>
        <w:spacing w:after="0" w:line="133" w:lineRule="exact"/>
        <w:rPr>
          <w:sz w:val="20"/>
          <w:szCs w:val="20"/>
          <w:color w:val="auto"/>
        </w:rPr>
      </w:pPr>
    </w:p>
    <w:p>
      <w:pPr>
        <w:ind w:right="160"/>
        <w:spacing w:after="0" w:line="338" w:lineRule="auto"/>
        <w:rPr>
          <w:sz w:val="20"/>
          <w:szCs w:val="20"/>
          <w:color w:val="auto"/>
        </w:rPr>
      </w:pPr>
      <w:r>
        <w:rPr>
          <w:rFonts w:ascii="Arial" w:cs="Arial" w:eastAsia="Arial" w:hAnsi="Arial"/>
          <w:sz w:val="15"/>
          <w:szCs w:val="15"/>
          <w:b w:val="1"/>
          <w:bCs w:val="1"/>
          <w:i w:val="1"/>
          <w:iCs w:val="1"/>
          <w:color w:val="auto"/>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software applications operate primarily on the Windows, UNIX, Linux and Novell Netware operating systems; used in conjunction with Microsoft SQL; and on hardware devices of numerous manufacturers. When new or updated versions of these operating systems, software applications,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the cooperation of the developers of the operating systems, software applications, and hardware, substantial capital investment and the devotion of substantial employee or financial resources. For some operating systems, we must obtain some proprietary application program interfaces from the owner in order to develop software applications that interoperate with the operating system. Operating system and software owners have no obligation to assist in these development efforts. If they do not provide us with assistance, the contractual right, or the necessary proprietary application program interfaces on a timely basis, we may experience delays or be unable to expand our software applications into other areas.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11" w:right="259" w:bottom="1440" w:gutter="0" w:footer="0" w:header="0"/>
        </w:sectPr>
      </w:pPr>
    </w:p>
    <w:bookmarkStart w:id="17" w:name="page18"/>
    <w:bookmarkEnd w:id="17"/>
    <w:p>
      <w:pPr>
        <w:ind w:right="40"/>
        <w:spacing w:after="0" w:line="334" w:lineRule="auto"/>
        <w:rPr>
          <w:sz w:val="20"/>
          <w:szCs w:val="20"/>
          <w:color w:val="auto"/>
        </w:rPr>
      </w:pPr>
      <w:r>
        <w:rPr>
          <w:rFonts w:ascii="Arial" w:cs="Arial" w:eastAsia="Arial" w:hAnsi="Arial"/>
          <w:sz w:val="16"/>
          <w:szCs w:val="16"/>
          <w:b w:val="1"/>
          <w:bCs w:val="1"/>
          <w:i w:val="1"/>
          <w:iCs w:val="1"/>
          <w:color w:val="auto"/>
        </w:rPr>
        <w:t>We have started selling a backup appliance which integrates our software with hardware. If we fail to accurately predict our manufacturing requirements and manage our supply chain we could incur additional costs or experience manufacturing delays that could harm our business.</w:t>
      </w:r>
    </w:p>
    <w:p>
      <w:pPr>
        <w:spacing w:after="0" w:line="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generally provide forecasts of our requirements to our supply chain partners on a rolling basis. If our forecast exceeds our actual requirements, a supply chain partner may assess additional charges or we may incur costs for excess inventory, each of which could negatively affect our gross margins. If our forecast is less than our actual requirements, the applicable supply chain partner may have insufficient time or components to produce or fulfill our product requirements, which could delay or interrupt manufacturing of our products or fulfillment of orders for our products, and result in delays in shipments, customer dissatisfaction, and deferral or loss of revenue. Further, we may be required to purchase sufficient inventory to satisfy our future needs in situations where a component or product is being discontinued. If we fail to accurately predict our requirements, we may be unable to fulfill those orders or we may be required to record charges for excess inventory. Any of the foregoing could adversely affect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global economy could adversely impact our continued growth, results of operations and our ability to forecast future business.</w:t>
      </w:r>
    </w:p>
    <w:p>
      <w:pPr>
        <w:spacing w:after="0" w:line="11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Uncertainty in the macroeconomic environment and associated global economic conditions have resulted in volatility in credit, equity, debt and foreign currency markets as well as government budgets worldwide.</w:t>
      </w:r>
    </w:p>
    <w:p>
      <w:pPr>
        <w:spacing w:after="0" w:line="46"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These global economic conditions can result in slower economic activity, decreased consumer confidence, reduced corporate profits and capital spending, adverse business conditions and liquidity concerns. There has also been increased volatility in foreign exchange markets. These factors make it difficult for our customers, our vendors and us to accurately forecast and plan future business activities. In addition, these factors could cause customers to slow or defer spending on our software products and services, which would delay and lengthen sales cycles and negatively affect our results of operations. If such conditions deteriorate or if the pace of economic recovery is slower or more uneven, our results of operations could be adversely affected, we may not be able to sustain the growth rates we have experienced recently, and we could fail to meet the expectations of stock analysts and investors, which could cause the price of our common stock to decline.</w:t>
      </w:r>
    </w:p>
    <w:p>
      <w:pPr>
        <w:spacing w:after="0" w:line="13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continue to invest in our business in the Asia-Pacific and Europe, Middle East, and Africa regions. There are significant risks with overseas investments and growth prospects in these regions. Increased volatility or declines in the credit, equity, debt and foreign currency markets in these regions could cause delays in or cancellations of orders. Deterioration of economic conditions in the countries in which we do business could also cause slower or impaired collections on accounts receivable. In addition, we could experience delays in the payment obligations of our worldwide resellers if they experience weakness in the end-user market, which would increase our credit risk exposure and harm our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periods of volatile economic conditions, our exposure to credit risk and payment delinquencies on our accounts receivable significantly increases.</w:t>
      </w:r>
    </w:p>
    <w:p>
      <w:pPr>
        <w:spacing w:after="0" w:line="11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outstanding accounts receivables are generally not secured. Our standard terms and conditions permit payment within a specified number of days following the receipt of our product. Volatile economic conditions could result in our customers and resellers facing liquidity concerns leading to them not being able to satisfy their payment obligations to us, which would have a material adverse effect on our financial condition, operating results and cash flows.</w:t>
      </w:r>
    </w:p>
    <w:p>
      <w:pPr>
        <w:spacing w:after="0" w:line="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in the future we may transition a more significant percentage of our revenue to subscription, or term based, arrangements. In these arrangements, our customers may pay for software and related services over a period of several years. Due to the potential for extended period of collection, we may be exposed to more significant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in the future become, involved in litigation that may have a material adverse effect on our business.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From time to time, we may become involved in various other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1" w:right="23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a decline in revenues or volatility in our quarterly operating results, which may adversely affect the market price of our common stock.</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181" w:lineRule="exact"/>
        <w:rPr>
          <w:sz w:val="20"/>
          <w:szCs w:val="20"/>
          <w:color w:val="auto"/>
        </w:rPr>
      </w:pPr>
    </w:p>
    <w:p>
      <w:pPr>
        <w:ind w:left="980" w:right="680" w:hanging="243"/>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unpredictability of the timing and magnitude of orders for our software applications, particularly software transactions greater than $100,000 — in recent fiscal years, a majority of our quarterly revenues were earned and recorded near the end of each quarter;</w:t>
      </w:r>
    </w:p>
    <w:p>
      <w:pPr>
        <w:spacing w:after="0" w:line="123" w:lineRule="exact"/>
        <w:rPr>
          <w:rFonts w:ascii="Arial" w:cs="Arial" w:eastAsia="Arial" w:hAnsi="Arial"/>
          <w:sz w:val="16"/>
          <w:szCs w:val="16"/>
          <w:color w:val="auto"/>
        </w:rPr>
      </w:pPr>
    </w:p>
    <w:p>
      <w:pPr>
        <w:ind w:left="980" w:hanging="24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possibility that our customers may cancel, defer or limit purchases as a result of reduced information technology budgets;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customers may defer purchases of our software applications in anticipation of new software applications or updates from us or our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original equipment manufacturers and resellers to meet their sales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new applications and enhancements;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demands on our management, sales force and services infrastructure as a result of the introduction of new software applications or updates.</w:t>
      </w:r>
    </w:p>
    <w:p>
      <w:pPr>
        <w:spacing w:after="0" w:line="19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expense levels are relatively fixed and are based, in part, on our expectations of future revenues. If revenue levels fall below our expectations and we are profitable at the time, our net income would decrease because only a small portion of our expenses varies with our revenues.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encounter long sales and implementation cycles, particularly for our larger customers, which could have an adverse effect on the size, timing and predictability of our revenues.</w:t>
      </w:r>
    </w:p>
    <w:p>
      <w:pPr>
        <w:spacing w:after="0" w:line="3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1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could expend significant funds and resources during a sales cycle and ultimately fail to win the customer. Our sales cycle for all of our products and services is subject to significant risks and delays over which we have little or no control, including:</w:t>
      </w:r>
    </w:p>
    <w:p>
      <w:pPr>
        <w:spacing w:after="0" w:line="6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budgetary constraints;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customers’ budget cycles and approval processes;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willingness to replace their current software solutions;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to educate potential customers about the uses and benefits of our products and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expiration of our customers’ current license agreements or outsourcing agreements for similar services.</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If our sales cycles lengthen unexpectedly, they could adversely affect the timing of our revenues or increase costs, which may cause fluctuations in our quarterly revenues and results of operations. Finally, if we are unsuccessful in closing sales of our products after spending significant funds and management resources, our operating margins and results of operations could be adversely impacted, and the price of our common stock could decline.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368" w:right="319" w:bottom="1440" w:gutter="0" w:footer="0" w:header="0"/>
        </w:sectPr>
      </w:pPr>
    </w:p>
    <w:bookmarkStart w:id="19" w:name="page20"/>
    <w:bookmarkEnd w:id="19"/>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growth in the data and information management software market, and lack of growth or contraction in this market could have a material adverse effect on our sales and financial condition.</w:t>
      </w:r>
    </w:p>
    <w:p>
      <w:pPr>
        <w:spacing w:after="0" w:line="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Demand for data and information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and information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and information management software market could materially adversely affect our sales, profitability and financial condition.</w:t>
      </w:r>
    </w:p>
    <w:p>
      <w:pPr>
        <w:spacing w:after="0" w:line="13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Furthermore, the data and information management software market is dynamic and evolving. Our future financial performance will depend in large part on continued growth in the number of organizations adopting data and information management software for their computing environments. The market for data and information management software may not continue to grow at historic rates, or at all. If this market fails to grow or grows more slowly than we currently anticipate, our sales and profitability could be adversely affected.</w:t>
      </w:r>
    </w:p>
    <w:p>
      <w:pPr>
        <w:spacing w:after="0" w:line="21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3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Software applications as complex as those we offer contain undetected errors or failures, especially when products are first introduced or new versions are released.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which are often characterized by a wide variety of both standard and non-standard configurations that make pre-release testing very difficult and time consuming. Although we have been able to fix these software bugs in the past, we may not always be able to do so. Our software products may also be subject to intentional attacks by viruses that seek to take advantage of these bugs, errors or other weaknesses. Any of these events may result in the loss of, or delay in, market acceptance of our software applications and services, which would seriously harm our sales, results of operations and financial condition.</w:t>
      </w:r>
    </w:p>
    <w:p>
      <w:pPr>
        <w:spacing w:after="0" w:line="1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13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because our software applications are used to manage data that is often critical to our customers, they may have a greater sensitivity to defects in our products than to defects in other, less critical, applications. As a result, the licensing and support of our software applications involve the risk of product liability claims. Our license agreements with our customers typically contain provisions designed to limit our exposure to potential product liability claims. However, the limitation of liability provisions contained in our license agreements vary and may not be effective as a result of existing or future national, federal, state, or local laws or ordinances or unfavorable judicial decisions. Although we have not experienced any material product liability claims to date, the sale and support of our products entail the risk of such claims, which could be substantial in light of the use of our products in enterprise-wide environments. In addition, our insurance against product liability may not be adequate to cover all potential claims.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Developing software is expensive, and the investment in product development may involve a long payback cycle. Our research and development expenses were $94.2 million, or 13% of our total revenues in fiscal 2018, $83.5 million, or 13% of our total revenues in fiscal 2017 and $69.3 million, or 12% of our total revenues in fiscal 2016.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may not recognize significant revenues from these investments for several years, if at all.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11"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The loss of key personnel or the failure to attract and retain highly qualified personnel could have an adverse effect on our business.</w:t>
      </w:r>
    </w:p>
    <w:p>
      <w:pPr>
        <w:spacing w:after="0" w:line="10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and training of replacement personnel could be time consuming, cause additional disruptions to our business and be unsuccessful. We do not carry key person life insurance covering any of our employees.</w:t>
      </w:r>
    </w:p>
    <w:p>
      <w:pPr>
        <w:spacing w:after="0" w:line="10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w:t>
      </w:r>
    </w:p>
    <w:p>
      <w:pPr>
        <w:spacing w:after="0" w:line="12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in the past, we have experienced higher levels of turnover in our sales force compared to other employee groups in our company. Increases in the turnover rate of our sales force may affect our ability to generate license revenue growth. Although we have hired replacements in our sales force and are continuing to hire additional sales personnel to grow our business, we sometimes experience lower productivity from newly hired sales personnel for a period up to twelve months. In addition, we periodically make adjustments to our sales organization in response to a variety of internal and external factors, such as market opportunities, competitive threats, product introductions or enhancements and sales performance. Such adjustments could be temporarily disruptive and result in reduced productivity.</w:t>
      </w:r>
    </w:p>
    <w:p>
      <w:pPr>
        <w:spacing w:after="0" w:line="13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volatility of our stock price may from time to time adversely affect our ability to attract or retain employees. If we are unable to hire or retain qualified employees across our organization, or conversely, if we fail to manage employee performance or reduce staffing levels when required by market conditions, our personnel costs would be excessive and our business and profitability could be adversely affected.</w:t>
      </w:r>
    </w:p>
    <w:p>
      <w:pPr>
        <w:spacing w:after="0" w:line="11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Omnibus Plan has approximately 1.6 million shares left available for grant until we will be required to ask our shareholders for additional shares. If our shareholders do not approve additional shares it could make it difficult to attract, retain and motivate our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sales and operations are subject to factors that could have an adverse effect on our results of operations.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also plan to continue to expand our international operations. We generated approximately 46% of our revenues from outside the United States in fiscal 2018 and 44% for fiscal 2017. International revenue increased 15% in fiscal 2018 compared to fiscal 2017. Expansion of our international operations will require a significant amount of attention from our management and substantial financial resources and might require us to add qualified management in these markets.</w:t>
      </w:r>
    </w:p>
    <w:p>
      <w:pPr>
        <w:spacing w:after="0" w:line="5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facing risks similar to the risks faced by our domestic operations, our international operations are also subject to risks related to the differing legal, political, social and regulatory requirements and economic conditions of many countries, including:</w:t>
      </w:r>
    </w:p>
    <w:p>
      <w:pPr>
        <w:spacing w:after="0" w:line="3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9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countries may impose additional withholding taxes or otherwise tax our foreign income, impose tariffs or adopt other restrictions on foreign trade or investment, including currency exchange controls;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w:t>
      </w:r>
    </w:p>
    <w:p>
      <w:pPr>
        <w:spacing w:after="0" w:line="90" w:lineRule="exact"/>
        <w:rPr>
          <w:rFonts w:ascii="Arial" w:cs="Arial" w:eastAsia="Arial" w:hAnsi="Arial"/>
          <w:sz w:val="18"/>
          <w:szCs w:val="18"/>
          <w:color w:val="auto"/>
        </w:rPr>
      </w:pPr>
    </w:p>
    <w:p>
      <w:pPr>
        <w:ind w:left="980" w:right="160" w:hanging="324"/>
        <w:spacing w:after="0" w:line="33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1" w:lineRule="exact"/>
        <w:rPr>
          <w:rFonts w:ascii="Arial" w:cs="Arial" w:eastAsia="Arial" w:hAnsi="Arial"/>
          <w:sz w:val="16"/>
          <w:szCs w:val="16"/>
          <w:color w:val="auto"/>
        </w:rPr>
      </w:pPr>
    </w:p>
    <w:p>
      <w:pPr>
        <w:ind w:left="980" w:right="4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imposition of, or unexpected adverse changes in, foreign laws or regulatory requirements may occur, including those pertaining to export restrictions, privacy and data protection, trade and employment restrictions and intellectual property protections;</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for sales in foreign countries and difficulties in collecting accounts receivable;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611" w:right="319" w:bottom="1440" w:gutter="0" w:footer="0" w:header="0"/>
        </w:sectPr>
      </w:pPr>
    </w:p>
    <w:bookmarkStart w:id="21" w:name="page22"/>
    <w:bookmarkEnd w:id="21"/>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17"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greater risk of a failure of our employees and partners to comply with both U.S. and foreign laws, including antitrust regulations, the U.S. Foreign Corrupt Practices Act, the U.K. Bribery Act of 2010, and any trade regulations ensuring fair trade practices;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associated with developing software in multiple languages;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foreign currency exchange rates that could adversely impact our results of operations.</w:t>
      </w:r>
    </w:p>
    <w:p>
      <w:pPr>
        <w:spacing w:after="0" w:line="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international sales are generally denominated in foreign currencies, and this revenue could be materially affected by currency fluctuations. Our primary exposure is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could require us to reduce our prices to remain competitive in foreign markets, which could also have a material adverse effect on our results of operations. An unfavorable change in the exchange rate of foreign currencies against the U.S. dollar would result in lower revenues when translated into U.S. dollars, although operating expenditures would be lower as well.</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recent fiscal years, we have selectively hedged our exposure to changes in foreign currency exchange rates on the balance sheet. In the future, we may enter into additional foreign currency-based hedging contracts to reduce our exposure to significant fluctuations in currency exchange rates on the balance sheet, although there can be no assurances that we will do so. However, as our international operations grow, or if dramatic fluctuations in foreign currency exchange rates continue or increase or if our hedging strategies become ineffective, the effect of changes in the foreign currency exchange rates could become material to revenue, operating expenses, and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2" w:name="page23"/>
    <w:bookmarkEnd w:id="22"/>
    <w:p>
      <w:pPr>
        <w:ind w:right="200"/>
        <w:spacing w:after="0" w:line="308" w:lineRule="auto"/>
        <w:rPr>
          <w:sz w:val="20"/>
          <w:szCs w:val="20"/>
          <w:color w:val="auto"/>
        </w:rPr>
      </w:pPr>
      <w:r>
        <w:rPr>
          <w:rFonts w:ascii="Arial" w:cs="Arial" w:eastAsia="Arial" w:hAnsi="Arial"/>
          <w:sz w:val="17"/>
          <w:szCs w:val="17"/>
          <w:b w:val="1"/>
          <w:bCs w:val="1"/>
          <w:i w:val="1"/>
          <w:iCs w:val="1"/>
          <w:color w:val="auto"/>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prospective customers. As a result, our failure to maintain high quality support and professional services would have a material adverse effect on our sales of software applications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and we may in the future increase sales to government entities. However, government entities have recently announced reductions in, or experienced increased pressure to reduce spending. In particular, such measures have adversely affected European public sector transactions, and U.S. debt issues and budget concerns may adversely impact future U.S. public sector transactions. Such budgetary constraints or shifts in spending priorities of government entities may adversely affect sales of our products and services to such entities. In addition, sales to government entities are subject to a number of risks.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Government contracts may require the maintenance of certain security clearances for facilities and employees which can entail administrative time and effort possibly resulting in additional costs and delays. In addition, government demand for our products may be more volatile as they are affected by public sector budgetary cycles, funding authorizations, and the potential for funding reductions or delays, making the time to close such transactions more difficult to predict. This risk is enhanced as the size of such sales to the government entities increases. If the use of our products expands to more sensitive, secure or mission critical uses by our government customers, we may be subject to increased scrutiny, potential reputational risk, or potential liability should our products fail to perform as expected or should we not comply with the terms of our government contracts or government contracting requirements.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Most of our sales to government entities have been made indirectly through providers that sell our products. Government entities may have contractual or other legal rights to terminate contracts with our providers for convenience or due to a default, and any such termination may adversely impact our future results of operations. Governments routinely audit and investigate government contractors, and we may be subject to such audits and investigations. If an audit or investigation uncovers improper or illegal activities, including any misuse of confidential or classified information by our employees, we may be subject to civil or criminal penalties and administrative sanctions.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information technology system failures, network disruptions and breaches in data security.</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Information technology system failures, network disruptions and breaches of data security could disrupt our operations by causing delays or cancellation of customer orders, impeding the shipment of software products, negatively affecting our service offerings, preventing the processing of transactions and reporting of financial results. Information technology system failures, network disruptions and breaches of data security could also result in the unintentional disclosure of customer or our information as well as damage our reputation. There can be no assurance that a system failure, network disruption or data security breach will not have a material adverse effect on our financial condition and operating results.</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Protection of our intellectual property is limited, and any misuse of our intellectual property by others could materially adversely affect our sales and results of operations.</w:t>
      </w:r>
    </w:p>
    <w:p>
      <w:pPr>
        <w:spacing w:after="0" w:line="3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success depends significantly upon proprietary technology in our software, documentation and other written materials. To protect our proprietary rights, we rely on a combination of:</w:t>
      </w:r>
    </w:p>
    <w:p>
      <w:pPr>
        <w:spacing w:after="0" w:line="6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and trademark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 procedures;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provisions.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3" w:name="page24"/>
    <w:bookmarkEnd w:id="23"/>
    <w:p>
      <w:pPr>
        <w:ind w:right="40" w:firstLine="648"/>
        <w:spacing w:after="0" w:line="255" w:lineRule="auto"/>
        <w:rPr>
          <w:sz w:val="20"/>
          <w:szCs w:val="20"/>
          <w:color w:val="auto"/>
        </w:rPr>
      </w:pPr>
      <w:r>
        <w:rPr>
          <w:rFonts w:ascii="Arial" w:cs="Arial" w:eastAsia="Arial" w:hAnsi="Arial"/>
          <w:sz w:val="18"/>
          <w:szCs w:val="18"/>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 We also seek to maintain certain intellectual property as trade secrets. The secrecy could be compromised by outside parties, or by our employees, which would cause us to lose the competitive advantage resulting from these trade secrets.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or “click wrap” licenses that are not signed by licensees.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 In addition, many of our agreements with our customers and partners require us to indemnify them for certain intellectual property infringement claims against them, which would increase our costs as a result of defending such claims, and may require that we pay significant damages if there were an adverse ruling in any such claims. Furthermore, such customers and partners may discontinue the use of our products, services, and technologies, as a result of injunctions or otherwise, which could result in loss of revenues and adversely impact our business.</w:t>
      </w: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Due to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Future litigation may also involve third parties such as individuals, non-practicing entities, patent holding companies, and/or patent assertion entities that have no relevant product offerings or revenue in the marketplace, and against whom our own patents may provide little or no deterrence or protection. Such parties may purchase or otherwise obtain intellectual property assets for the purpose of monetizing these assets; they often make broad and sweeping claims of infringement against product manufacturing companies such as Commvault and its customers, seeking a percentage of sales as license fees, seeking injunctions to pressure us into taking a license, or a combination thereof. Claims such as these have increased in recent years and may continue to do so. Any such claims, whether meritorious or not, could be time-consuming, result in costly litigation, cause shipment delays or require us to enter into royalty or licensing agreements with third parties, which may not be available on terms that we deem acceptable, if at all.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claims could disrupt our business and have a material adverse effect on our results of operations and financial condition.</w:t>
      </w:r>
    </w:p>
    <w:p>
      <w:pPr>
        <w:spacing w:after="0" w:line="1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we license and use software from third parties in our business. These third-party software licenses may not continue to be available to us on acceptable terms or at all, and may expose us to additional liability. This liability, or our inability to use any of this third-party software, could result in shipment delays or other disruptions in our business that could materially and adversely affect our operating results.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4" w:name="page25"/>
    <w:bookmarkEnd w:id="24"/>
    <w:p>
      <w:pPr>
        <w:ind w:right="200" w:firstLine="648"/>
        <w:spacing w:after="0" w:line="291" w:lineRule="auto"/>
        <w:rPr>
          <w:sz w:val="20"/>
          <w:szCs w:val="20"/>
          <w:color w:val="auto"/>
        </w:rPr>
      </w:pPr>
      <w:r>
        <w:rPr>
          <w:rFonts w:ascii="Arial" w:cs="Arial" w:eastAsia="Arial" w:hAnsi="Arial"/>
          <w:sz w:val="16"/>
          <w:szCs w:val="16"/>
          <w:color w:val="auto"/>
        </w:rPr>
        <w:t>On February 27, 2017, Realtime Data LLC d/b/a/ IXO (Realtime), a non-practicing entity, sued us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We responded to the complaint by filing a motion to dismiss on the grounds that the patents are directed to patent-ineligible subject matter. The Court has not yet ruled on this motion.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business and subjects us to possible litigation.</w:t>
      </w:r>
    </w:p>
    <w:p>
      <w:pPr>
        <w:spacing w:after="0" w:line="9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but these efforts may not be successful.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1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effective tax rate is difficult to project, and changes in such tax rate or adverse results of tax examinations could adversely affect our operating results.</w:t>
      </w:r>
    </w:p>
    <w:p>
      <w:pPr>
        <w:spacing w:after="0" w:line="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results of operations would be adversely affected to the extent that our geographical mix of income becomes more weighted toward jurisdictions with higher tax rates and would be favorably affected to the extent the relative geographic mix shifts to lower tax jurisdictions. Any change in our mix of earnings is dependent upon many factors and is therefore difficult to predict.</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process of determining our anticipated tax liabilities involves many calculations and estimates that are inherently complex and make the ultimate tax obligation determination uncertain. As part of the process of preparing our consolidated financial statements, we are required to estimate our income taxes in each of the jurisdictions in which we operate prior to the completion and filing of tax returns for such periods. These estimates involve complex issues, require extended periods of time to resolve, and require us to make judgments, such as anticipating the outcomes of audits with tax authorities and the positions that we will take on tax returns prior to our actually preparing the returns.</w:t>
      </w:r>
    </w:p>
    <w:p>
      <w:pPr>
        <w:spacing w:after="0" w:line="11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Furthermore, our overall effective income tax rate and tax expenses may be affected by various factors in our business, including changes in our legal structure, changes in the geographic mix of income and expenses, changes in tax laws and applicable accounting pronouncements and variations in the estimated and actual level of annual profits before income tax.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right="100" w:firstLine="648"/>
        <w:spacing w:after="0" w:line="272" w:lineRule="auto"/>
        <w:rPr>
          <w:sz w:val="20"/>
          <w:szCs w:val="20"/>
          <w:color w:val="auto"/>
        </w:rPr>
      </w:pPr>
      <w:r>
        <w:rPr>
          <w:rFonts w:ascii="Arial" w:cs="Arial" w:eastAsia="Arial" w:hAnsi="Arial"/>
          <w:sz w:val="17"/>
          <w:szCs w:val="17"/>
          <w:color w:val="auto"/>
        </w:rPr>
        <w:t>We also determine the need to record deferred tax liabilities and the recoverability of deferred tax assets. A valuation allowance is established to the extent recovery of deferred tax assets is not likely based on our estimation of future taxable income and other factors in each jurisdiction. In assessing the need for a valuation allowance in fiscal 2018,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2017 Tax Cuts and Jobs Act (the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Act requires complex computations not previously provided in U.S. tax law. As such, the application of accounting guidance for such items is currently uncertain. Further, compliance with the Tax Act and the accounting for such provisions require accumulation of information not previously required or regularly produced. As additional regulatory guidance is issued by the applicable taxing authorities and as accounting treatment is clarified, we will perform additional analysis on the application of the law, and refine estimates in calculating the effect which may produce different results and will be reflected in the period the analysis is completed.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1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cash and cash equivalents are highly liquid investments with original maturities of three months or less at the time of purchase. We maintain the cash and cash equivalents with major financial institutions. Deposits with these banks exceed the Federal Deposit Insurance Corporation (FDIC) insurance limits or similar limits in foreign jurisdictions. While we monitor daily the cash balances in the operating accounts and adjust the balances as appropriate, these balances could be impacted if one or more of the financial institutions with which we deposit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cannot predict our future capital needs and we may be unable to obtain financing, which could have a material adverse effect on our business, results of operations and financial condition.</w:t>
      </w:r>
    </w:p>
    <w:p>
      <w:pPr>
        <w:spacing w:after="0" w:line="3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may need to raise additional funds in the future in order to acquire complementary businesses, technologies, products or services. Any required financing may not be available on terms acceptable to us, or at all. If we raise additional funds by issuing equity securities, you may experience significant dilution of your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additional financing is not available when required or is not available on acceptable terms, we may be unable to successfully develop or enhance our software and services through acquisitions in order to take advantage of business opportunities or respond to competitive pressures, which could have a material adverse effect on our software and services offerings, revenues,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owning real property.</w:t>
      </w:r>
    </w:p>
    <w:p>
      <w:pPr>
        <w:spacing w:after="0" w:line="9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own our corporate campus headquarters in Tinton Falls, New Jersey. We have limited experience in the ownership and management of real property. In addition, we are subject to the risks of owning real property including the possible need for structural improvements in order to comply with zoning and other legal or regulatory requirements. Furthermore, we are subject to adverse changes in the value of this property due to interest rate changes, changes in the market in which the property is located or other factors. Also, if we decide to sell our real property in the future and are not able to recover all capitalized costs, it could have a material adverse effect on our financial condition and operating results.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3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Many of our key financial systems used for internal purposes are cloud-based solutions provided by third parties.</w:t>
      </w:r>
    </w:p>
    <w:p>
      <w:pPr>
        <w:spacing w:after="0" w:line="252"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Our enterprise resource planning system as well as certain other stand-alone internal financial systems are cloud-based solutions provided by third parties. The use of cloud-based systems provided by third parties exposes us to certain risks of those third parties. If a disruption of services by these third party cloud financial system providers were to occur it could have a material adverse effect on our financial position,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from investing in growth opportunities could impact our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invest in growth opportunities, such as high-value market segments of enterprise computing, managed services and cloud computing. Even though we believe cloud computing, in its various forms, represents a long term industry trend in the way that applications are delivered, data is stored and information is retrieved, there can be no assurance that our investment in cloud, and related managed services and infrastructure management will be validated in the marketplace. Similarly, there is no assurance that our investments in high-value market segments will drive revenue growth or market share gains. Customer adoption rates and viable economic models are less certain in high-value and rapidly-growing segments, and new product and services offerings may unfavorably impact demand for our other products or services.</w:t>
      </w:r>
    </w:p>
    <w:p>
      <w:pPr>
        <w:spacing w:after="0" w:line="28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highly volatile and may decline regardless of our operating performance.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our common stock could be subject to significant fluctuations in response to:</w:t>
      </w:r>
    </w:p>
    <w:p>
      <w:pPr>
        <w:spacing w:after="0" w:line="14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44"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market and industry factors;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such events.</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Securities litigation could have a substantial cost and divert resources and the attention of management from our business.</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 and impair our ability to obtain capital through future stock offerings.</w:t>
      </w:r>
    </w:p>
    <w:p>
      <w:pPr>
        <w:spacing w:after="0" w:line="3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 substantial number of shares of our common stock are available for sale into the public market. The occurrence of such sales, or the perception that such sales could occur, could materially and adversely affect our stock price and could impair our ability to obtain capital through an offering of equity securities.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611" w:right="31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b w:val="1"/>
          <w:bCs w:val="1"/>
          <w:i w:val="1"/>
          <w:iCs w:val="1"/>
          <w:color w:val="auto"/>
        </w:rPr>
        <w:t>Certain provisions in our charter documents and agreements and Delaware law, as well as our stockholder rights plan, may inhibit potential acquisition bids for Commvault and prevent changes in our management.</w:t>
      </w:r>
    </w:p>
    <w:p>
      <w:pPr>
        <w:spacing w:after="0" w:line="3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certificate of incorporation and bylaws contain provisions that could depress the trading price of our common stock by acting to discourage, delay or prevent a change of control of our company or changes in management that our stockholders might deem advantageous. Specific provisions in our certificate of incorporation include:</w:t>
      </w:r>
    </w:p>
    <w:p>
      <w:pPr>
        <w:spacing w:after="0" w:line="7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issue preferred stock with terms that the Board of Directors may determine, without stockholder approval;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classified board in which only a third of the total board members will be elected at each annual stockholder meeting;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convening stockholder meetings.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to the provision described above, on November 13, 2008, our Board of Directors adopted a stockholders rights plan and declared a dividend distribution of one Right for each outstanding share of our common stock to shareholders of record on November 24, 2008. Each Right, when exercisable, entitles the registered holder to purchase from us one one-thousandth of a share of Series A Junior Participating Preferred Stock, par value $0.01 per share, at a purchase price of $80 per one one-thousandth of a share, subject to adjustment. The Rights may discourage a third-party from making an unsolicited proposal to acquire us, as exercise of the Rights would cause substantial dilution to such third-party attempting to acquire us.</w:t>
      </w:r>
    </w:p>
    <w:p>
      <w:pPr>
        <w:spacing w:after="0" w:line="10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result of the provisions in our certificate of incorporation and our stockholder rights plan, the price investors may be willing to pay in the future for shares of our common stock may be limited.</w:t>
      </w:r>
    </w:p>
    <w:p>
      <w:pPr>
        <w:spacing w:after="0" w:line="11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Also, we are subject to Section 203 of the Delaware General Corporation Law, which imposes certain restrictions on mergers and other business combinations between us and any holder of 15% or more of our common stock. Further, certain of our employment agreements and incentive plans provide for vesting of stock options and/or payments to be made to the employees thereunder if their employment is terminated in connection with a change of control, which could discourage, delay or prevent a merger or acquisition at a premium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anticipate paying any cash dividends to holders of our common stock in the foreseeable future. Consequently, investors must rely on sales of their common stock after price appreciation, which may never occur, as the only way to realize any future gains on their investment. Investors seeking cash dividends should not purchase our common stock.</w:t>
      </w:r>
    </w:p>
    <w:p>
      <w:pPr>
        <w:spacing w:after="0" w:line="20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4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Pursuant to Section 404 of the Sarbanes-Oxley Act of 2002 (SOX 404), and the rules and regulations promulgated by the SEC to implement SOX 404, we are required to furnish a report in our Form 10-K regarding the effectiveness of our internal control over financial reporting. The report’s assessment of our internal control over financial reporting as of the end of our fiscal year must include disclosure of any material weaknesses in our internal control over financial reporting identified by management. Management’s assessment of internal control over financial reporting requires management to make subjective judgments and some of our judgments will be in areas that may be open to interpretation.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11" w:right="279" w:bottom="1440" w:gutter="0" w:footer="0" w:header="0"/>
        </w:sectPr>
      </w:pPr>
    </w:p>
    <w:bookmarkStart w:id="28" w:name="page29"/>
    <w:bookmarkEnd w:id="28"/>
    <w:p>
      <w:pPr>
        <w:ind w:right="20" w:firstLine="648"/>
        <w:spacing w:after="0" w:line="293" w:lineRule="auto"/>
        <w:rPr>
          <w:sz w:val="20"/>
          <w:szCs w:val="20"/>
          <w:color w:val="auto"/>
        </w:rPr>
      </w:pPr>
      <w:r>
        <w:rPr>
          <w:rFonts w:ascii="Arial" w:cs="Arial" w:eastAsia="Arial" w:hAnsi="Arial"/>
          <w:sz w:val="16"/>
          <w:szCs w:val="16"/>
          <w:color w:val="auto"/>
        </w:rPr>
        <w:t>Although we currently believe our internal control over financial reporting is effective, the effectiveness of our internal controls in future periods is subject to the risk that our controls may become inadequate or may not operate effectively. In future years, if we fail to timely complete this assessment, or if our auditors cannot timely attest, there may be a loss of public confidence in our internal controls, the market price of our stock could decline and we could be subject to regulatory sanctions or investigations by the NASDAQ Stock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past several years, our organizational structure has increased in complexity due to compliance with tax regulations and tax accounting requirements and other regulatory and compliance requirements, including compliance with anti-corruption and anti-bribery laws such as the U.S. Foreign Corrupt Practices Act (the “FCPA”) and the UK Bribery Act of 2010 (the “UK Bribery Act”). Further, we have expanded our presence in the Asia-Pacific region, where business practices can differ from those in other regions of the world and can create internal control risks. We provide business practices training to our employees worldwide. Overall, the combination of increased structural complexity and the ever-increasing regulatory complexity make it more critical for us to attract and retain qualified and technically competent employees.</w:t>
      </w:r>
    </w:p>
    <w:p>
      <w:pPr>
        <w:spacing w:after="0" w:line="2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at our owned corporate headquarters in Tinton Falls, New Jersey.</w:t>
      </w:r>
    </w:p>
    <w:p>
      <w:pPr>
        <w:spacing w:after="0" w:line="3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addition, we have offices in the United States in California, Colorado, Illinois, Minnesota, New York, Texas, and Virginia; and outside the United States in Australia, Brazil, Canada, China, France, Germany, India, Israel, Italy, Japan, Malaysia, Mexico, Netherlands, New Zealand, Poland, Russia, Saudi Arabia, Singapore, South Africa, South Korea, Spain, Sweden, Switzerland, Thailand, Turkey, United Arab Emirates, and United Kingdom.</w:t>
      </w:r>
    </w:p>
    <w:p>
      <w:pPr>
        <w:spacing w:after="0" w:line="25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181"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is purportedly brought on behalf of purchasers of our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 million. The parties signed a stipulation of settlement on November 30, 2017. The settlement remains subject to court approval; the court has scheduled a hearing for May 14, 2018 to consider whether to approve the settlement. The settlement amount has been funded solely by our insurers. There can be no assurance that the settlement will ultimately be approved or that it will become final. If the settlement does not occur and litigation against us continues, we believe that we have meritorious defenses and intends to defend the case vigorously. However, due to the inherent uncertainties of litigation, we cannot accurately predict the ultimate outcome of this matter if the litigation continues.</w:t>
      </w:r>
    </w:p>
    <w:p>
      <w:pPr>
        <w:spacing w:after="0" w:line="18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April 12, 2017, a shareholder derivative complaint was filed in the United States District Court for the District of New Jersey against the Company (nominally), certain of its executive officers and certain members of the board of directors. The complaint is entitled Murashko v. Hammer, et al. (Civ. No. 3:17-cv-02533-PGS-TJB). The plaintiff filed an amended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6"/>
          <w:szCs w:val="16"/>
          <w:color w:val="auto"/>
        </w:rPr>
        <w:t>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the Company by causing, or allowing, the Company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from the Company, but rather seeks to recover from the defendant officers and directors on behalf of the Company compensatory damages, restitution, costs and expenses, as well as equitable or other relief. On August 29, 2017, all of the defendants, including the Company, filed a motion to dismiss the derivative action; that motion was granted on February 22, 2018. The court dismissed the complaint without prejudice for failure to make a demand on the Company’s Board of Directors or to plead facts showing that a demand would be futile. The plaintiff chose not to appeal the dismissal of his complaint. On November 30, 2017, a virtually identical shareholder derivative complaint was filed in state court in New Jersey entitled Lee v. Hammer, et al., Civ. 201-17 (N.J. Super. Ct.). On April 27, 2018, the parties agreed to dismiss the complaint without prejudice. While both derivative cases have been dismissed without prejudice, due to the inherent uncertainties of litigation, these cases or similar cases may be brought again in the future and we cannot accurately predict the ultimate outcome of these matters should they be re-filed.</w:t>
      </w:r>
    </w:p>
    <w:p>
      <w:pPr>
        <w:spacing w:after="0" w:line="17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February 27, 2017, Realtime Data LLC d/b/a/ IXO (Realtime), a non-practicing entity, sued us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We responded to the complaint by filing a motion to dismiss on the grounds that the patents are directed to patent-ineligible subject matter. The Court has not yet ruled on this motion.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w:t>
      </w:r>
    </w:p>
    <w:p>
      <w:pPr>
        <w:spacing w:after="0" w:line="2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780" w:firstLine="27"/>
        <w:spacing w:after="0" w:line="36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w:t>
      </w:r>
    </w:p>
    <w:p>
      <w:pPr>
        <w:spacing w:after="0" w:line="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common stock is listed and traded on The NASDAQ Global Market under the symbol “CVLT.” The following table sets forth, for the periods indicated, the high and the low closing sales prices of our common stock, as reported on The NASDAQ Global Market.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2017</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53.56</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42.41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58.55</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56.80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48.50</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 2018, the last reported sale price of our common stock as reported on The NASDAQ Global Market was $67.45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May 1, 2018, there were approximately 50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2013 and March 31, 2018, with the cumulative total return of (i) The NASDAQ Computer Index and (ii) The NASDAQ Composite Index, over the same period. This graph assumes the investment of $100,000 on March 31, 2013 in our common stock, The NASDAQ Composite Index and The NASDAQ Computer Index, and assumes the reinvestment of dividends, if any. The graph assumes the initial value of our common stock on March 31, 2013 was the closing sales price of $49.64 per share.</w:t>
      </w:r>
    </w:p>
    <w:p>
      <w:pPr>
        <w:spacing w:after="0" w:line="13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12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performance graph shall not be deemed “filed” for purposes of Section 18 of the Exchange Act or otherwise subject to the liabilities under that Section, and shall not be deemed to be incorporated by reference into any filing of Commvault under the Securities Act or the Exchange Act.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6"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243205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9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3/31/2013</w:t>
            </w:r>
          </w:p>
        </w:tc>
        <w:tc>
          <w:tcPr>
            <w:tcW w:w="128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3/31/2014</w:t>
            </w:r>
          </w:p>
        </w:tc>
        <w:tc>
          <w:tcPr>
            <w:tcW w:w="126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3/31/2015</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3/31/2016</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3/31/2017</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3/31/2018</w:t>
            </w:r>
          </w:p>
        </w:tc>
      </w:tr>
      <w:tr>
        <w:trPr>
          <w:trHeight w:val="275"/>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Commvault</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79.2</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53.3</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52.7</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62.0</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69.8</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NASDAQ Composite Index</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128.5</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150.0</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149.0</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180.9</w:t>
            </w:r>
          </w:p>
        </w:tc>
        <w:tc>
          <w:tcPr>
            <w:tcW w:w="124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216.2</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Computer Index</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131.1</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156.7</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165.8</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208.3</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262.5</w:t>
            </w:r>
          </w:p>
        </w:tc>
      </w:tr>
      <w:tr>
        <w:trPr>
          <w:trHeight w:val="20"/>
        </w:trPr>
        <w:tc>
          <w:tcPr>
            <w:tcW w:w="3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2018, we repurchased $20.9 million of common stock (0.4 million shares).</w:t>
      </w:r>
    </w:p>
    <w:p>
      <w:pPr>
        <w:spacing w:after="0" w:line="23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Total of Purchases</w:t>
            </w:r>
          </w:p>
        </w:tc>
        <w:tc>
          <w:tcPr>
            <w:tcW w:w="100" w:type="dxa"/>
            <w:vAlign w:val="bottom"/>
          </w:tcPr>
          <w:p>
            <w:pPr>
              <w:spacing w:after="0"/>
              <w:rPr>
                <w:sz w:val="12"/>
                <w:szCs w:val="12"/>
                <w:color w:val="auto"/>
              </w:rPr>
            </w:pPr>
          </w:p>
        </w:tc>
        <w:tc>
          <w:tcPr>
            <w:tcW w:w="1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05"/>
        </w:trPr>
        <w:tc>
          <w:tcPr>
            <w:tcW w:w="1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5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January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133,749,434</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February 2018</w:t>
            </w:r>
          </w:p>
        </w:tc>
        <w:tc>
          <w:tcPr>
            <w:tcW w:w="1500" w:type="dxa"/>
            <w:vAlign w:val="bottom"/>
          </w:tcPr>
          <w:p>
            <w:pPr>
              <w:jc w:val="right"/>
              <w:spacing w:after="0"/>
              <w:rPr>
                <w:sz w:val="20"/>
                <w:szCs w:val="20"/>
                <w:color w:val="auto"/>
              </w:rPr>
            </w:pPr>
            <w:r>
              <w:rPr>
                <w:rFonts w:ascii="Arial" w:cs="Arial" w:eastAsia="Arial" w:hAnsi="Arial"/>
                <w:sz w:val="18"/>
                <w:szCs w:val="18"/>
                <w:color w:val="auto"/>
              </w:rPr>
              <w:t>406,745</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20,909,200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94"/>
              <w:spacing w:after="0"/>
              <w:rPr>
                <w:sz w:val="20"/>
                <w:szCs w:val="20"/>
                <w:color w:val="auto"/>
              </w:rPr>
            </w:pPr>
            <w:r>
              <w:rPr>
                <w:rFonts w:ascii="Arial" w:cs="Arial" w:eastAsia="Arial" w:hAnsi="Arial"/>
                <w:sz w:val="18"/>
                <w:szCs w:val="18"/>
                <w:color w:val="auto"/>
              </w:rPr>
              <w:t>112,840,234</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March 2018</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112,840,234</w:t>
            </w:r>
          </w:p>
        </w:tc>
        <w:tc>
          <w:tcPr>
            <w:tcW w:w="0" w:type="dxa"/>
            <w:vAlign w:val="bottom"/>
          </w:tcPr>
          <w:p>
            <w:pPr>
              <w:spacing w:after="0"/>
              <w:rPr>
                <w:sz w:val="1"/>
                <w:szCs w:val="1"/>
                <w:color w:val="auto"/>
              </w:rPr>
            </w:pPr>
          </w:p>
        </w:tc>
      </w:tr>
      <w:tr>
        <w:trPr>
          <w:trHeight w:val="20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Three months ended</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406,745</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20,909,200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rPr>
              <w:t>March 31, 2018</w:t>
            </w:r>
          </w:p>
        </w:tc>
        <w:tc>
          <w:tcPr>
            <w:tcW w:w="1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2" w:name="page33"/>
    <w:bookmarkEnd w:id="32"/>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our financial statements and related notes, “Risk Factors” and “Management’s Discussion and Analysis of Financial Condition and Results of Operations” included elsewhere in this Annual Report on Form 10-K. The selected statements of operations and the selected balance sheet data are derived from our audited financial statements. The historical results presented below are not necessarily indicative of the results to be expected in any future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60" w:type="dxa"/>
            <w:vAlign w:val="bottom"/>
            <w:gridSpan w:val="6"/>
          </w:tcPr>
          <w:p>
            <w:pPr>
              <w:jc w:val="center"/>
              <w:ind w:left="49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290,668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258,091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294,411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387,648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354,337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335,676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324,289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291,929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593,767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90,929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79,626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71,713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601,241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511,055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525,475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512,039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410,727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383,933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349,199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335,980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283,304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87,575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84,944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78,848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78,063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67,106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602,187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561,055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506,945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486,691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411,619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38,784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100,420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37,246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64,064</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Weighted average shares used in computing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amounts: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47,222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49,642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80"/>
        <w:spacing w:after="0" w:line="257" w:lineRule="auto"/>
        <w:rPr>
          <w:sz w:val="20"/>
          <w:szCs w:val="20"/>
          <w:color w:val="auto"/>
        </w:rPr>
      </w:pPr>
      <w:r>
        <w:rPr>
          <w:rFonts w:ascii="Arial" w:cs="Arial" w:eastAsia="Arial" w:hAnsi="Arial"/>
          <w:sz w:val="14"/>
          <w:szCs w:val="14"/>
          <w:color w:val="auto"/>
        </w:rPr>
        <w:t>Note: Previously reported information for 2017 and 2016 has been restated for the adoption of Accounting Standards Codification (ASC) Topic 606, Revenue from Contracts with Customers, while previously reported information for 2015 and 2014 has not been restated and is, therefore, not comparable to the 2018, 2017 and 2016 information. For further discussion of these two standards, see Note 2 to the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As of March 31,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330,784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329,491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288,107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337,673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457,733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131,637</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120,693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99,072</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322,615</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318,142</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252,413</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267,480</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387,004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818,642</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829,878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714,573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713,466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755,384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325,774</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279,902</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244,866</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229,735</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209,575</w:t>
            </w:r>
          </w:p>
        </w:tc>
      </w:tr>
    </w:tbl>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Note: Previously reported information for 2017 has been restated for the adoption of Accounting Standards Codification (ASC) Topic 606, Revenue from Contracts with Customers, while previously reported information for 2016, 2015 and 2014 has not been restated and is, therefore, not comparable to the 2018, and 2017 information. For further discussion of these two standards, see Note 2 to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79" w:right="239" w:bottom="1440" w:gutter="0" w:footer="0" w:header="0"/>
        </w:sectPr>
      </w:pPr>
    </w:p>
    <w:bookmarkStart w:id="34" w:name="page35"/>
    <w:bookmarkEnd w:id="34"/>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Commvault is a leading provider of data and information management software products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the Company also started selling appliances that integrate the Commvault software with hardware and address a wide-range of business needs and use cases, ranging from support for remote or branch offices with limited IT staff up to large corporate data centers. The Company also provides customers with a broad range of professional services that are delivered by our worldwide support and field operations.</w:t>
      </w:r>
    </w:p>
    <w:p>
      <w:pPr>
        <w:spacing w:after="0" w:line="11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Commvault software enables our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throughout its lifecycle,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 We also provide our customers with a broad range of professional services that are delivered by our worldwide support and field operations. As of March 31, 2018 we had licensed our software applications to over 26,000 registered customers.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History and Background</w:t>
      </w:r>
    </w:p>
    <w:p>
      <w:pPr>
        <w:spacing w:after="0" w:line="9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early 2000, we launched Commvault Galaxy for backup and recovery, a storage industry award winner. In the years since, Commvault has forged numerous alliances with top software application and hardware vendors, such as Hitachi Vantara, Microsoft, Network Appliance, Fujitsu, Novell and Oracle, to enhance capabilities and to create a premiere suite of data and information management solutions. In 2002, we launched our single-platform technology that provides the foundation of our information management approach to storing, managing, and accessing data. In addition to Data Protection - Backup &amp; Recovery, the subsequent release of our other software application technologies has increased our addressable market. Each software technology can be used individually or in combination with other technologies from our single platform suite.</w:t>
      </w:r>
    </w:p>
    <w:p>
      <w:pPr>
        <w:spacing w:after="0" w:line="12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Historically, our software licenses have typically provided for a perpetual right to use our software and were sold on a per terabyte capacity basis, on a per-copy basis, as site licenses or as a solution set. During the fiscal year ended March 31, 2018, approximately 63% of software license revenue was sold on a capacity basis. Capacity based software licenses provide our customers with unlimited licenses of specified software products based on a defined level of terabytes of data under management. As a result, when we sell our platform through a capacity license, certain of the various Commvault functionalities are bundled into one capacity based price. Site licenses give the customer the additional right to deploy the software on a limited basis during a specified term.</w:t>
      </w:r>
    </w:p>
    <w:p>
      <w:pPr>
        <w:spacing w:after="0" w:line="2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 We expect that more of our revenue will be generated from sales of solution sets in the next few years.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8" w:right="239" w:bottom="1440" w:gutter="0" w:footer="0" w:header="0"/>
        </w:sectPr>
      </w:pPr>
    </w:p>
    <w:bookmarkStart w:id="35" w:name="page36"/>
    <w:bookmarkEnd w:id="35"/>
    <w:p>
      <w:pPr>
        <w:ind w:right="80" w:firstLine="648"/>
        <w:spacing w:after="0" w:line="272" w:lineRule="auto"/>
        <w:rPr>
          <w:sz w:val="20"/>
          <w:szCs w:val="20"/>
          <w:color w:val="auto"/>
        </w:rPr>
      </w:pPr>
      <w:r>
        <w:rPr>
          <w:rFonts w:ascii="Arial" w:cs="Arial" w:eastAsia="Arial" w:hAnsi="Arial"/>
          <w:sz w:val="17"/>
          <w:szCs w:val="17"/>
          <w:color w:val="auto"/>
        </w:rPr>
        <w:t>Prior to fiscal 2018, an insignificant amount of our revenue was sold under subscription, or term based, license arrangements. Any of our licensing models (capacity, solution set,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recognized when the software is delivered. In fiscal 2018 we started to introduce more subscription arrangements into the market. We expect revenue from these types of arrangements as a percentage of our total revenue to increase in the next few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7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industry in which we currently operate continues to go through accelerating changes as the result of compounding data growth and the introduction of new technologies. We are continuing to pursue an aggressive product development program in both data and information management solutions. Our data management solutions include not only traditional backup, but also new innovations in de-duplication, data movement, virtualization, snap-based backups and enterprise reporting. Our information management innovations are primarily in the areas of archiving, eDiscovery, records management, governance, operational reporting and compliance. We remain focused on both the data and information management trends in the marketplace and, in fact, a material portion of our existing research and development expenses are utilized toward the development of such new technologies discussed above.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4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In fiscal 2018 we also started selling a backup appliance which integrates our software with hardware. If our forecast exceeds our actual requirements, a supply chain partner may assess additional charges or we may incur costs related to excess inventory, each of which could negatively affect our gross margins.</w:t>
      </w:r>
    </w:p>
    <w:p>
      <w:pPr>
        <w:spacing w:after="0" w:line="10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derive a significant portion of our total revenues from sales of licenses of our software applications.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45% of our total revenues for fiscal 2018, 45% for fiscal 2017 and 43% for fiscal 2016.</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fiscal years, we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approximately 59% of our software and products revenue in fiscal 2018, 56% for fiscal 2017 and 54% for fiscal 2016.</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6" w:name="page37"/>
    <w:bookmarkEnd w:id="36"/>
    <w:p>
      <w:pPr>
        <w:ind w:right="20" w:firstLine="648"/>
        <w:spacing w:after="0" w:line="269" w:lineRule="auto"/>
        <w:rPr>
          <w:sz w:val="20"/>
          <w:szCs w:val="20"/>
          <w:color w:val="auto"/>
        </w:rPr>
      </w:pPr>
      <w:r>
        <w:rPr>
          <w:rFonts w:ascii="Arial" w:cs="Arial" w:eastAsia="Arial" w:hAnsi="Arial"/>
          <w:sz w:val="17"/>
          <w:szCs w:val="17"/>
          <w:color w:val="auto"/>
        </w:rPr>
        <w:t>Software and products revenue generated through indirect distribution channels was 86% of total software and products revenue in fiscal 2018, 87% in fiscal 2017 and 86% in fiscal 2016. Software and products revenue generated through direct distribution channels was 14% of total software and products revenue in fiscal 2018, 13% in fiscal 2017 and 14% in fiscal 2016. The dollar value of software and products revenue generated through indirect distribution channels increased approximately $16.1 million, or 6%, in fiscal 2018 compared to fiscal 2017. The dollar value of software and products revenue generated through direct distribution increased $5.0 million, or 13%, in fiscal 2018 compared to fiscal 2017. Deals initiated by our direct sales force are sometimes transacted through indirect channels based on end-user customer requirements, which are not always in our control and can cause this overall percentage split to vary from fiscal year to fiscal year. As such, there may be fluctuations in the dollars and percentage of software and products revenue generated through our direct distribution channels from time to 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original equipment manufacturer agreement is with Hitachi Vantara (Hitachi) and allows them to market, sell and support our software applications and services on a stand-alone basis and/or incorporate our software applications into their own hardware products. Our OEM partners, including Hitachi, have no obligation to recommend or offer our software applications exclusively or at all, and they have no minimum sales requirements and can terminate our relationship at any time. Sales through our original equipment manufacturer agreements accounted for 12% of our total revenues for fiscal 2018 and 15% of our total revenues for fiscal 2017.</w:t>
      </w:r>
    </w:p>
    <w:p>
      <w:pPr>
        <w:spacing w:after="0" w:line="13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36% of our total revenues through Arrow in fiscal 2018, approximately 36% of our total revenues in fiscal 2017 and approximately 38% of our total revenues in fiscal 2016.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services revenue was 55% of our total revenues for fiscal 2018, 55% for fiscal 2017 and 57% for fiscal 2016.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Most of our customer support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13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gross margin of our services revenue was 77% for fiscal 2018, and 77% for fiscal 2017 and 76% for fiscal 2016. Overall, our services revenue has lower gross margins than our software and products revenue. The gross margin of our software and products revenue was 98% for fiscal 2018, and 99% for fiscal 2017 and fiscal 2016. An increase in the percentage of total revenues represented by services revenue may adversely affect our overall gross margin percentage. Additionally, we expect sales of our integrated appliances will increase, resulting in a decline of software and products gross margin percentage.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first quarter of fiscal 2018, one of our Directors, Joseph F. Eazor, was hired as the CEO of Rackspace, Inc (Rackspace). Rackspace has been a customer of the Company since 2006. Total recognized revenue related to Rackspace in fiscal 2018 was $10.0 million. This total includes the renewal of a subscription software license in March 2018 for $4.8 million. The outstanding accounts receivable from this customer as of March 31, 2018 is $5.7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auto"/>
        </w:rPr>
        <w:t>Description of Costs and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is as follows:</w:t>
      </w:r>
    </w:p>
    <w:p>
      <w:pPr>
        <w:spacing w:after="0" w:line="225" w:lineRule="exact"/>
        <w:rPr>
          <w:sz w:val="20"/>
          <w:szCs w:val="20"/>
          <w:color w:val="auto"/>
        </w:rPr>
      </w:pPr>
    </w:p>
    <w:p>
      <w:pPr>
        <w:ind w:left="98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Cost of Software and Products Revenue</w:t>
      </w:r>
      <w:r>
        <w:rPr>
          <w:rFonts w:ascii="Arial" w:cs="Arial" w:eastAsia="Arial" w:hAnsi="Arial"/>
          <w:sz w:val="18"/>
          <w:szCs w:val="18"/>
          <w:color w:val="auto"/>
        </w:rPr>
        <w:t>, consists primarily of the cost of appliance hardware, third-party royalties and other costs such as media,</w:t>
      </w:r>
      <w:r>
        <w:rPr>
          <w:rFonts w:ascii="Arial" w:cs="Arial" w:eastAsia="Arial" w:hAnsi="Arial"/>
          <w:sz w:val="18"/>
          <w:szCs w:val="18"/>
          <w:i w:val="1"/>
          <w:iCs w:val="1"/>
          <w:color w:val="auto"/>
        </w:rPr>
        <w:t xml:space="preserve"> </w:t>
      </w:r>
      <w:r>
        <w:rPr>
          <w:rFonts w:ascii="Arial" w:cs="Arial" w:eastAsia="Arial" w:hAnsi="Arial"/>
          <w:sz w:val="18"/>
          <w:szCs w:val="18"/>
          <w:color w:val="auto"/>
        </w:rPr>
        <w:t>manuals, translation and distribution costs; and</w:t>
      </w:r>
    </w:p>
    <w:p>
      <w:pPr>
        <w:spacing w:after="0" w:line="170" w:lineRule="exact"/>
        <w:rPr>
          <w:rFonts w:ascii="Arial" w:cs="Arial" w:eastAsia="Arial" w:hAnsi="Arial"/>
          <w:sz w:val="18"/>
          <w:szCs w:val="18"/>
          <w:color w:val="auto"/>
        </w:rPr>
      </w:pPr>
    </w:p>
    <w:p>
      <w:pPr>
        <w:ind w:left="660" w:right="20" w:firstLine="77"/>
        <w:spacing w:after="0" w:line="501" w:lineRule="auto"/>
        <w:tabs>
          <w:tab w:leader="none" w:pos="98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Cost of Services Revenue</w:t>
      </w:r>
      <w:r>
        <w:rPr>
          <w:rFonts w:ascii="Arial" w:cs="Arial" w:eastAsia="Arial" w:hAnsi="Arial"/>
          <w:sz w:val="18"/>
          <w:szCs w:val="18"/>
          <w:color w:val="auto"/>
        </w:rPr>
        <w:t>, consists primarily of salary and employee benefit costs in providing customer support and other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expenses are as follows</w:t>
      </w:r>
    </w:p>
    <w:p>
      <w:pPr>
        <w:ind w:left="980" w:right="80" w:hanging="243"/>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employee benefits, stock-based compensation and other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expenses, including travel and related expenses, sales promotion expenses, public relations expenses and costs for marketing materials and other marketing events (such as trade shows and advertising);</w:t>
      </w:r>
    </w:p>
    <w:p>
      <w:pPr>
        <w:spacing w:after="0" w:line="181" w:lineRule="exact"/>
        <w:rPr>
          <w:rFonts w:ascii="Arial" w:cs="Arial" w:eastAsia="Arial" w:hAnsi="Arial"/>
          <w:sz w:val="18"/>
          <w:szCs w:val="18"/>
          <w:color w:val="auto"/>
        </w:rPr>
      </w:pPr>
    </w:p>
    <w:p>
      <w:pPr>
        <w:ind w:left="980" w:right="560" w:hanging="243"/>
        <w:spacing w:after="0" w:line="30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which is primarily the expense of developing new software applications and modifying existing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consists principally of salaries, stock-based compensation and 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154" w:lineRule="exact"/>
        <w:rPr>
          <w:rFonts w:ascii="Arial" w:cs="Arial" w:eastAsia="Arial" w:hAnsi="Arial"/>
          <w:sz w:val="16"/>
          <w:szCs w:val="16"/>
          <w:color w:val="auto"/>
        </w:rPr>
      </w:pPr>
    </w:p>
    <w:p>
      <w:pPr>
        <w:ind w:left="980" w:right="240" w:hanging="243"/>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stock-based compensation and benefits for our executive, accounting,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legal, information systems and other administrative personnel. Also included in this category are other general corporate expenses, such as outside legal and accounting services, compliance costs and insurance; and</w:t>
      </w:r>
    </w:p>
    <w:p>
      <w:pPr>
        <w:spacing w:after="0" w:line="181" w:lineRule="exact"/>
        <w:rPr>
          <w:rFonts w:ascii="Arial" w:cs="Arial" w:eastAsia="Arial" w:hAnsi="Arial"/>
          <w:sz w:val="18"/>
          <w:szCs w:val="18"/>
          <w:color w:val="auto"/>
        </w:rPr>
      </w:pPr>
    </w:p>
    <w:p>
      <w:pPr>
        <w:ind w:left="980" w:right="64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primarily for our owned Corporate Campus Headquarters 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we use for information services and in our development and test labs.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94"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Sales outside the United States were approximately 46% of our total revenue for fiscal 2018, 44% for fiscal 2017 and 42% for fiscal 2016.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1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Using the average foreign currency exchange rates from fiscal 2017, our software and products revenue would have been lower by $7.3 million, our services revenue would have been lower by $5.9 million, our cost of sales would have been lower by $2.3 million and our operating expenses would have been lower by $6.3 million from non-U.S. operations for fiscal 2018.</w:t>
      </w:r>
    </w:p>
    <w:p>
      <w:pPr>
        <w:spacing w:after="0" w:line="12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Using the average foreign currency exchange rates from fiscal 2016, our software and products revenue would have been higher by $5.3 million, our services revenue would have been higher by $4.1 million, our cost of sales would have been higher by $0.3 million and our operating expenses would have been higher by $10.6 million from non-U.S. operations for fiscal 2017.</w:t>
      </w:r>
    </w:p>
    <w:p>
      <w:pPr>
        <w:spacing w:after="0" w:line="12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gains of $0.1 million in fiscal 2018, $0.6 million in fiscal 2017, and $0.2 million in fiscal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1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account for revenue in accordance with ASC Topic 606, Revenue from Contracts with Customers. Our revenue recognition policies require us to make significant judgments and estimates. In applying our revenue recognition policy, we must determine which portions of our revenue are recognized currently (generally software and products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4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derive revenue from two primary sources: software and products, and services. Services include customer support (software updates and technical support), consulting, assessment and design services, installation services and customer education. A typical contract includes both licenses and services.</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software licenses typically provide for a perpetual right to use our software. We also sell term-based software licenses that expire, which are referred to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 is functional intellectual property that is distinct as the user can benefit from the software on its own. Software and product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subscription period.</w:t>
      </w:r>
    </w:p>
    <w:p>
      <w:pPr>
        <w:spacing w:after="0" w:line="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fiscal 2018, we also started selling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Revenue to date related to appliances has not been significant.</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products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07" w:right="239" w:bottom="1440" w:gutter="0" w:footer="0" w:header="0"/>
        </w:sectPr>
      </w:pPr>
    </w:p>
    <w:bookmarkStart w:id="39" w:name="page40"/>
    <w:bookmarkEnd w:id="39"/>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4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20"/>
          </w:cols>
          <w:pgMar w:left="240" w:top="368" w:right="239" w:bottom="1440" w:gutter="0" w:footer="0" w:header="0"/>
        </w:sectPr>
      </w:pPr>
    </w:p>
    <w:p>
      <w:pPr>
        <w:spacing w:after="0" w:line="63"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40" w:space="460"/>
            <w:col w:w="532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Appliances</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When control of the appliances passes to the</w:t>
            </w: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90 days of delivery except Residual approach</w:t>
            </w:r>
          </w:p>
        </w:tc>
      </w:tr>
      <w:tr>
        <w:trPr>
          <w:trHeight w:val="216"/>
        </w:trPr>
        <w:tc>
          <w:tcPr>
            <w:tcW w:w="2100" w:type="dxa"/>
            <w:vAlign w:val="bottom"/>
            <w:shd w:val="clear" w:color="auto" w:fill="CCEEFF"/>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certain subscriptions which</w:t>
            </w:r>
          </w:p>
        </w:tc>
      </w:tr>
      <w:tr>
        <w:trPr>
          <w:trHeight w:val="237"/>
        </w:trPr>
        <w:tc>
          <w:tcPr>
            <w:tcW w:w="2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are paid for over time</w:t>
            </w:r>
          </w:p>
        </w:tc>
      </w:tr>
      <w:tr>
        <w:trPr>
          <w:trHeight w:val="243"/>
        </w:trPr>
        <w:tc>
          <w:tcPr>
            <w:tcW w:w="2100" w:type="dxa"/>
            <w:vAlign w:val="bottom"/>
          </w:tcPr>
          <w:p>
            <w:pPr>
              <w:ind w:left="40"/>
              <w:spacing w:after="0"/>
              <w:rPr>
                <w:sz w:val="20"/>
                <w:szCs w:val="20"/>
                <w:color w:val="auto"/>
              </w:rPr>
            </w:pPr>
            <w:r>
              <w:rPr>
                <w:rFonts w:ascii="Arial" w:cs="Arial" w:eastAsia="Arial" w:hAnsi="Arial"/>
                <w:sz w:val="18"/>
                <w:szCs w:val="18"/>
                <w:i w:val="1"/>
                <w:iCs w:val="1"/>
                <w:color w:val="auto"/>
                <w:w w:val="91"/>
              </w:rPr>
              <w:t>Customer Support Revenue</w:t>
            </w:r>
          </w:p>
        </w:tc>
        <w:tc>
          <w:tcPr>
            <w:tcW w:w="3660" w:type="dxa"/>
            <w:vAlign w:val="bottom"/>
          </w:tcPr>
          <w:p>
            <w:pPr>
              <w:spacing w:after="0"/>
              <w:rPr>
                <w:sz w:val="21"/>
                <w:szCs w:val="21"/>
                <w:color w:val="auto"/>
              </w:rPr>
            </w:pPr>
          </w:p>
        </w:tc>
        <w:tc>
          <w:tcPr>
            <w:tcW w:w="5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40"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00" w:space="100"/>
            <w:col w:w="5320"/>
          </w:cols>
          <w:pgMar w:left="240" w:top="368" w:right="239" w:bottom="1440" w:gutter="0" w:footer="0" w:header="0"/>
          <w:type w:val="continuous"/>
        </w:sectPr>
      </w:pPr>
    </w:p>
    <w:p>
      <w:pPr>
        <w:ind w:left="180"/>
        <w:spacing w:after="0"/>
        <w:tabs>
          <w:tab w:leader="none" w:pos="218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00" w:space="100"/>
            <w:col w:w="5320"/>
          </w:cols>
          <w:pgMar w:left="240" w:top="368" w:right="2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Other Professional</w:t>
            </w:r>
          </w:p>
        </w:tc>
        <w:tc>
          <w:tcPr>
            <w:tcW w:w="368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90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Services (except for</w:t>
            </w:r>
          </w:p>
        </w:tc>
        <w:tc>
          <w:tcPr>
            <w:tcW w:w="3680" w:type="dxa"/>
            <w:vAlign w:val="bottom"/>
          </w:tcPr>
          <w:p>
            <w:pPr>
              <w:spacing w:after="0"/>
              <w:rPr>
                <w:sz w:val="18"/>
                <w:szCs w:val="18"/>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performed</w:t>
            </w:r>
          </w:p>
        </w:tc>
        <w:tc>
          <w:tcPr>
            <w:tcW w:w="290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education services)</w:t>
            </w:r>
          </w:p>
        </w:tc>
        <w:tc>
          <w:tcPr>
            <w:tcW w:w="3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29"/>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Education Services</w:t>
            </w:r>
          </w:p>
        </w:tc>
        <w:tc>
          <w:tcPr>
            <w:tcW w:w="3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performed</w:t>
            </w:r>
          </w:p>
        </w:tc>
        <w:tc>
          <w:tcPr>
            <w:tcW w:w="2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7"/>
        </w:trPr>
        <w:tc>
          <w:tcPr>
            <w:tcW w:w="19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As of March 31, 2018, we maintain two stock incentive plans, which are described more fully in Note 9 of our </w:t>
      </w:r>
      <w:r>
        <w:rPr>
          <w:rFonts w:ascii="Arial" w:cs="Arial" w:eastAsia="Arial" w:hAnsi="Arial"/>
          <w:sz w:val="16"/>
          <w:szCs w:val="16"/>
          <w:i w:val="1"/>
          <w:iCs w:val="1"/>
          <w:color w:val="auto"/>
        </w:rPr>
        <w:t>“Notes to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We account for our stock incentive plans based on the grant date fair value recognition provisions in accordance with ASC 718.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share-based payment awards is generally recognized on a straight-line basis over the requisite service period of the awards, which is generally the vesting period. However, awards granted to senior executives that include market or performance conditions are recognized using the accelerated method. In March 2016, the FASB issued ASU No. 2016-09, Improvements to Employee Share-Based Payment Accounting (Topic 718), which simplified the accounting for share-based payment transactions, including related accounting for income taxes, forfeitures, and classification in the statement of cash flows. In connection with the adoption of this guidance we elected an accounting policy to account for forfeitures as they occur. The guidance also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w:t>
      </w:r>
    </w:p>
    <w:p>
      <w:pPr>
        <w:spacing w:after="0" w:line="11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fiscal 2018, we granted 107,000 performance restricted stock units (PSU) to certain executives. Vesting of these awards is contingent upon i) the Company meeting certain company-wide revenue and non-GAAP performance goals (performance-based) in fiscal 2018 and ii) the Company's customary service periods. The awards vest over three years and have a maximum potential to vest at 200% (214,000 shares) based on actual fiscal 2018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w:t>
      </w:r>
    </w:p>
    <w:p>
      <w:pPr>
        <w:spacing w:after="0" w:line="12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fiscal 2018, we granted 88,000 market performance stock units to certain executives. The vesting of these awards is contingent upon meeting certain total shareholder return (TSR) levels as compared to a market index over the next three years. The awards vest in three annual tranches and have a maximum potential to vest at 200% (176,000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year was $78.28.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type w:val="continuous"/>
        </w:sectPr>
      </w:pPr>
    </w:p>
    <w:bookmarkStart w:id="40" w:name="page41"/>
    <w:bookmarkEnd w:id="40"/>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ASC 740, deferred income taxes arise from temporary differences between the tax basis of assets and liabilities and their reported amounts. Valuation allowances are established when, in the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 During the year ended March 31, 2018 we concluded that based on the amount, and trend, of pre-tax loss in recent fiscal years it is more likely than not that we will not realize the benefits of its gross deferred tax assets and therefore have recorded a valuation allowance to reduce the carrying value of these gross deferred tax assets, net of the impact of the reversal of taxable temporary differences, to zero. The valuation allowance is material to our financial statements. In the future, changes to our estimates regarding the realizability of our gross deferred tax assets could materially impact our results of operations.</w:t>
      </w:r>
    </w:p>
    <w:p>
      <w:pPr>
        <w:spacing w:after="0" w:line="11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including such major jurisdictions as the United States, Australia, Canada, Germany, Netherlands and United Kingdom.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Research and development expenditures are charged to operations as incurred.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are immaterial.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commissions and related payroll taxes earned by our employees are considered incremental and recoverable costs of obtaining a contract with a customer. Our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are expensed at the time of sale, when revenue for the functional software license is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sold as part of the transaction. The costs related to professional services are amortized within one quarter following the date of the related software sale, which is typically the period the related professional services are provided and revenue is recognized. If we were to change our estimate of the period of benefit of these deferred costs it would impact our results of operations.</w:t>
      </w:r>
    </w:p>
    <w:p>
      <w:pPr>
        <w:spacing w:after="0" w:line="183"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Costs related to software updates and support for term-based, or subscription software licenses, are limited to the contractual period of the arrangement as we intend to pay a commensurate commission upon renewal of the subscription license and related updates and support.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2018 compared to fiscal year ended March 31, 2017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$54.4 million, or 8%, from $645.0 million in fiscal 2017 to $699.4 million in fiscal 2018.</w:t>
      </w:r>
    </w:p>
    <w:p>
      <w:pPr>
        <w:spacing w:after="0" w:line="17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i w:val="1"/>
          <w:iCs w:val="1"/>
          <w:color w:val="auto"/>
        </w:rPr>
        <w:t xml:space="preserve">Software and Products Revenue. </w:t>
      </w:r>
      <w:r>
        <w:rPr>
          <w:rFonts w:ascii="Arial" w:cs="Arial" w:eastAsia="Arial" w:hAnsi="Arial"/>
          <w:sz w:val="17"/>
          <w:szCs w:val="17"/>
          <w:color w:val="auto"/>
        </w:rPr>
        <w:t>Software and products revenue increased $21.1 million, or 7%, from $290.7 million in fiscal 2017 to $311.7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2018. Software and products revenue represented 45% of our total revenues in fiscal 2018 and fiscal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11" w:right="239" w:bottom="1440" w:gutter="0" w:footer="0" w:header="0"/>
        </w:sectPr>
      </w:pPr>
    </w:p>
    <w:bookmarkStart w:id="41" w:name="page42"/>
    <w:bookmarkEnd w:id="41"/>
    <w:p>
      <w:pPr>
        <w:ind w:right="20" w:firstLine="648"/>
        <w:spacing w:after="0" w:line="273" w:lineRule="auto"/>
        <w:rPr>
          <w:sz w:val="20"/>
          <w:szCs w:val="20"/>
          <w:color w:val="auto"/>
        </w:rPr>
      </w:pPr>
      <w:r>
        <w:rPr>
          <w:rFonts w:ascii="Arial" w:cs="Arial" w:eastAsia="Arial" w:hAnsi="Arial"/>
          <w:sz w:val="17"/>
          <w:szCs w:val="17"/>
          <w:color w:val="auto"/>
        </w:rPr>
        <w:t>The overall increase in software and products revenue was primarily driven by an increase in the amount of enterprise transaction revenue (transactions greater than $0.1 million), which increased by $21.2 million, or 13% in fiscal 2018 compared to fiscal 2017. Enterprise transactions represented approximately 59% and 56% of our software and products revenue in fiscal 2018 and fiscal 2017, respectively. The increase in enterprise transactions is due to a 1% increase in the number of transactions of this type and by a 12% increase in the average dollar amount of such transactions. The average dollar amount of enterprise transactions was approximately $292,000 in fiscal 2018 and approximately $261,000 in fiscal 2017. Software and products revenue derived from transactions less than $0.1 million decreased $0.1 million, in fiscal 2018 compared to fiscal 2017.</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54%, 32% and 14% of total software and products revenue, respectively, for the fiscal year ended March 31, 2018. The year over year increase of Software and Products Revenue in the Americas, EMEA and APAC was flat, 22% and 9%, respectively.</w:t>
      </w:r>
    </w:p>
    <w:p>
      <w:pPr>
        <w:spacing w:after="0" w:line="133" w:lineRule="exact"/>
        <w:rPr>
          <w:sz w:val="20"/>
          <w:szCs w:val="20"/>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enterprise revenue transactions increased in the Americas year over year, resulting in a slight increase in total enterprise transaction revenue. This increase was offset by a decline in non-enterprise transaction revenue.</w:t>
      </w:r>
    </w:p>
    <w:p>
      <w:pPr>
        <w:spacing w:after="0" w:line="116"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EMEA software and products revenue was primarily the result of an increase in the number of enterprise transactions. This increase was also caused by the impact of changes in foreign exchange rates as the U.S. dollar weakened against the Euro and British pound sterling. Using average foreign exchange rates from fiscal 2017, fiscal 2018 EMEA software and products revenue would have increased 15% compared to an actual reported EMEA software and products revenue increase of 22%.</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the result of an increase in revenue from non-enterprise transactions.</w:t>
      </w:r>
    </w:p>
    <w:p>
      <w:pPr>
        <w:spacing w:after="0" w:line="17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Our software and products revenue in EMEA and APAC is subject to changes in foreign exchange rates as more fully discussed above in the </w:t>
      </w:r>
      <w:r>
        <w:rPr>
          <w:rFonts w:ascii="Arial" w:cs="Arial" w:eastAsia="Arial" w:hAnsi="Arial"/>
          <w:sz w:val="18"/>
          <w:szCs w:val="18"/>
          <w:i w:val="1"/>
          <w:iCs w:val="1"/>
          <w:color w:val="auto"/>
        </w:rPr>
        <w:t xml:space="preserve">“Foreign Currency Exchange Rates’ Impact on Results of Operations” </w:t>
      </w:r>
      <w:r>
        <w:rPr>
          <w:rFonts w:ascii="Arial" w:cs="Arial" w:eastAsia="Arial" w:hAnsi="Arial"/>
          <w:sz w:val="18"/>
          <w:szCs w:val="18"/>
          <w:color w:val="auto"/>
        </w:rPr>
        <w:t>section.</w:t>
      </w:r>
    </w:p>
    <w:p>
      <w:pPr>
        <w:spacing w:after="0" w:line="11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Software and products revenue derived from our indirect distribution channel (resellers and original equipment manufacturers) increased $16.1 million, or 6% in fiscal 2018 compared to fiscal 2017, and software and products revenue through our direct sales force increased $5.0 million, or 13% in fiscal 2018 compared to fiscal 2017. For additional discussion on software and products revenue derived from our direct sales force see the </w:t>
      </w:r>
      <w:r>
        <w:rPr>
          <w:rFonts w:ascii="Arial" w:cs="Arial" w:eastAsia="Arial" w:hAnsi="Arial"/>
          <w:sz w:val="18"/>
          <w:szCs w:val="18"/>
          <w:i w:val="1"/>
          <w:iCs w:val="1"/>
          <w:color w:val="auto"/>
        </w:rPr>
        <w:t>“Sources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section.</w:t>
      </w:r>
    </w:p>
    <w:p>
      <w:pPr>
        <w:spacing w:after="0" w:line="13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 xml:space="preserve">Services Revenue. </w:t>
      </w:r>
      <w:r>
        <w:rPr>
          <w:rFonts w:ascii="Arial" w:cs="Arial" w:eastAsia="Arial" w:hAnsi="Arial"/>
          <w:sz w:val="16"/>
          <w:szCs w:val="16"/>
          <w:color w:val="auto"/>
        </w:rPr>
        <w:t>Services revenue increased $33.3 million, or 9%, from $354.3 million in fiscal 2017 to $387.6 million in fiscal 2018.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represented 55% of our total revenues in fiscal 2018 and fiscal 2017. The net increase in services revenue is due to a $31.2 million increase in revenue from customer support agreements as a result of software sales to new customers and renewal agreements with our installed software base.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Revenues</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Total cost of revenues increased $13.0 million, or 15%, from $85.2 million in fiscal 2017 to $98.2 million in fiscal 2018. Total cost of revenues represented 14% of our total revenues in fiscal 2018 compared to 13% in fiscal 2017. The increase in cost of revenues as a percentage of total revenue was driven by sales of our Hyperscale Appliances.</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Cost of Software and Products Revenue. </w:t>
      </w:r>
      <w:r>
        <w:rPr>
          <w:rFonts w:ascii="Arial" w:cs="Arial" w:eastAsia="Arial" w:hAnsi="Arial"/>
          <w:sz w:val="18"/>
          <w:szCs w:val="18"/>
          <w:color w:val="auto"/>
        </w:rPr>
        <w:t>Cost of software and products revenue was $7.2 million in fiscal 2018 and $3.0 million in fiscal 2017,</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approximately 2% of software and products revenue in fiscal 2018 compared to 1% in fiscal 2017. The increase in cost of software and products revenue is primarily related to additional costs associated with appliance product offerings. As sales of our appliances continue to ramp, we expect the cost of software and products as a percentage of software and products revenue will increase.</w:t>
      </w:r>
    </w:p>
    <w:p>
      <w:pPr>
        <w:spacing w:after="0" w:line="13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increased $8.8 million, or 11%, from $82.1 million in fiscal 2017 to $90.9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2018. Cost of services revenue represented 23% of our services revenue in fiscal 2018 and fiscal 2017.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530" w:right="29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$26.8 million, or 7%, from $383.9 million in fiscal 2017 to $410.7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is primarily due to a $24.2 million increase in employee compensation and related expenses attributable to the expansion of our sales force from the prior year and a $2.9 million increase in stock-based compensation. Sales and marketing expenses as a percentage of total revenues decreased to 59% in fiscal 2018 compared to 60% in fiscal 2017.</w:t>
      </w:r>
    </w:p>
    <w:p>
      <w:pPr>
        <w:spacing w:after="0" w:line="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$10.6 million, or 13%, from $83.5 million in fiscal 2017 to $94.2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fiscal 2018. The increase is primarily due to an increase in employee compensation and related expenses attributable to the expansion of our engineering group from the prior year. Research and development expenses as a percentage of total revenues remained at 13% in fiscal 2018 and fiscal 2017. Investing in research and development has been a priority for Commvault, and we anticipate continued spending related to the development of our data and information management software applications.</w:t>
      </w:r>
    </w:p>
    <w:p>
      <w:pPr>
        <w:spacing w:after="0" w:line="5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$2.6 million, or 3%, from $84.9 million in fiscal 2017 to $87.6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2018. This increase is primarily due to increases in employee and related compensation. General and administrative expenses in fiscal 2018 includes $0.1 million of net foreign currency transaction gains compared to $0.6 million of net foreign currency transaction gains recognized in general and administrative expenses in fiscal 2017. General and administrative expenses as a percentage of total revenues was 13% in both fiscal 2018 and fiscal 2017.</w:t>
      </w:r>
    </w:p>
    <w:p>
      <w:pPr>
        <w:spacing w:after="0" w:line="19"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18"/>
          <w:szCs w:val="18"/>
          <w:i w:val="1"/>
          <w:iCs w:val="1"/>
          <w:color w:val="auto"/>
        </w:rPr>
        <w:t>Depreciation and Amortization.</w:t>
      </w:r>
      <w:r>
        <w:rPr>
          <w:sz w:val="20"/>
          <w:szCs w:val="20"/>
          <w:color w:val="auto"/>
        </w:rPr>
        <w:tab/>
      </w:r>
      <w:r>
        <w:rPr>
          <w:rFonts w:ascii="Arial" w:cs="Arial" w:eastAsia="Arial" w:hAnsi="Arial"/>
          <w:sz w:val="16"/>
          <w:szCs w:val="16"/>
          <w:color w:val="auto"/>
        </w:rPr>
        <w:t>Depreciation expense increased $1.1 million, from $8.6 million in fiscal 2017 to $9.7 million in fiscal 2018.</w:t>
      </w:r>
    </w:p>
    <w:p>
      <w:pPr>
        <w:spacing w:after="0" w:line="104" w:lineRule="exact"/>
        <w:rPr>
          <w:sz w:val="20"/>
          <w:szCs w:val="20"/>
          <w:color w:val="auto"/>
        </w:rPr>
      </w:pPr>
    </w:p>
    <w:p>
      <w:pPr>
        <w:jc w:val="both"/>
        <w:ind w:right="140" w:firstLine="648"/>
        <w:spacing w:after="0" w:line="275" w:lineRule="auto"/>
        <w:rPr>
          <w:sz w:val="20"/>
          <w:szCs w:val="20"/>
          <w:color w:val="auto"/>
        </w:rPr>
      </w:pPr>
      <w:r>
        <w:rPr>
          <w:rFonts w:ascii="Arial" w:cs="Arial" w:eastAsia="Arial" w:hAnsi="Arial"/>
          <w:sz w:val="18"/>
          <w:szCs w:val="18"/>
          <w:i w:val="1"/>
          <w:iCs w:val="1"/>
          <w:color w:val="auto"/>
        </w:rPr>
        <w:t xml:space="preserve">Subsequent Event . </w:t>
      </w:r>
      <w:r>
        <w:rPr>
          <w:rFonts w:ascii="Arial" w:cs="Arial" w:eastAsia="Arial" w:hAnsi="Arial"/>
          <w:sz w:val="18"/>
          <w:szCs w:val="18"/>
          <w:color w:val="auto"/>
        </w:rPr>
        <w:t>On May 1, 2018 we announced a restructuring plan to increase efficiency in our sales, marketing and distribution functions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reduce costs across all functional areas. As part of this strategic initiative, our workforce will be reduced by approximately 4%. We expect to incur total pre-tax charges of approximately $6.0 to $8.0 million, most of which will be recognized in the first quarter of fiscal 2019. These restructuring charges relate primarily to severance and related costs associated with headcount reductions.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Interest expense of $1.2 million in fiscal 2018 was related to the amortization of debt issuance costs and commitment fees related to our Revolving Credit Facility. Fiscal 2018 includes additional amortization due to the termination of the revolving credit facility in February 2018.</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income increased $1.1 million, from $1.2 million in fiscal 2017 to $2.2 million in fiscal 2018. The increase was the result of an increase in short term investments and increased yield on those investments. Our short term investments are in U.S. Treasury Bills.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in Loss of Affiliate</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fiscal 2018 we identified an indicator of impairment related to our investment in Laitek, Inc. (Laitek), which is accounted for using the equity method. As a result, we impaired the investment to our estimate of fair value, which was zero. We will not provide for additional losses of Laitek as we have not guaranteed any obligations of Laitek or committed to providing financial support.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Income tax expense was $58.4 million in fiscal 2018 compared to a benefit of $1.5 million in fiscal 2017. The increase in income tax expense was primarily the result of the combined impact of the lower U.S. corporate income tax rate on deferred tax assets and recording a valuation allowance against the remaining value of net deferred tax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March 31, 2017 compared to fiscal year ended March 31, 2016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$51.2 million, or 9%, from $593.8 million in fiscal 2016 to $645.0 million in fiscal 2017.</w:t>
      </w:r>
    </w:p>
    <w:p>
      <w:pPr>
        <w:spacing w:after="0" w:line="17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i w:val="1"/>
          <w:iCs w:val="1"/>
          <w:color w:val="auto"/>
        </w:rPr>
        <w:t xml:space="preserve">Software and Products Revenue. </w:t>
      </w:r>
      <w:r>
        <w:rPr>
          <w:rFonts w:ascii="Arial" w:cs="Arial" w:eastAsia="Arial" w:hAnsi="Arial"/>
          <w:sz w:val="17"/>
          <w:szCs w:val="17"/>
          <w:color w:val="auto"/>
        </w:rPr>
        <w:t>Software and products revenue increased $32.6 million, or 13%, from $258.1 million in fiscal 2016 to $290.7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2017. Software and products revenue represented 45% of our total revenues in fiscal 2017 compared to 43% in fiscal 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11" w:right="259" w:bottom="1440" w:gutter="0" w:footer="0" w:header="0"/>
        </w:sectPr>
      </w:pPr>
    </w:p>
    <w:bookmarkStart w:id="43" w:name="page44"/>
    <w:bookmarkEnd w:id="43"/>
    <w:p>
      <w:pPr>
        <w:ind w:right="140" w:firstLine="648"/>
        <w:spacing w:after="0" w:line="293" w:lineRule="auto"/>
        <w:rPr>
          <w:sz w:val="20"/>
          <w:szCs w:val="20"/>
          <w:color w:val="auto"/>
        </w:rPr>
      </w:pPr>
      <w:r>
        <w:rPr>
          <w:rFonts w:ascii="Arial" w:cs="Arial" w:eastAsia="Arial" w:hAnsi="Arial"/>
          <w:sz w:val="16"/>
          <w:szCs w:val="16"/>
          <w:color w:val="auto"/>
        </w:rPr>
        <w:t>The overall increase in software and products revenue was primarily driven by an increase in the number of enterprise transactions (transactions greater than $0.1 million), which increased by $26.1 million, or 19% in fiscal 2017 compared to fiscal 2016. Enterprise transactions represented approximately 56% and 54% of our software and products revenue in fiscal 2017 and fiscal 2016, respectively. The increase in enterprise transactions is due to a 23% increase in the number of transactions of this type which was partially offset by a 3% decrease in the average dollar amount of such transactions. The average dollar amount of enterprise transactions was approximately $261,000 in fiscal 2017 and approximately $269,000 in fiscal 2016. Software and products revenue derived from transactions less than $0.1 million increased $6.5 million, or 5%, in fiscal 2017 compared to fiscal 2016.</w:t>
      </w:r>
    </w:p>
    <w:p>
      <w:pPr>
        <w:spacing w:after="0" w:line="1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58%, 28% and 14% of total software and products revenue, respectively, for the fiscal year ended March 31, 2017. The year over year increase of Software and Products Revenue in the Americas, EMEA and APAC was 10%, 9% and 36%, respectively.</w:t>
      </w:r>
    </w:p>
    <w:p>
      <w:pPr>
        <w:spacing w:after="0" w:line="117" w:lineRule="exact"/>
        <w:rPr>
          <w:sz w:val="20"/>
          <w:szCs w:val="20"/>
          <w:color w:val="auto"/>
        </w:rPr>
      </w:pPr>
    </w:p>
    <w:p>
      <w:pPr>
        <w:ind w:left="660" w:right="220" w:hanging="328"/>
        <w:spacing w:after="0" w:line="381"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increase in Americas software and products revenue for the fiscal year ended March 31, 2017 was primarily the result of an increase in the number of enterprise revenue transactions and to a lesser extent due to an increase in the average dollar amount of enterprise revenue transactions.</w:t>
      </w:r>
    </w:p>
    <w:p>
      <w:pPr>
        <w:spacing w:after="0" w:line="46" w:lineRule="exact"/>
        <w:rPr>
          <w:rFonts w:ascii="Arial" w:cs="Arial" w:eastAsia="Arial" w:hAnsi="Arial"/>
          <w:sz w:val="15"/>
          <w:szCs w:val="15"/>
          <w:color w:val="auto"/>
        </w:rPr>
      </w:pPr>
    </w:p>
    <w:p>
      <w:pPr>
        <w:ind w:left="660" w:right="2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EMEA software and products revenue was also primarily the result of an increase in the number of enterprise transactions. This increase was partially offset by the impact of changes in foreign exchange rates as the U.S. dollar strengthened against the Euro and British pound sterling.</w:t>
      </w:r>
    </w:p>
    <w:p>
      <w:pPr>
        <w:spacing w:after="0" w:line="12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APAC software and products revenue was the result of a significant increase in the number of enterprise revenue transactions and to a lesser extent due to an increase in the average dollar amount of enterprise revenue transactions and revenue related to revenue derived from transactions less than $0.1 million.</w:t>
      </w:r>
    </w:p>
    <w:p>
      <w:pPr>
        <w:spacing w:after="0" w:line="12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Our software and products revenue in EMEA and APAC is subject to changes in foreign exchange rates as more fully discussed above in the </w:t>
      </w:r>
      <w:r>
        <w:rPr>
          <w:rFonts w:ascii="Arial" w:cs="Arial" w:eastAsia="Arial" w:hAnsi="Arial"/>
          <w:sz w:val="18"/>
          <w:szCs w:val="18"/>
          <w:i w:val="1"/>
          <w:iCs w:val="1"/>
          <w:color w:val="auto"/>
        </w:rPr>
        <w:t xml:space="preserve">“Foreign Currency Exchange Rates’ Impact on Results of Operations” </w:t>
      </w:r>
      <w:r>
        <w:rPr>
          <w:rFonts w:ascii="Arial" w:cs="Arial" w:eastAsia="Arial" w:hAnsi="Arial"/>
          <w:sz w:val="18"/>
          <w:szCs w:val="18"/>
          <w:color w:val="auto"/>
        </w:rPr>
        <w:t>section.</w:t>
      </w:r>
    </w:p>
    <w:p>
      <w:pPr>
        <w:spacing w:after="0" w:line="11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$18.7 million, or 6%, from $335.7 million in fiscal 2016 to $354.3 million in fiscal 2017.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represented 55% of our total revenues in fiscal 2017 compared to 57% in fiscal 2016. The net increase in services revenue is due to a $20.5 million increase in revenue from customer support agreements as a result of software sales to new customers and renewal agreements with our installed software base.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Revenues</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Total cost of revenues increased $2.5 million, or 3%, from $82.7 million in fiscal 2016 to $85.2 million in fiscal 2017. Total cost of revenues represented 13% of our total revenues in fiscal 2017 compared to 14% in fiscal 2016. The increase in software and products revenue as a percentage of total revenues has a favorable impact on gross margin percentage.</w:t>
      </w:r>
    </w:p>
    <w:p>
      <w:pPr>
        <w:spacing w:after="0" w:line="12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Cost of Software and Products Revenue. </w:t>
      </w:r>
      <w:r>
        <w:rPr>
          <w:rFonts w:ascii="Arial" w:cs="Arial" w:eastAsia="Arial" w:hAnsi="Arial"/>
          <w:sz w:val="18"/>
          <w:szCs w:val="18"/>
          <w:color w:val="auto"/>
        </w:rPr>
        <w:t>Cost of software and products revenue was $3.0 million in fiscal 2017 and $2.4 million in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approximately 1% of software and products revenue.</w:t>
      </w:r>
    </w:p>
    <w:p>
      <w:pPr>
        <w:spacing w:after="0" w:line="116"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i w:val="1"/>
          <w:iCs w:val="1"/>
          <w:color w:val="auto"/>
        </w:rPr>
        <w:t>Cost of Services Revenue.</w:t>
      </w:r>
      <w:r>
        <w:rPr>
          <w:sz w:val="20"/>
          <w:szCs w:val="20"/>
          <w:color w:val="auto"/>
        </w:rPr>
        <w:tab/>
      </w:r>
      <w:r>
        <w:rPr>
          <w:rFonts w:ascii="Arial" w:cs="Arial" w:eastAsia="Arial" w:hAnsi="Arial"/>
          <w:sz w:val="16"/>
          <w:szCs w:val="16"/>
          <w:color w:val="auto"/>
        </w:rPr>
        <w:t>Cost of services revenue increased $1.8 million, or 2%, from $80.3 million in fiscal 2016 to $82.1 million in fiscal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revenue represented 23% and 24% of our services revenue in fiscal 2017 and fiscal 2016, respectively.</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$34.7 million, or 10%, from $349.2 million in fiscal 2016 to $383.9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increase is primarily due to a $20.4 million increase in employee compensation and related expenses attributable to the expansion of our sales force from the prior year, a $5.4 million increase in stock-based compensation, and $4.3 million in incremental marketing expense which included the cost of our inaugural customer conference as well as our first worldwide sales meeting in several years held during the first quarter. Sales and marketing expenses as a percentage of total revenues increased to 60% in fiscal 2017 compared to 59% in fiscal 2016.</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30" w:right="259" w:bottom="1440" w:gutter="0" w:footer="0" w:header="0"/>
        </w:sectPr>
      </w:pPr>
    </w:p>
    <w:bookmarkStart w:id="44" w:name="page45"/>
    <w:bookmarkEnd w:id="44"/>
    <w:p>
      <w:pPr>
        <w:ind w:right="300"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$14.3 million, or 21%, from $69.3 million in fiscal 2016 to $83.5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2017. The increase is primarily due to an increase in employee compensation and related expenses attributable to the expansion of our engineering group from the prior year. Research and development expenses as a percentage of total revenues increased to 13% in fiscal 2017 compared to 12% in fiscal 2016. Investing in research and development has been a priority for Commvault, and we anticipate continued spending related to the development of our data and information management software applications.</w:t>
      </w:r>
    </w:p>
    <w:p>
      <w:pPr>
        <w:spacing w:after="0" w:line="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$6.1 million, or 8%, from $78.8 million in fiscal 2016 to $84.9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2017. This increase is primarily due to a $3.5 million increase in employee and related compensation and a $2.9 million increase in stock-based compensation. General and administrative expenses in fiscal 2017 includes $0.6 million of net foreign currency transaction gains compared to $0.2 million of net foreign currency transaction gains recognized in general and administrative expenses in fiscal 2016. General and administrative expenses as a percentage of total revenues was 13% in both fiscal 2017 and fiscal 2016.</w:t>
      </w:r>
    </w:p>
    <w:p>
      <w:pPr>
        <w:spacing w:after="0" w:line="53"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18"/>
          <w:szCs w:val="18"/>
          <w:i w:val="1"/>
          <w:iCs w:val="1"/>
          <w:color w:val="auto"/>
        </w:rPr>
        <w:t>Depreciation and Amortization.</w:t>
      </w:r>
      <w:r>
        <w:rPr>
          <w:sz w:val="20"/>
          <w:szCs w:val="20"/>
          <w:color w:val="auto"/>
        </w:rPr>
        <w:tab/>
      </w:r>
      <w:r>
        <w:rPr>
          <w:rFonts w:ascii="Arial" w:cs="Arial" w:eastAsia="Arial" w:hAnsi="Arial"/>
          <w:sz w:val="16"/>
          <w:szCs w:val="16"/>
          <w:color w:val="auto"/>
        </w:rPr>
        <w:t>Depreciation expense decreased $1.0 million, from $9.6 million in fiscal 2016 to $8.6 million in fiscal 2017.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of $1.0 million in fiscal 2017 was related to the amortization of debt issuance costs and commitment fees related to our Revolving Credit Facility.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Interest income increased $0.3 million, from $0.9 million in fiscal 2016 to $1.2 million in fiscal 2017. The increase was the result of an increase in short term investments and increased yield on those investments. Our short term investments are in U.S. Treasury Bills.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Income tax benefit was $1.5 million in fiscal 2017 compared to expense of $2.2 million in fiscal 2016. The decline in income tax expense is the result of a decline in income before taxes. In fiscal 2017, the effective tax rate is higher than the statutory rate due to the benefit related to research credits slightly offset by unfavorable differences, both on a nominal pre-tax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31, 2018, our cash and cash equivalents balance was $330.8 million. Our $43.5 million of cash equivalents consisted of money market funds. In addition, we have approximately $131.6 million of short-term investments invested in U.S. Treasury Bills. In recent fiscal years, our principal source of liquidity has been cash provided by operations.</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March 31, 2018, the amount of cash and cash equivalents held outside of the United States by our foreign legal entities was approximately $206.8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It is not currently practical to estimate the legal restrictions or tax liability that would arise from such repatriations.</w:t>
      </w:r>
    </w:p>
    <w:p>
      <w:pPr>
        <w:spacing w:after="0" w:line="13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year ended March 31, 2018, we repurchased $112.2 million of common stock (2.1 million shares) under our share repurchase program. 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As of May 3, 2018, there is $112.8 million remaining in the share repurchase program which expires on March 31, 2019. Our stock repurchase program has been funded by our existing cash and cash equivalent balances as well as cash flows provided by our operations.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49" w:right="27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Our summarized annual cash flow information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84,413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(62,189)</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(82,104)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7"/>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41,384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Net cash provided by operating activities was $84.2 million in fiscal 2018, $100.0 million in fiscal 2017 and $84.4 million in fiscal 2016. In fiscal 2018, cash generated by operating activities was primarily due to net loss adjusted for the impact of non-cash charges and increases in deferred services revenue as a result of customer support agreements from new customers and renewal agreements with our installed customer base, partially offset by an increase in accounts receivable. In fiscal 2017, cash generated by operating activities was primarily due to net loss adjusted for the impact of non-cash charges and increases in deferred services revenue as a result of customer support agreements from new customers and renewal agreements with our installed customer base and an increase in accrued expenses, partially offset by an increase in accounts receivable.</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cash used in investing activities was $18.0 million in fiscal 2018, $28.0 million in fiscal 2017 and $62.2 million in fiscal 2016. In fiscal 2018, cash used in investing activities was related to $10.9 million of net purchases of short-term investments of U.S. Treasury Bills, and $7.0 million of capital expenditures as we continue to invest in and enhance our global infrastructure. In fiscal 2017, cash used in investing activities was related to $21.6 million of net purchases of short-term investments of U.S. Treasury Bills, and $6.4 million of capital expenditures as we continue to invest in and enhance our global infrastructure. In fiscal 2016, cash used in investing activities was primarily related to $49.1 million of net purchases of short-term investments of U.S. Treasury Bills, $6.3 million of capital expenditures as we continue to invest in and enhance our global infrastructure and a $4.7 million investment in Laitek, Inc.</w:t>
      </w:r>
    </w:p>
    <w:p>
      <w:pPr>
        <w:spacing w:after="0" w:line="13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Net cash used in financing activities was $82.1 million in fiscal 2018, $22.4 million in fiscal 2017 and $70.0 million in fiscal 2016. The cash used in financing activities in fiscal 2018 was primarily due to $112.2 million used to repurchase shares of our common stock under our repurchase program, partially offset by $30.1 million of proceeds from the exercise of stock options and the employee stock purchase plan. The cash used in financing activities in fiscal 2017 was primarily due to $50.0 million used to repurchase shares of our common stock under our repurchase program, partially offset by $21.3 million of proceeds from the exercise of stock options and the employee stock purchase plan and $6.2 million of excess tax benefits related to employee stock-based compensation. The cash used in financing activities in fiscal 2016 was primarily due to $91.5 million used to repurchase shares of our common stock under our repurchase program, partially offset by $14.8 million of proceeds from the exercise of stock options and the employee stock purchase plan and $6.7 million of excess tax benefits related to employee stock-based compensation.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cash used for the stock repurchase program consists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repurchases (in thousands)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repurchased (in thousands)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price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Working capital increased $4.5 million from $318.1 million as of March 31, 2017 to $322.6 million as of March 31, 2018. The increase in working capital is primarily due to cash provided by operating activities partially offset by cash used for share repurchases during the fiscal year.</w:t>
      </w:r>
    </w:p>
    <w:p>
      <w:pPr>
        <w:spacing w:after="0" w:line="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30" w:right="239" w:bottom="1440" w:gutter="0" w:footer="0" w:header="0"/>
        </w:sectPr>
      </w:pPr>
    </w:p>
    <w:bookmarkStart w:id="46" w:name="page47"/>
    <w:bookmarkEnd w:id="46"/>
    <w:p>
      <w:pPr>
        <w:ind w:right="220"/>
        <w:spacing w:after="0" w:line="259" w:lineRule="auto"/>
        <w:rPr>
          <w:sz w:val="20"/>
          <w:szCs w:val="20"/>
          <w:color w:val="auto"/>
        </w:rPr>
      </w:pPr>
      <w:r>
        <w:rPr>
          <w:rFonts w:ascii="Arial" w:cs="Arial" w:eastAsia="Arial" w:hAnsi="Arial"/>
          <w:sz w:val="18"/>
          <w:szCs w:val="18"/>
          <w:color w:val="auto"/>
        </w:rPr>
        <w:t>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Disclosures about Contractual Obligations and Commercial Commitments</w:t>
      </w:r>
    </w:p>
    <w:p>
      <w:pPr>
        <w:spacing w:after="0" w:line="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material capital commitments consist of obligations under facilities and operating leases. Some of these leases have free or escalating rent payment provisions. We recognize rent expense under leases on a straight-line basis. We anticipate that we will experience an increase in our capital expenditures and lease commitments as a result of our anticipated growth in operations, infrastructure, personnel and resources devoted to building our brand name.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as of March 31, 2018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2-3 Years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4-5 Years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9,858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27,329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20,164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30,022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generally do not enter into binding purchase obligations. The purchase obligations above relate primarily to marketing and IT services. The contractual obligations table above excludes unrecognized tax benefits, plus related interest and penalties totaling $1.1 million because we cannot reasonably estimate in which future periods these amounts will ultimately be settled.</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$4.5 million in fiscal 2018 and $2.6 million in fiscal 2017.</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a 90-day limited product warranty for our software. To date, costs relating to this product warranty have not been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As of March 31, 2018 and 2017,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consolidated financial statements for a discussion of the impact of recently issued accounting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2018, our cash, cash equivalent and short-term investment balances consisted primarily of money market funds and U.S. Treasury Bills. Due to the short-term nature of these investments, we are not subject to any material interest rate risk on these balances.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46% of our sales were outside the United States in fiscal 2018 and 44% were outside the United States in fiscal 2017.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a 10% change in all foreign exchange rates would impact our reported operating profit by approximately $7.1 million annually. This sensitivity analysis disregards the possibilities that rates can move in opposite directions and that losses from one geographic area may be offset by gains from another geographic area.</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4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 We recognized net foreign currency transaction gains of $0.1 million, $0.6 million and $0.2 million in fiscal 2018, fiscal 2017, and fiscal 2016 respectively. The net foreign currency transaction gains and losses recorded in “General and administrative expenses” include settlement gains and losses on forward contracts disclosed below.</w:t>
      </w:r>
    </w:p>
    <w:p>
      <w:pPr>
        <w:spacing w:after="0" w:line="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As of March 31, 2018 and March 31, 2017, we did not have any forward contracts outstanding. We recorded net realized gains and losses in general and administrative of approximately $0.1 million in fiscal 2018, 2017 and 2016. In the future, we may enter into additional foreign currency based hedging contracts to reduce our exposure to significant fluctuations in currency exchange rates on the balance sheet.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4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gridSpan w:val="8"/>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gridSpan w:val="6"/>
          </w:tcPr>
          <w:p>
            <w:pPr>
              <w:jc w:val="center"/>
              <w:ind w:right="2800"/>
              <w:spacing w:after="0"/>
              <w:rPr>
                <w:sz w:val="20"/>
                <w:szCs w:val="20"/>
                <w:color w:val="auto"/>
              </w:rPr>
            </w:pPr>
            <w:r>
              <w:rPr>
                <w:rFonts w:ascii="Arial" w:cs="Arial" w:eastAsia="Arial" w:hAnsi="Arial"/>
                <w:sz w:val="18"/>
                <w:szCs w:val="18"/>
                <w:b w:val="1"/>
                <w:bCs w:val="1"/>
                <w:color w:val="auto"/>
                <w:w w:val="89"/>
              </w:rPr>
              <w:t>Commvault Systems, Inc.</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gridSpan w:val="6"/>
          </w:tcPr>
          <w:p>
            <w:pPr>
              <w:jc w:val="center"/>
              <w:ind w:right="2820"/>
              <w:spacing w:after="0"/>
              <w:rPr>
                <w:sz w:val="20"/>
                <w:szCs w:val="20"/>
                <w:color w:val="auto"/>
              </w:rPr>
            </w:pPr>
            <w:r>
              <w:rPr>
                <w:rFonts w:ascii="Arial" w:cs="Arial" w:eastAsia="Arial" w:hAnsi="Arial"/>
                <w:sz w:val="18"/>
                <w:szCs w:val="18"/>
                <w:b w:val="1"/>
                <w:bCs w:val="1"/>
                <w:color w:val="auto"/>
                <w:w w:val="88"/>
              </w:rPr>
              <w:t>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520" w:type="dxa"/>
            <w:vAlign w:val="bottom"/>
            <w:gridSpan w:val="7"/>
          </w:tcPr>
          <w:p>
            <w:pPr>
              <w:jc w:val="center"/>
              <w:ind w:right="1860"/>
              <w:spacing w:after="0"/>
              <w:rPr>
                <w:sz w:val="20"/>
                <w:szCs w:val="20"/>
                <w:color w:val="auto"/>
              </w:rPr>
            </w:pPr>
            <w:r>
              <w:rPr>
                <w:rFonts w:ascii="Arial" w:cs="Arial" w:eastAsia="Arial" w:hAnsi="Arial"/>
                <w:sz w:val="18"/>
                <w:szCs w:val="18"/>
                <w:b w:val="1"/>
                <w:bCs w:val="1"/>
                <w:color w:val="auto"/>
                <w:w w:val="90"/>
              </w:rPr>
              <w:t>Fiscal Years Ended March 31, 2018, 2017 and 2016</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gridSpan w:val="6"/>
          </w:tcPr>
          <w:p>
            <w:pPr>
              <w:jc w:val="center"/>
              <w:ind w:right="28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4"/>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76"/>
        </w:trPr>
        <w:tc>
          <w:tcPr>
            <w:tcW w:w="3800" w:type="dxa"/>
            <w:vAlign w:val="bottom"/>
            <w:tcBorders>
              <w:bottom w:val="single" w:sz="8" w:color="0000EE"/>
            </w:tcBorders>
            <w:gridSpan w:val="3"/>
          </w:tcPr>
          <w:p>
            <w:pPr>
              <w:spacing w:after="0" w:line="155" w:lineRule="exact"/>
              <w:rPr>
                <w:rFonts w:ascii="Arial" w:cs="Arial" w:eastAsia="Arial" w:hAnsi="Arial"/>
                <w:sz w:val="16"/>
                <w:szCs w:val="16"/>
                <w:color w:val="0000EE"/>
                <w:w w:val="92"/>
              </w:rPr>
            </w:pPr>
            <w:hyperlink w:anchor="page50">
              <w:r>
                <w:rPr>
                  <w:rFonts w:ascii="Arial" w:cs="Arial" w:eastAsia="Arial" w:hAnsi="Arial"/>
                  <w:sz w:val="16"/>
                  <w:szCs w:val="16"/>
                  <w:color w:val="0000EE"/>
                  <w:w w:val="92"/>
                </w:rPr>
                <w:t>Report of Independent Registered Public Accounting Firm</w:t>
              </w:r>
            </w:hyperlink>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8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5980" w:type="dxa"/>
            <w:vAlign w:val="bottom"/>
            <w:gridSpan w:val="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Consolidated Balance Sheets as of March 31, 2018 and 2017 (as adjusted)</w:t>
              </w:r>
            </w:hyperlink>
          </w:p>
        </w:tc>
        <w:tc>
          <w:tcPr>
            <w:tcW w:w="4380" w:type="dxa"/>
            <w:vAlign w:val="bottom"/>
            <w:gridSpan w:val="4"/>
          </w:tcPr>
          <w:p>
            <w:pPr>
              <w:spacing w:after="0"/>
              <w:rPr>
                <w:sz w:val="19"/>
                <w:szCs w:val="19"/>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3"/>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480" w:type="dxa"/>
            <w:vAlign w:val="bottom"/>
            <w:gridSpan w:val="7"/>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Consolidated Statements of Operations for the years ended March 31, 2018, 2017 and 2016 (as adjusted)</w:t>
              </w:r>
            </w:hyperlink>
          </w:p>
        </w:tc>
        <w:tc>
          <w:tcPr>
            <w:tcW w:w="288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3"/>
            <w:shd w:val="clear" w:color="auto" w:fill="0000EE"/>
          </w:tcPr>
          <w:p>
            <w:pPr>
              <w:spacing w:after="0"/>
              <w:rPr>
                <w:sz w:val="2"/>
                <w:szCs w:val="2"/>
                <w:color w:val="auto"/>
              </w:rPr>
            </w:pPr>
          </w:p>
        </w:tc>
        <w:tc>
          <w:tcPr>
            <w:tcW w:w="1500" w:type="dxa"/>
            <w:vAlign w:val="bottom"/>
            <w:gridSpan w:val="2"/>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Consolidated Statements of Comprehensive Income (Loss) for the years ended March 31, 2018, 2017 and 2016 (as adjusted)</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3"/>
            <w:shd w:val="clear" w:color="auto" w:fill="0000EE"/>
          </w:tcPr>
          <w:p>
            <w:pPr>
              <w:spacing w:after="0"/>
              <w:rPr>
                <w:sz w:val="2"/>
                <w:szCs w:val="2"/>
                <w:color w:val="auto"/>
              </w:rPr>
            </w:pPr>
          </w:p>
        </w:tc>
        <w:tc>
          <w:tcPr>
            <w:tcW w:w="1500" w:type="dxa"/>
            <w:vAlign w:val="bottom"/>
            <w:gridSpan w:val="2"/>
            <w:shd w:val="clear" w:color="auto" w:fill="0000EE"/>
          </w:tcPr>
          <w:p>
            <w:pPr>
              <w:spacing w:after="0"/>
              <w:rPr>
                <w:sz w:val="2"/>
                <w:szCs w:val="2"/>
                <w:color w:val="auto"/>
              </w:rPr>
            </w:pPr>
          </w:p>
        </w:tc>
        <w:tc>
          <w:tcPr>
            <w:tcW w:w="2880" w:type="dxa"/>
            <w:vAlign w:val="bottom"/>
            <w:gridSpan w:val="2"/>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Consolidated Statements of Stockholders’ Equity for the years ended March 31, 2018, 2017 and 2016 (as adjusted)</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3"/>
            <w:shd w:val="clear" w:color="auto" w:fill="0000EE"/>
          </w:tcPr>
          <w:p>
            <w:pPr>
              <w:spacing w:after="0"/>
              <w:rPr>
                <w:sz w:val="2"/>
                <w:szCs w:val="2"/>
                <w:color w:val="auto"/>
              </w:rPr>
            </w:pPr>
          </w:p>
        </w:tc>
        <w:tc>
          <w:tcPr>
            <w:tcW w:w="4380" w:type="dxa"/>
            <w:vAlign w:val="bottom"/>
            <w:gridSpan w:val="4"/>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Consolidated Statements of Cash Flows for the years ended March 31, 2018, 2017 and 2016</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7"/>
        </w:trPr>
        <w:tc>
          <w:tcPr>
            <w:tcW w:w="2840" w:type="dxa"/>
            <w:vAlign w:val="bottom"/>
            <w:gridSpan w:val="2"/>
            <w:shd w:val="clear" w:color="auto" w:fill="0000EE"/>
          </w:tcPr>
          <w:p>
            <w:pPr>
              <w:spacing w:after="0"/>
              <w:rPr>
                <w:sz w:val="2"/>
                <w:szCs w:val="2"/>
                <w:color w:val="auto"/>
              </w:rPr>
            </w:pPr>
          </w:p>
        </w:tc>
        <w:tc>
          <w:tcPr>
            <w:tcW w:w="7520" w:type="dxa"/>
            <w:vAlign w:val="bottom"/>
            <w:gridSpan w:val="7"/>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840" w:type="dxa"/>
            <w:vAlign w:val="bottom"/>
            <w:gridSpan w:val="2"/>
          </w:tcPr>
          <w:p>
            <w:pPr>
              <w:spacing w:after="0"/>
              <w:rPr>
                <w:rFonts w:ascii="Arial" w:cs="Arial" w:eastAsia="Arial" w:hAnsi="Arial"/>
                <w:sz w:val="16"/>
                <w:szCs w:val="16"/>
                <w:color w:val="0000EE"/>
                <w:w w:val="90"/>
              </w:rPr>
            </w:pPr>
            <w:hyperlink w:anchor="page56">
              <w:r>
                <w:rPr>
                  <w:rFonts w:ascii="Arial" w:cs="Arial" w:eastAsia="Arial" w:hAnsi="Arial"/>
                  <w:sz w:val="16"/>
                  <w:szCs w:val="16"/>
                  <w:color w:val="0000EE"/>
                  <w:w w:val="90"/>
                </w:rPr>
                <w:t>Notes to Consolidated Financial Statements</w:t>
              </w:r>
            </w:hyperlink>
          </w:p>
        </w:tc>
        <w:tc>
          <w:tcPr>
            <w:tcW w:w="7520" w:type="dxa"/>
            <w:vAlign w:val="bottom"/>
            <w:gridSpan w:val="7"/>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7"/>
        </w:trPr>
        <w:tc>
          <w:tcPr>
            <w:tcW w:w="900" w:type="dxa"/>
            <w:vAlign w:val="bottom"/>
            <w:shd w:val="clear" w:color="auto" w:fill="0000EE"/>
          </w:tcPr>
          <w:p>
            <w:pPr>
              <w:spacing w:after="0"/>
              <w:rPr>
                <w:sz w:val="2"/>
                <w:szCs w:val="2"/>
                <w:color w:val="auto"/>
              </w:rPr>
            </w:pPr>
          </w:p>
        </w:tc>
        <w:tc>
          <w:tcPr>
            <w:tcW w:w="1940" w:type="dxa"/>
            <w:vAlign w:val="bottom"/>
            <w:shd w:val="clear" w:color="auto" w:fill="0000EE"/>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80" w:top="688" w:right="239" w:bottom="1440" w:gutter="0" w:footer="0" w:header="0"/>
        </w:sectPr>
      </w:pPr>
    </w:p>
    <w:bookmarkStart w:id="49" w:name="page50"/>
    <w:bookmarkEnd w:id="4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Commvault Systems, Inc. (the Company) as of March 31, 2018 and 2017, the related consolidated statements of operations, comprehensive (loss) income, stockholders' equity and cash flows for each of the three years in the period ended March 31, 2018,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March 31, 2018 and 2017, and the results of its operations and its cash flows for each of the three years in the period ended March 31, 2018, in conformity with U.S. generally accepted accounting principles.</w:t>
      </w:r>
    </w:p>
    <w:p>
      <w:pPr>
        <w:spacing w:after="0" w:line="2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March 31, 2018, based on criteria established in Internal Control-Integrated Framework issued by the Committee of Sponsoring Organization of the Treadway Commission (2013 framework) and our report dated May 3,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discussed in Note 2 to the consolidated financial statements, effective April 1, 2017, the Company changed its method for accounting for revenue due to the adoption of Accounting Standards Update (ASU) No. 2014-09, Revenue from Contracts with Customers (Topic 606), and the amendments in ASUs 2015-14, 2016-08, 2016-10 and 2016-12 using the full retrospective method.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4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6"/>
              </w:rPr>
              <w:t>2017</w:t>
            </w:r>
          </w:p>
        </w:tc>
      </w:tr>
      <w:tr>
        <w:trPr>
          <w:trHeight w:val="258"/>
        </w:trPr>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center"/>
              <w:ind w:right="312"/>
              <w:spacing w:after="0"/>
              <w:rPr>
                <w:sz w:val="20"/>
                <w:szCs w:val="20"/>
                <w:color w:val="auto"/>
              </w:rPr>
            </w:pPr>
            <w:r>
              <w:rPr>
                <w:rFonts w:ascii="Arial" w:cs="Arial" w:eastAsia="Arial" w:hAnsi="Arial"/>
                <w:sz w:val="14"/>
                <w:szCs w:val="14"/>
                <w:b w:val="1"/>
                <w:bCs w:val="1"/>
                <w:color w:val="auto"/>
                <w:w w:val="93"/>
              </w:rPr>
              <w:t>As Adjusted -</w:t>
            </w:r>
          </w:p>
        </w:tc>
      </w:tr>
      <w:tr>
        <w:trPr>
          <w:trHeight w:val="276"/>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center"/>
              <w:ind w:right="312"/>
              <w:spacing w:after="0"/>
              <w:rPr>
                <w:sz w:val="20"/>
                <w:szCs w:val="20"/>
                <w:color w:val="auto"/>
              </w:rPr>
            </w:pPr>
            <w:r>
              <w:rPr>
                <w:rFonts w:ascii="Arial" w:cs="Arial" w:eastAsia="Arial" w:hAnsi="Arial"/>
                <w:sz w:val="14"/>
                <w:szCs w:val="14"/>
                <w:b w:val="1"/>
                <w:bCs w:val="1"/>
                <w:color w:val="auto"/>
                <w:w w:val="89"/>
              </w:rPr>
              <w:t>See Note 2</w:t>
            </w:r>
          </w:p>
        </w:tc>
      </w:tr>
      <w:tr>
        <w:trPr>
          <w:trHeight w:val="256"/>
        </w:trPr>
        <w:tc>
          <w:tcPr>
            <w:tcW w:w="7680" w:type="dxa"/>
            <w:vAlign w:val="bottom"/>
            <w:tcBorders>
              <w:bottom w:val="single" w:sz="8" w:color="CCEEFF"/>
            </w:tcBorders>
            <w:gridSpan w:val="2"/>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330,784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329,491</w:t>
            </w: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131,637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120,693</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 accounts receivable, net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162,119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140,084</w:t>
            </w: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22,248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15,791</w:t>
            </w: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646,788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606,059</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10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50,228</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128,612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132,319</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w:t>
            </w:r>
          </w:p>
        </w:tc>
        <w:tc>
          <w:tcPr>
            <w:tcW w:w="10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3,621</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commissions cost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30,378</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10,150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7,273</w:t>
            </w: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818,642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829,878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680" w:type="dxa"/>
            <w:vAlign w:val="bottom"/>
            <w:tcBorders>
              <w:bottom w:val="single" w:sz="8" w:color="CCEEFF"/>
            </w:tcBorders>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82,299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78,701</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241,113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209,099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324,173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287,917</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70,803</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net</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4,226</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6)</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680" w:type="dxa"/>
            <w:vAlign w:val="bottom"/>
            <w:gridSpan w:val="2"/>
          </w:tcPr>
          <w:p>
            <w:pPr>
              <w:ind w:left="40"/>
              <w:spacing w:after="0"/>
              <w:rPr>
                <w:sz w:val="20"/>
                <w:szCs w:val="20"/>
                <w:color w:val="auto"/>
              </w:rPr>
            </w:pPr>
            <w:r>
              <w:rPr>
                <w:rFonts w:ascii="Arial" w:cs="Arial" w:eastAsia="Arial" w:hAnsi="Arial"/>
                <w:sz w:val="18"/>
                <w:szCs w:val="18"/>
                <w:color w:val="auto"/>
                <w:w w:val="99"/>
              </w:rPr>
              <w:t>Preferred stock, $0.01 par value: 50,000 shares authorized, no shares issued and outstanding at</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March 31, 2018 and 2017</w:t>
            </w:r>
          </w:p>
        </w:tc>
        <w:tc>
          <w:tcPr>
            <w:tcW w:w="10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Common stock, $0.01 par value, 250,000 shares authorized, 45,118 shares and 44,816 shares issued</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outstanding at March 31, 2018 and 2017, respectively</w:t>
            </w: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782,764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694,477</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(373,678)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(12,315)</w:t>
            </w: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404,064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466,932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818,642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829,878</w:t>
            </w:r>
          </w:p>
        </w:tc>
      </w:tr>
      <w:tr>
        <w:trPr>
          <w:trHeight w:val="27"/>
        </w:trPr>
        <w:tc>
          <w:tcPr>
            <w:tcW w:w="7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26" w:right="239" w:bottom="1440" w:gutter="0" w:footer="0" w:header="0"/>
        </w:sectPr>
      </w:pPr>
    </w:p>
    <w:bookmarkStart w:id="51" w:name="page52"/>
    <w:bookmarkEnd w:id="51"/>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Adjusted -</w:t>
            </w:r>
          </w:p>
        </w:tc>
        <w:tc>
          <w:tcPr>
            <w:tcW w:w="280" w:type="dxa"/>
            <w:vAlign w:val="bottom"/>
          </w:tcPr>
          <w:p>
            <w:pPr>
              <w:spacing w:after="0"/>
              <w:rPr>
                <w:sz w:val="22"/>
                <w:szCs w:val="22"/>
                <w:color w:val="auto"/>
              </w:rPr>
            </w:pPr>
          </w:p>
        </w:tc>
        <w:tc>
          <w:tcPr>
            <w:tcW w:w="142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276"/>
        </w:trPr>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See Note 2</w:t>
            </w:r>
          </w:p>
        </w:tc>
        <w:tc>
          <w:tcPr>
            <w:tcW w:w="280" w:type="dxa"/>
            <w:vAlign w:val="bottom"/>
          </w:tcPr>
          <w:p>
            <w:pPr>
              <w:spacing w:after="0"/>
              <w:rPr>
                <w:sz w:val="24"/>
                <w:szCs w:val="24"/>
                <w:color w:val="auto"/>
              </w:rPr>
            </w:pPr>
          </w:p>
        </w:tc>
        <w:tc>
          <w:tcPr>
            <w:tcW w:w="142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Software and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311,745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290,668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258,091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387,648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354,337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335,676</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699,393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645,005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593,767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Software and products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80,327</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98,152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85,192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82,712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511,055</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349,199</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83,543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69,287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78,848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602,187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561,055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506,945</w:t>
            </w:r>
          </w:p>
        </w:tc>
        <w:tc>
          <w:tcPr>
            <w:tcW w:w="0" w:type="dxa"/>
            <w:vAlign w:val="bottom"/>
          </w:tcPr>
          <w:p>
            <w:pPr>
              <w:spacing w:after="0"/>
              <w:rPr>
                <w:sz w:val="1"/>
                <w:szCs w:val="1"/>
                <w:color w:val="auto"/>
              </w:rPr>
            </w:pPr>
          </w:p>
        </w:tc>
      </w:tr>
      <w:tr>
        <w:trPr>
          <w:trHeight w:val="318"/>
        </w:trPr>
        <w:tc>
          <w:tcPr>
            <w:tcW w:w="6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Equity in loss of affiliate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44,700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45,159</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46,489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26" w:right="239" w:bottom="1440" w:gutter="0" w:footer="0" w:header="0"/>
        </w:sectPr>
      </w:pPr>
    </w:p>
    <w:bookmarkStart w:id="52" w:name="page53"/>
    <w:bookmarkEnd w:id="52"/>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Year Ended March 31,</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2016</w:t>
            </w:r>
          </w:p>
        </w:tc>
      </w:tr>
      <w:tr>
        <w:trPr>
          <w:trHeight w:val="258"/>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As Adjusted -</w:t>
            </w:r>
          </w:p>
        </w:tc>
        <w:tc>
          <w:tcPr>
            <w:tcW w:w="2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As Adjusted -</w:t>
            </w:r>
          </w:p>
        </w:tc>
      </w:tr>
      <w:tr>
        <w:trPr>
          <w:trHeight w:val="276"/>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See Note 2</w:t>
            </w:r>
          </w:p>
        </w:tc>
        <w:tc>
          <w:tcPr>
            <w:tcW w:w="260" w:type="dxa"/>
            <w:vAlign w:val="bottom"/>
          </w:tcPr>
          <w:p>
            <w:pPr>
              <w:spacing w:after="0"/>
              <w:rPr>
                <w:sz w:val="24"/>
                <w:szCs w:val="24"/>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See Note 2</w:t>
            </w: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1,720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6" w:right="239" w:bottom="1440" w:gutter="0" w:footer="0" w:header="0"/>
        </w:sectPr>
      </w:pPr>
    </w:p>
    <w:bookmarkStart w:id="53" w:name="page54"/>
    <w:bookmarkEnd w:id="53"/>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20" w:type="dxa"/>
            <w:vAlign w:val="bottom"/>
            <w:gridSpan w:val="4"/>
            <w:vMerge w:val="restart"/>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6"/>
              </w:rPr>
              <w:t>As Adjusted -</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See Note 2</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Balance at March 31, 2015 </w:t>
            </w:r>
            <w:r>
              <w:rPr>
                <w:rFonts w:ascii="Arial" w:cs="Arial" w:eastAsia="Arial" w:hAnsi="Arial"/>
                <w:sz w:val="14"/>
                <w:szCs w:val="14"/>
                <w:color w:val="auto"/>
              </w:rPr>
              <w:t>(As Adjusted)</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45,122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539,565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(101,741)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430,771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64,196</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(91,477)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421,613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694,477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effect of adoption of ASU</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2016-09</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74,129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(112,218)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45,118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404,064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26" w:right="239" w:bottom="1440" w:gutter="0" w:footer="0" w:header="0"/>
        </w:sectPr>
      </w:pPr>
    </w:p>
    <w:bookmarkStart w:id="54" w:name="page55"/>
    <w:bookmarkEnd w:id="54"/>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left="611"/>
              <w:spacing w:after="0"/>
              <w:rPr>
                <w:sz w:val="20"/>
                <w:szCs w:val="20"/>
                <w:color w:val="auto"/>
              </w:rPr>
            </w:pPr>
            <w:r>
              <w:rPr>
                <w:rFonts w:ascii="Arial" w:cs="Arial" w:eastAsia="Arial" w:hAnsi="Arial"/>
                <w:sz w:val="14"/>
                <w:szCs w:val="14"/>
                <w:b w:val="1"/>
                <w:bCs w:val="1"/>
                <w:color w:val="auto"/>
                <w:w w:val="94"/>
              </w:rPr>
              <w:t>Year Ended March 31,</w:t>
            </w:r>
          </w:p>
        </w:tc>
        <w:tc>
          <w:tcPr>
            <w:tcW w:w="860" w:type="dxa"/>
            <w:vAlign w:val="bottom"/>
            <w:tcBorders>
              <w:bottom w:val="single" w:sz="8" w:color="auto"/>
            </w:tcBorders>
          </w:tcPr>
          <w:p>
            <w:pPr>
              <w:spacing w:after="0"/>
              <w:rPr>
                <w:sz w:val="16"/>
                <w:szCs w:val="16"/>
                <w:color w:val="auto"/>
              </w:rPr>
            </w:pPr>
          </w:p>
        </w:tc>
      </w:tr>
      <w:tr>
        <w:trPr>
          <w:trHeight w:val="258"/>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As Adjusted -</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As Adjusted -</w:t>
            </w:r>
          </w:p>
        </w:tc>
      </w:tr>
      <w:tr>
        <w:trPr>
          <w:trHeight w:val="276"/>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See Note 2</w:t>
            </w:r>
          </w:p>
        </w:tc>
        <w:tc>
          <w:tcPr>
            <w:tcW w:w="160" w:type="dxa"/>
            <w:vAlign w:val="bottom"/>
          </w:tcPr>
          <w:p>
            <w:pPr>
              <w:spacing w:after="0"/>
              <w:rPr>
                <w:sz w:val="24"/>
                <w:szCs w:val="24"/>
                <w:color w:val="auto"/>
              </w:rPr>
            </w:pPr>
          </w:p>
        </w:tc>
        <w:tc>
          <w:tcPr>
            <w:tcW w:w="86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See Note 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1,720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11,179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64,196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Equity in loss of affiliate</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commissions cost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current assets and Other assets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3,867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commissions cost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16,935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84,169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100,039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84,413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(142,424)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(99,071)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maturity of 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equity method investment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for corporate campus headquarters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(6,280)</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(112,218)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stock-based compensation plans</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14,843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(69,970)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(49,566)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329,491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288,107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337,673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330,784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329,491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288,107</w:t>
            </w:r>
          </w:p>
        </w:tc>
      </w:tr>
      <w:tr>
        <w:trPr>
          <w:trHeight w:val="67"/>
        </w:trPr>
        <w:tc>
          <w:tcPr>
            <w:tcW w:w="8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24"/>
        </w:trPr>
        <w:tc>
          <w:tcPr>
            <w:tcW w:w="8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taxes paid,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1,989</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526"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526" w:right="259" w:bottom="1440" w:gutter="0" w:footer="0" w:header="0"/>
          <w:type w:val="continuous"/>
        </w:sectPr>
      </w:pPr>
    </w:p>
    <w:bookmarkStart w:id="55" w:name="page56"/>
    <w:bookmarkEnd w:id="55"/>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In fiscal 2018 the Company also started selling appliances that integrate the Company's software with hardware and address a wide-range of business needs and use cases, ranging from support for remote or branch offices with limited IT staff up to large corporate data centers. The Company also provides its customers with a broad range of professional and customer support services.</w:t>
      </w:r>
    </w:p>
    <w:p>
      <w:pPr>
        <w:spacing w:after="0" w:line="11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the Company. All intercompany transactions and balances have been eliminated.</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deferred commissions cost, income taxes and related reserves, stock-based compensation and accounting for research and development costs. Actual results could differ from those estimates.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 For further discussion of the Company's accounting policies related to revenue see Note 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diluted 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78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(loss) per common share: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45,242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44,700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45,159</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restricted stock units, and employee stock</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w:t>
            </w:r>
          </w:p>
        </w:tc>
      </w:tr>
      <w:tr>
        <w:trPr>
          <w:trHeight w:val="237"/>
        </w:trPr>
        <w:tc>
          <w:tcPr>
            <w:tcW w:w="6040" w:type="dxa"/>
            <w:vAlign w:val="bottom"/>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45,242</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44,700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46,489</w:t>
            </w:r>
          </w:p>
        </w:tc>
      </w:tr>
      <w:tr>
        <w:trPr>
          <w:trHeight w:val="67"/>
        </w:trPr>
        <w:tc>
          <w:tcPr>
            <w:tcW w:w="604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604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 net income per common share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potential outstanding common stock equivalents of the Company at the end of each period, which have been excluded from the computation of diluted net income per common share, as its effect is anti-dilutive.</w:t>
      </w:r>
    </w:p>
    <w:p>
      <w:pPr>
        <w:spacing w:after="0" w:line="36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23495</wp:posOffset>
            </wp:positionV>
            <wp:extent cx="31730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Stock options, restricted stock units, and shares under the employee stock purchase</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97"/>
              </w:rPr>
              <w:t>7,312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8,106</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3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plan</w:t>
            </w: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Research and development expenditures are charged to operations as incurred. Based on the Company’s software development process, technological feasibility is established upon completion of a working model, which also requires certification and extensive testing. Costs incurred by the Company between completion of the working model and the point at which the product is ready for general release are immaterial.</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 Long term unbilled receivables are included in Other assets.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accounts for income taxes in accordance with ASC Topic 740, “Income Taxes” (ASC 740).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The Company uses significant judgment and estimates in evaluating tax positions. The effective tax rate in a given financial statement period may be materially impacted by changes in the mix and level of earnings by taxing jurisdiction.</w:t>
      </w:r>
    </w:p>
    <w:p>
      <w:pPr>
        <w:spacing w:after="0" w:line="5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Under ASC 740, deferred income taxes arise from temporary differences between the tax basis of assets and liabilities and their reported amounts. Valuation allowances are established when, in the Company's judgment, it is more likely than not that deferred tax assets will not be realized. In assessing the need for a valuation allowance, the Company weighs the available positive and negative evidence, including historical levels of pre-tax income, legislative developments, expectations and risks associated with estimates of future pre-tax income, and prudent and feasible tax planning strategies.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The Company considers all highly liquid investments purchased with maturities of three months or less at the date of purchase to be cash equivalents. As of March 31, 2018, the Company’s cash and cash equivalents balance consisted primarily of money market funds.</w:t>
      </w:r>
    </w:p>
    <w:p>
      <w:pPr>
        <w:sectPr>
          <w:pgSz w:w="11900" w:h="16838" w:orient="portrait"/>
          <w:cols w:equalWidth="0" w:num="1">
            <w:col w:w="11400"/>
          </w:cols>
          <w:pgMar w:left="240" w:top="121" w:right="2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21" w:right="25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Short-term investments consist of investments with maturities of twelve months or less that do not meet the criteria to be cash equivalents. The company determines classification of the investment as trading, available-for-sale or held-to-maturity at the time of purchase and reevaluates classification whenever changes in circumstances indicate changes in classification may be necessary. The Company’s current short-term investments are classified as held-to-maturity. Held-to-maturity investments consist of securities that the Company has the intent and ability to retain until maturity. Held-to-maturity investments are initially recorded at cost and adjusted for the amortization of discounts from the date of purchase through maturity. Income related to investments is recorded as interest income in the Consolidated Statement of Operations. Cash inflows and outflows related to the sale, maturity and purchase of investments are classified as investing activities in the Company’s Consolidated Statements of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36%, 36% and 38% of total revenues for the years ended March 31, 2018, 2017 and 2016, respectively. Arrow accounted for approximately 38% and 40% of total accounts receivable as of March 31, 2018 and 2017,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and accounts payable approximate their fair values due to the short-term maturity of these instruments. As of March 31, 2018 and 2017, the Company’s short-term investments balance consisted of U.S. Treasury Bills.</w:t>
      </w:r>
    </w:p>
    <w:p>
      <w:pPr>
        <w:spacing w:after="0" w:line="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on a recurring basis at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43,545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132,263</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132,263</w:t>
            </w:r>
          </w:p>
        </w:tc>
      </w:tr>
      <w:tr>
        <w:trPr>
          <w:trHeight w:val="554"/>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70,190</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120,989</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120,989</w:t>
            </w:r>
          </w:p>
        </w:tc>
      </w:tr>
      <w:tr>
        <w:trPr>
          <w:trHeight w:val="48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Land is not depreciated. The Company provides for depreciation on a straight-line basis over the estimated useful lives of the assets. The depreciable assets that comprise the Company's owned headquarters classified as Buildings are being depreciated over lives ranging from ten to sixty years. Computer and related equipment is generally depreciated over eighteen months to three years and furniture and fixtures are generally depreciated over three to twelve years. Leasehold improvements are amortized over the shorter of the useful life of the improvement or the term of the related lease. Expenditures for routine maintenance and repairs are charged against operations. Major replacements, improvements and additions are capitalized.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liability for the fair value of an asset retirement obligation and corresponding increase to the carrying value of the related leasehold improvements are recorded at the time leasehold improvements are acquired. The Company maintains certain office space for which the lease agreement requires that the Company return the office space to its original condition upon vacating the premises. Accordingly, the balance of the asset retirement obligation was $1,303 as of March 31, 2018 and $1,204 as of March 31, 2017.</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the recoverability of its long-lived assets, the Company evaluates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 There were no impairment charges recognized during the years ended March 31, 2018, 2017 and 2016.</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fiscal 2016, the Company acquired a 34% ownership in Laitek, Inc. (Laitek). Laitek develops solutions for acquiring, processing and presenting scientific and medical image information. The Company uses the equity method to account for its investment. In the event that management identifies an other than temporary decline in the estimated fair value of an equity method investment to an amount below its carrying value, such investment is written down to its estimated fair value. The Company also has development and original equipment manufacturing agreements with Laitek to jointly develop healthcare related software products. During fiscal 2018, the Company identified an indicator of impairment related to its investment and impaired the value of the investment to zero, which approximated the estimated fair value. This fair value measurement was based on unobservable inputs (Level 3).</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commissions and related payroll taxes earned by the Company's employees are considered incremental and recoverable costs of obtaining a contract with a customer. The Company’s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The Company does not pay commissions on annual renewals of contracts for software updates and customer support for perpetual licenses. The costs allocated to software and products are expensed at the time of sale, when revenue for the functional software license or appliance is recognized. The costs allocated to software updates and customer support for perpetual licenses are amortized ratably over a period of approximately five years, the expected period of benefit of the asset capitalized. The Company currently estimates a period of five years is appropriate based on consideration of historical average customer life and the estimated useful life of the underlying software or appliance sold as part of the transaction. The costs related to professional services are amortized within one quarter following the date of the related software or appliance sale, which is typically the period the related professional services are provided and revenue is recognized. Amortization expense related to these costs is included in Sales and marketing expenses in the accompanying condensed consolidated statements of loss.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Costs related to software updates and support for term-based, or subscription software licenses, are limited to the contractual period of the arrangement as the Company intends to pay a commensurate commission upon renewal of the subscription license and related updates and support.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The value of deferred revenues will increase or decrease based on the timing of invoices and recognition of revenue.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During the first quarter of fiscal 2018, one of our Directors, Joseph F. Eazor, was hired as the CEO of Rackspace, Inc (Rackspace). Rackspace has been a customer of the Company since 2006. Total recognized revenue related to Rackspace in fiscal 2018 was $10,024. This total includes the renewal of a subscription software license in March 2018 for $4,756. The outstanding accounts receivable from this customer as of March 31, 2018 is $5,704.</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Company utilizes the Black-Scholes pricing model to determine the fair value of non-qualified stock options on the dates of grant. Restricted stock units without a market condition are measured based on the fair market values of the underlying stock on the date of grant. The Company recognizes stock-based compensation using the straight-line method for all stock awards that don't include a market or performance condition.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 considers all shares repurchased as canceled shares restored to the status of authorized but unissued shares on the trade date. The aggregate purchase price of the shares of the Company’s common stock repurchased is reflected as a reduction to Stockholders’ Equity. The Company accounts for shares repurchased as an adjustment to common stock (at par value) with the excess repurchase price allocated between Additional Paid-in Capital and Accumulated Deficit.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$5,704, $7,816, and $5,083 for the years ended March 31, 2018, 2017 and 2016,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functional currencies of the Company’s foreign operations are deemed to be the local country’s currency. Assets and liabilities of the Company’s international subsidiaries are translated at their respective period-end exchange rates, and revenues and expenses are translated at average currency exchange rates for the period. The resulting balance sheet translation adjustments are included in Other Comprehensive Loss and are reflected as a separate component of Stockholders’ Equity.</w:t>
      </w:r>
    </w:p>
    <w:p>
      <w:pPr>
        <w:spacing w:after="0" w:line="1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The Company recognized net foreign currency transaction gains of $109, $644 and $195 in the years ended March 31, 2018, 2016, and 2015, respectively. The net foreign currency transaction gains recorded in “General and administrative expenses” include settlement gains and losses on forward contracts disclosed below.</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stockholders and distribution to stockholders.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As of April 1, 2017 the Company early adopted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the amendments in ASUs 2015-14, 2016-08, 2016-10 and 2016-12.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The Company has early adopted the new standard as of April 1, 2017 using the full retrospective method which required each prior reporting period presented to be adjusted beginning with this issuance of the Company’s financial statements. The most significant impact of adopting the new standard related to the deferral of commission costs. A portion of sales commissions cost is now recorded as an asset and recognized as an operating expense over the time period that the Company expects to recover the costs.</w:t>
      </w:r>
    </w:p>
    <w:p>
      <w:pPr>
        <w:spacing w:after="0" w:line="115" w:lineRule="exact"/>
        <w:rPr>
          <w:sz w:val="20"/>
          <w:szCs w:val="20"/>
          <w:color w:val="auto"/>
        </w:rPr>
      </w:pPr>
    </w:p>
    <w:p>
      <w:pPr>
        <w:ind w:right="160" w:firstLine="216"/>
        <w:spacing w:after="0" w:line="277" w:lineRule="auto"/>
        <w:rPr>
          <w:sz w:val="20"/>
          <w:szCs w:val="20"/>
          <w:color w:val="auto"/>
        </w:rPr>
      </w:pPr>
      <w:r>
        <w:rPr>
          <w:rFonts w:ascii="Arial" w:cs="Arial" w:eastAsia="Arial" w:hAnsi="Arial"/>
          <w:sz w:val="18"/>
          <w:szCs w:val="18"/>
          <w:color w:val="auto"/>
        </w:rPr>
        <w:t>Select adjusted unaudited financial statement information, which reflect the adoption of Topic 606 is below. The Company’s historical net cash flows are not impacted by this accounting 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5"/>
              </w:rPr>
              <w:t>Year Ended March 31, 2016</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7"/>
              </w:rPr>
              <w:t>Recast for Adoption of ASC</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Software and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258,793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258,091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595,126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593,767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82,712</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512,414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511,055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506,945</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7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14"/>
                <w:szCs w:val="14"/>
                <w:b w:val="1"/>
                <w:bCs w:val="1"/>
                <w:color w:val="auto"/>
                <w:w w:val="95"/>
              </w:rPr>
              <w:t>Year Ended March 31, 2017</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center"/>
              <w:ind w:right="41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60"/>
              <w:spacing w:after="0"/>
              <w:rPr>
                <w:sz w:val="20"/>
                <w:szCs w:val="20"/>
                <w:color w:val="auto"/>
              </w:rPr>
            </w:pPr>
            <w:r>
              <w:rPr>
                <w:rFonts w:ascii="Arial" w:cs="Arial" w:eastAsia="Arial" w:hAnsi="Arial"/>
                <w:sz w:val="18"/>
                <w:szCs w:val="18"/>
                <w:color w:val="auto"/>
              </w:rPr>
              <w:t>Software and products</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296,421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(5,753)</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290,668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354,337</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650,518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645,005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85,192</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565,326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559,813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561,055</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affiliate</w:t>
            </w: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6"/>
              </w:rPr>
              <w:t>March 31, 2017</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2"/>
              </w:rPr>
              <w:t>Balance Sheet Data</w:t>
            </w:r>
          </w:p>
        </w:tc>
        <w:tc>
          <w:tcPr>
            <w:tcW w:w="5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center"/>
              <w:ind w:right="41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60" w:type="dxa"/>
            <w:vAlign w:val="bottom"/>
          </w:tcPr>
          <w:p>
            <w:pPr>
              <w:spacing w:after="0"/>
              <w:rPr>
                <w:sz w:val="3"/>
                <w:szCs w:val="3"/>
                <w:color w:val="auto"/>
              </w:rPr>
            </w:pPr>
          </w:p>
        </w:tc>
        <w:tc>
          <w:tcPr>
            <w:tcW w:w="15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140,084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598,736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606,059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Deferred commissions</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209,099</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285,595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287,917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(215,677)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680" w:top="121" w:right="6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95"/>
              </w:rPr>
              <w:t>Year Ended March 31, 2016</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center"/>
              <w:ind w:right="412"/>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Amortization of deferred commissions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11,234</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 and Other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Deferred commissions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16,935</w:t>
            </w:r>
          </w:p>
        </w:tc>
        <w:tc>
          <w:tcPr>
            <w:tcW w:w="0" w:type="dxa"/>
            <w:vAlign w:val="bottom"/>
          </w:tcPr>
          <w:p>
            <w:pPr>
              <w:spacing w:after="0"/>
              <w:rPr>
                <w:sz w:val="1"/>
                <w:szCs w:val="1"/>
                <w:color w:val="auto"/>
              </w:rPr>
            </w:pPr>
          </w:p>
        </w:tc>
      </w:tr>
      <w:tr>
        <w:trPr>
          <w:trHeight w:val="615"/>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95"/>
              </w:rPr>
              <w:t>Year Ended March 31, 2017</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center"/>
              <w:ind w:right="412"/>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Amortization of deferred commissions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16,065</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16,065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(16,372)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commissions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37,988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36,666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00" w:firstLine="18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The Company adopted the guidance prospectively effective April 1, 2017.</w:t>
      </w:r>
    </w:p>
    <w:p>
      <w:pPr>
        <w:spacing w:after="0" w:line="276" w:lineRule="exact"/>
        <w:rPr>
          <w:sz w:val="20"/>
          <w:szCs w:val="20"/>
          <w:color w:val="auto"/>
        </w:rPr>
      </w:pPr>
    </w:p>
    <w:p>
      <w:pPr>
        <w:ind w:right="40" w:firstLine="216"/>
        <w:spacing w:after="0" w:line="272" w:lineRule="auto"/>
        <w:rPr>
          <w:sz w:val="20"/>
          <w:szCs w:val="20"/>
          <w:color w:val="auto"/>
        </w:rPr>
      </w:pPr>
      <w:r>
        <w:rPr>
          <w:rFonts w:ascii="Arial" w:cs="Arial" w:eastAsia="Arial" w:hAnsi="Arial"/>
          <w:sz w:val="17"/>
          <w:szCs w:val="17"/>
          <w:color w:val="auto"/>
        </w:rPr>
        <w:t>The guidance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 Amounts previously recorded to Additional paid-in capital related to excess tax benefits prior to April 1, 2017 remain in Stockholders' equity. Cash flows related to excess taxes prior to April 1, 2017 remain classified as financing cash flows. In addition, the standard allows the Company to repurchase more of an employee’s vesting shares for tax withholding purposes without triggering liability accounting, and provides an accounting policy election to account for forfeitures as they occur. The Company has elected to account for forfeitures as they occur. The cumulative impact of the election to account for forfeitures as they are incurred is included as an adjustment to accumulated deficit.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The Company is currently assessing the impact the adoption of ASU 2016-02 will have on the financial statements.</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the Company which are expected to have a material impact on the Company’s financial position, results of operations or cash flows.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1"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140" w:firstLine="500"/>
        <w:spacing w:after="0" w:line="291"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13" w:lineRule="exact"/>
        <w:rPr>
          <w:sz w:val="20"/>
          <w:szCs w:val="20"/>
          <w:color w:val="auto"/>
        </w:rPr>
      </w:pPr>
    </w:p>
    <w:p>
      <w:pPr>
        <w:jc w:val="both"/>
        <w:ind w:right="100" w:firstLine="500"/>
        <w:spacing w:after="0" w:line="312" w:lineRule="auto"/>
        <w:rPr>
          <w:sz w:val="20"/>
          <w:szCs w:val="20"/>
          <w:color w:val="auto"/>
        </w:rPr>
      </w:pPr>
      <w:r>
        <w:rPr>
          <w:rFonts w:ascii="Arial" w:cs="Arial" w:eastAsia="Arial" w:hAnsi="Arial"/>
          <w:sz w:val="16"/>
          <w:szCs w:val="16"/>
          <w:color w:val="auto"/>
        </w:rPr>
        <w:t>In fiscal 2018, the Company also started selling appliances that integrate the Company's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Revenue to date related to appliances has not been significant.</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00"/>
          </w:cols>
          <w:pgMar w:left="240" w:top="121" w:right="259" w:bottom="1440" w:gutter="0" w:footer="0" w:header="0"/>
        </w:sectPr>
      </w:pPr>
    </w:p>
    <w:p>
      <w:pPr>
        <w:spacing w:after="0" w:line="6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60" w:space="440"/>
            <w:col w:w="5300"/>
          </w:cols>
          <w:pgMar w:left="240" w:top="121" w:right="25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Appliances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When control of the appliances passes to the</w:t>
            </w: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90 days of delivery except Residual approach</w:t>
            </w:r>
          </w:p>
        </w:tc>
      </w:tr>
      <w:tr>
        <w:trPr>
          <w:trHeight w:val="216"/>
        </w:trPr>
        <w:tc>
          <w:tcPr>
            <w:tcW w:w="2100" w:type="dxa"/>
            <w:vAlign w:val="bottom"/>
            <w:shd w:val="clear" w:color="auto" w:fill="CCEEFF"/>
          </w:tcPr>
          <w:p>
            <w:pPr>
              <w:spacing w:after="0"/>
              <w:rPr>
                <w:sz w:val="18"/>
                <w:szCs w:val="18"/>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certain subscriptions which</w:t>
            </w:r>
          </w:p>
        </w:tc>
      </w:tr>
      <w:tr>
        <w:trPr>
          <w:trHeight w:val="237"/>
        </w:trPr>
        <w:tc>
          <w:tcPr>
            <w:tcW w:w="2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are paid for over time</w:t>
            </w: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i w:val="1"/>
                <w:iCs w:val="1"/>
                <w:color w:val="auto"/>
                <w:w w:val="92"/>
              </w:rPr>
              <w:t>Customer Support Revenue</w:t>
            </w:r>
          </w:p>
        </w:tc>
        <w:tc>
          <w:tcPr>
            <w:tcW w:w="3640" w:type="dxa"/>
            <w:vAlign w:val="bottom"/>
          </w:tcPr>
          <w:p>
            <w:pPr>
              <w:spacing w:after="0"/>
              <w:rPr>
                <w:sz w:val="21"/>
                <w:szCs w:val="21"/>
                <w:color w:val="auto"/>
              </w:rPr>
            </w:pPr>
          </w:p>
        </w:tc>
        <w:tc>
          <w:tcPr>
            <w:tcW w:w="56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p>
      <w:pPr>
        <w:spacing w:after="0" w:line="4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1" w:right="259" w:bottom="1440" w:gutter="0" w:footer="0" w:header="0"/>
          <w:type w:val="continuous"/>
        </w:sectPr>
      </w:pPr>
    </w:p>
    <w:p>
      <w:pPr>
        <w:ind w:left="18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tcPr>
          <w:p>
            <w:pPr>
              <w:spacing w:after="0"/>
              <w:rPr>
                <w:sz w:val="18"/>
                <w:szCs w:val="18"/>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90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7"/>
        </w:trPr>
        <w:tc>
          <w:tcPr>
            <w:tcW w:w="19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March 31, 2018</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4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APAC</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100,452</w:t>
            </w:r>
          </w:p>
        </w:tc>
        <w:tc>
          <w:tcPr>
            <w:tcW w:w="132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43,435</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311,745</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233,991</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75,807</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36,257</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346,055</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41,593</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425,302</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187,548</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86,543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699,393</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March 31, 2017</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4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APAC</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168,243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132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40,032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290,668</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216,656</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65,732</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32,466</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314,854</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39,483</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407,603</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159,489</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77,913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645,005</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1" w:right="25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March 31, 2016</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4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APAC</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153,281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75,389</w:t>
            </w:r>
          </w:p>
        </w:tc>
        <w:tc>
          <w:tcPr>
            <w:tcW w:w="132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29,421</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258,091</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204,223</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61,052</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29,039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294,314</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41,362</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381,895</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147,636</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64,236</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593,767</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In some arrangements the Company allows customers to pay for term 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Accounts</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Receivable</w:t>
            </w:r>
          </w:p>
        </w:tc>
        <w:tc>
          <w:tcPr>
            <w:tcW w:w="24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70,803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2,527</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32,014</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13,858</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increase in accounts receivable is primarily a result of an increase in software and products revenue relative to the prior year and an increase in subscription software transactions that are recognized as revenue at the time of sale but paid for over time. The increase in deferred revenue is primarily the result of an increase in deferred customer support revenue related to software and products revenue transactions and customer support renewals during fiscal 2018, most of which will be recognized over the course of the next twelve months.</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$209,099 for the year ended March 31, 2018. The vast majority of this revenue consists of customer support arrangements. The amount of revenue recognized from performance obligations satisfied in prior periods was not material.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March 31, 2018, approximately $20,821 of revenue may be recognized from remaining performance obligations, of which $320 was related to software and products. The Company expects the software and products revenue to be recognized next quarter. The majority of the services revenue is related to other professional services which may be recognized over the next twelve months but is contingent upon a number of factors, including customers’ needs and schedules.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Property and Equipment</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9,445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103,244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35,274</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15,594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14,912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1,335</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177,040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172,397</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128,612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132,319</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recorded depreciation and amortization expense of $11,217, $9,980, and $10,927 for the years ended March 31, 2018, 2017 and 2016, respectively.</w:t>
      </w:r>
    </w:p>
    <w:p>
      <w:pPr>
        <w:spacing w:after="0" w:line="11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payroll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45,149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33,552</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82,299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78,701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leases various office facilities under non-cancelable leases, which expire on various dates through April 2022. Future minimum lease payments under all operating leases at March 31, 2018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 Ending March 31,</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8,316</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4,449</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3,746</w:t>
            </w:r>
          </w:p>
        </w:tc>
      </w:tr>
      <w:tr>
        <w:trPr>
          <w:trHeight w:val="237"/>
        </w:trPr>
        <w:tc>
          <w:tcPr>
            <w:tcW w:w="93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32,927</w:t>
            </w:r>
          </w:p>
        </w:tc>
      </w:tr>
      <w:tr>
        <w:trPr>
          <w:trHeight w:val="34"/>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expenses were $12,215, $10,377, and $9,856 for the years ended March 31, 2018, 2017 and 2016, respectively.</w:t>
      </w:r>
    </w:p>
    <w:p>
      <w:pPr>
        <w:spacing w:after="0" w:line="17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Rent expense is calculated by amortizing total rental payments (net of any rental abatements, allowances and other rental concessions), on a straight-line basis, over the lease term. Accordingly, rent expense charged to operations differs from rent paid resulting in the Company recording deferred rent.</w:t>
      </w:r>
    </w:p>
    <w:p>
      <w:pPr>
        <w:sectPr>
          <w:pgSz w:w="11900" w:h="16838" w:orient="portrait"/>
          <w:cols w:equalWidth="0" w:num="1">
            <w:col w:w="11400"/>
          </w:cols>
          <w:pgMar w:left="240" w:top="121" w:right="259" w:bottom="1108"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121" w:right="259" w:bottom="1108" w:gutter="0" w:footer="0" w:header="0"/>
          <w:type w:val="continuous"/>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in the normal course of business, enters into various purchase commitments for goods or services. Total non-cancellable purchase commitments as of March 31, 2018 are approximately $20,164 for fiscal 2019, $5,841 for fiscal 2020, $1,025 for fiscal 2021 and $299 for fiscal 2022, totaling $27,329 for all periods through fiscal 2022. These purchase commitments relate primarily to marketing and IT services.</w:t>
      </w:r>
    </w:p>
    <w:p>
      <w:pPr>
        <w:spacing w:after="0" w:line="11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Company has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$4,462 in fiscal 2018, $2,646 in fiscal 2017 and $1,933 in fiscal 2016.</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offers a 90-day limited product warranty for its software. To date, costs related to this product warranty have not been material.</w:t>
      </w:r>
    </w:p>
    <w:p>
      <w:pPr>
        <w:spacing w:after="0" w:line="18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provides certain provisions within its software licensing agreements to indemnify its customers from any claim, suit or proceeding arising from alleged or actual intellectual property infringement. These provisions continue in perpetuity, along with the Company’s software licensing agreements. The Company has never incurred a liability relating to one of these indemnification provisions, and management believes that the likelihood of any future payout relating to these provisions is remote. Therefore, the Company has not recorded a liability during any period for these indemnification provisions.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is purportedly brought on behalf of purchasers of the Company's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$12,500. The parties signed a stipulation of settlement on November 30, 2017. The settlement remains subject to court approval; the court has scheduled a hearing for May 14, 2018 to consider whether to approve the settlement. The settlement amount has been funded solely by the Company’s insurers. There can be no assurance that the settlement will ultimately be approved or that it will become final. If the settlement does not occur and litigation against the Company continues, the Company believes that it has meritorious defenses and intends to defend the case vigorously. However, due to the inherent uncertainties of litigation, the Company cannot accurately predict the ultimate outcome of this matter if the litigation continues.</w:t>
      </w:r>
    </w:p>
    <w:p>
      <w:pPr>
        <w:spacing w:after="0" w:line="169"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On April 12, 2017, a shareholder derivative complaint was filed in the United States District Court for the District of New Jersey against the Company (nominally), certain of its executive officers and certain members of the board of directors. The complaint is entitled Murashko v. Hammer, et al. (Civ. No. 3:17-cv-02533-PGS-TJB). The plaintiff filed an amended 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the Company by causing, or allowing, the Company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from the Company, but rather seeks to recover from the defendant officers and directors on behalf of the Company compensatory damages, restitution, costs and expenses, as well as equitable or other relief. On August 29, 2017, all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defendants, including the Company, filed a motion to dismiss the derivative action; that motion was granted on February 22, 2018. The court dismissed the complaint without prejudice for failure to make a demand on the Company’s Board of Directors or to plead facts showing that a demand would be futile. The plaintiff chose not to appeal the dismissal of his complaint. On November 30, 2017, a virtually identical shareholder derivative complaint was filed in state court in New Jersey entitled Lee v. Hammer, et al., Civ. 201-17 (N.J. Super. Ct.). On April 27, 2018, the parties agreed to dismiss the complaint without prejudice. While both derivative cases have been dismissed without prejudice, due to the inherent uncertainties of litigation, these cases or similar cases may be brought again in the future and the Company cannot accurately predict the ultimate outcome of these matters should they be re-filed.</w:t>
      </w:r>
    </w:p>
    <w:p>
      <w:pPr>
        <w:spacing w:after="0" w:line="16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The Company responded to the complaint by filing a motion to dismiss on the grounds that the patents are directed to patent-ineligible subject matter. The Court has not yet ruled on this motion.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March 31, 2018, the Company has not recorded an accrual for this matter as it has concluded that the probability of loss is remote.</w:t>
      </w:r>
    </w:p>
    <w:p>
      <w:pPr>
        <w:spacing w:after="0" w:line="108"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had a five-year $250,000 revolving credit facility (the “Credit Facility”) that it terminated on February 9, 2018. Outstanding borrowings under the Credit Facility accrued interest at an annual rate equal to London Interbank Offered Rate plus 1.50% subject to increases based on the Company's actual leverage. The unused balance on the Credit Facility was also subject to a 0.25% annual interest charge subject to increases based on the Company's actual leverage.</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had deferred the expense related to debt issuance costs, which were classified as Other Assets, and were being amortized into interest expense. The amortization of debt issuance costs was $568 for year ended March 31, 2018 (inclusive of costs written off upon termination) and $252 for the year ended March 31, 2017.</w:t>
      </w:r>
    </w:p>
    <w:p>
      <w:pPr>
        <w:spacing w:after="0" w:line="12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39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13, 2008, the Board of Directors of the Company adopted a Rights Plan and declared a dividend distribution of one Right for each outstanding share of common stock to shareholders of record on November 24, 2008. Each Right, when exercisable, entitles the registered holder to purchase one one-thousandth of a share of Series A Junior Participating Preferred Stock, par value $0.01 per share, at a purchase price of eighty dollars per one one thousandth of a share, subject to adjustment. Of the 50,000 shares of preferred stock authorized under the Company’s certificate of incorporation, 150 have been designated as Series A Junior Participating Preferred.</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Rights will become exercisable following the tenth business day after (i) a person or group announces the acquisition of 15% or more of the Company’s common stock or (ii) commencement of a tender or exchange offer, the consummation of which would result in ownership by the person or group of 15% or more of the Company’s common stock. The Company is also entitled to redeem the Rights at $0.001 per right under certain circumstances. The Rights expire on November 14, 2018, if not exercised or redeemed.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45,118 and 44,816 shares of common stock, par value $0.01, outstanding at March 31, 2018 and March 31, 2017, respectively.</w:t>
      </w:r>
    </w:p>
    <w:p>
      <w:pPr>
        <w:spacing w:after="0" w:line="3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fiscal 2018, the Company repurchased $112,218 of common stock, or 2,098 shares, under its share repurchase program. As of March 31, 2018, $112,840 remained in the current stock repurchase authorization which expires on March 31, 2019.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1" w:right="2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the Company has reserved 3,908 shares in connection with its Stock Plans discussed in Note 9.</w:t>
      </w:r>
    </w:p>
    <w:p>
      <w:pPr>
        <w:spacing w:after="0" w:line="16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 Plans</w:t>
      </w:r>
    </w:p>
    <w:p>
      <w:pPr>
        <w:spacing w:after="0" w:line="31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of March 31, 2018, the Company maintains one stock incentive plan for purposes of granting awards, the Omnibus Incentive Plan as amended by amendment one (the “2016 Incentive Plan”). The Company has one additional plan, the 2006 Long-Term Stock Incentive Plan (the “LTIP”), with outstanding options and awards but cannot be used for future grants.</w:t>
      </w:r>
    </w:p>
    <w:p>
      <w:pPr>
        <w:spacing w:after="0" w:line="4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2016 Incentive Plan permits the grant of incentive stock options, non-qualified stock options, restricted stock awards, restricted stock units, stock appreciation rights, performance stock awards and stock unit awards based on, or related to, shares of the Company’s common stock. As of March 31, 2018, approximately 1,742 shares were available for future issuance under the 2016 Incentive Plan.</w:t>
      </w:r>
    </w:p>
    <w:p>
      <w:pPr>
        <w:spacing w:after="0" w:line="12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As of March 31, 2018, the Company has granted non-qualified stock options, restricted stock units and performance stock awards under its stock incentive plans. Historically, equity awards granted by the Company under its stock incentive plans generally vest quarterly over a four-year period, except that the shares that would otherwise vest quarterly over the first twelve months do not vest until the first anniversary of the grant. Beginning in October of 2015, the Company began granting its equity awards with a three-year vest period, and retained the practice that shares that would otherwise vest quarterly over the first twelve months do not vest until the first anniversary of the grant. However, from time to time the company grants equity awards that vest between one and three years. The Company anticipates that future grants under its stock incentive plans will be restricted stock units and performance stock awards and does not anticipate that it will grant stock options.</w:t>
      </w:r>
    </w:p>
    <w:p>
      <w:pPr>
        <w:spacing w:after="0" w:line="12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March 31, 2018, there was approximately $87,814 of unrecognized stock-based compensation expense related to all of the Company's employee stock plans, net of estimated forfeitures, that is expected to be recognized over a weighted average period of 1.01 years. To the extent the actual forfeiture rate is different from what the Company has anticipated, stock-based compensation related to these awards will be different from the Company’s expectations.</w:t>
      </w:r>
    </w:p>
    <w:p>
      <w:pPr>
        <w:spacing w:after="0" w:line="1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estimated the fair value of stock options granted using the Black-Scholes formula. The Company’s calculation of expected term includes a combination of actual exercise data and an assumption on when the remaining outstanding options with similar characteristics would be exercised based on the Company’s historical data. In determining expected life, the Company separates employees into groups that have historically exhibited similar behavior with regard to option exercises. Expected volatility is calculated based on a blended approach that included the implied volatility of the Company’s traded options with a remaining maturity greater than six months and the historical realized volatility of the Company’s common stock. The risk-free interest rate is determined by reference to U.S. Treasury yield curve rates with a remaining term that is approximately the expected life assumed at the date of grant. Forfeitures are estimated based on the Company’s historical analysis of actual stock option forfeitures.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210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 Ended March 31,</w:t>
            </w:r>
          </w:p>
        </w:tc>
      </w:tr>
      <w:tr>
        <w:trPr>
          <w:trHeight w:val="250"/>
        </w:trPr>
        <w:tc>
          <w:tcPr>
            <w:tcW w:w="3280" w:type="dxa"/>
            <w:vAlign w:val="bottom"/>
          </w:tcPr>
          <w:p>
            <w:pPr>
              <w:spacing w:after="0"/>
              <w:rPr>
                <w:sz w:val="21"/>
                <w:szCs w:val="21"/>
                <w:color w:val="auto"/>
              </w:rPr>
            </w:pPr>
          </w:p>
        </w:tc>
        <w:tc>
          <w:tcPr>
            <w:tcW w:w="3940" w:type="dxa"/>
            <w:vAlign w:val="bottom"/>
            <w:gridSpan w:val="2"/>
          </w:tcPr>
          <w:p>
            <w:pPr>
              <w:jc w:val="center"/>
              <w:ind w:left="185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2"/>
          </w:tcPr>
          <w:p>
            <w:pPr>
              <w:jc w:val="center"/>
              <w:ind w:left="1853"/>
              <w:spacing w:after="0"/>
              <w:rPr>
                <w:sz w:val="20"/>
                <w:szCs w:val="20"/>
                <w:color w:val="auto"/>
              </w:rPr>
            </w:pPr>
            <w:r>
              <w:rPr>
                <w:rFonts w:ascii="Arial" w:cs="Arial" w:eastAsia="Arial" w:hAnsi="Arial"/>
                <w:sz w:val="18"/>
                <w:szCs w:val="18"/>
                <w:color w:val="auto"/>
                <w:w w:val="90"/>
              </w:rPr>
              <w:t>39% - 43%</w:t>
            </w:r>
          </w:p>
        </w:tc>
      </w:tr>
      <w:tr>
        <w:trPr>
          <w:trHeight w:val="27"/>
        </w:trPr>
        <w:tc>
          <w:tcPr>
            <w:tcW w:w="3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expected volatility</w:t>
            </w:r>
          </w:p>
        </w:tc>
        <w:tc>
          <w:tcPr>
            <w:tcW w:w="3940" w:type="dxa"/>
            <w:vAlign w:val="bottom"/>
            <w:tcBorders>
              <w:bottom w:val="single" w:sz="8" w:color="CCEEFF"/>
            </w:tcBorders>
            <w:gridSpan w:val="2"/>
            <w:shd w:val="clear" w:color="auto" w:fill="CCEEFF"/>
          </w:tcPr>
          <w:p>
            <w:pPr>
              <w:jc w:val="center"/>
              <w:ind w:left="1853"/>
              <w:spacing w:after="0"/>
              <w:rPr>
                <w:sz w:val="20"/>
                <w:szCs w:val="20"/>
                <w:color w:val="auto"/>
              </w:rPr>
            </w:pPr>
            <w:r>
              <w:rPr>
                <w:rFonts w:ascii="Arial" w:cs="Arial" w:eastAsia="Arial" w:hAnsi="Arial"/>
                <w:sz w:val="18"/>
                <w:szCs w:val="18"/>
                <w:color w:val="auto"/>
                <w:w w:val="88"/>
              </w:rPr>
              <w:t>41%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rates</w:t>
            </w:r>
          </w:p>
        </w:tc>
        <w:tc>
          <w:tcPr>
            <w:tcW w:w="3940" w:type="dxa"/>
            <w:vAlign w:val="bottom"/>
            <w:gridSpan w:val="2"/>
          </w:tcPr>
          <w:p>
            <w:pPr>
              <w:jc w:val="center"/>
              <w:ind w:left="1893"/>
              <w:spacing w:after="0"/>
              <w:rPr>
                <w:sz w:val="20"/>
                <w:szCs w:val="20"/>
                <w:color w:val="auto"/>
              </w:rPr>
            </w:pPr>
            <w:r>
              <w:rPr>
                <w:rFonts w:ascii="Arial" w:cs="Arial" w:eastAsia="Arial" w:hAnsi="Arial"/>
                <w:sz w:val="18"/>
                <w:szCs w:val="18"/>
                <w:color w:val="auto"/>
                <w:w w:val="91"/>
              </w:rPr>
              <w:t>1.29% - 1.75%</w:t>
            </w:r>
          </w:p>
        </w:tc>
      </w:tr>
      <w:tr>
        <w:trPr>
          <w:trHeight w:val="27"/>
        </w:trPr>
        <w:tc>
          <w:tcPr>
            <w:tcW w:w="3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Weighted average expected life (in years)</w:t>
            </w:r>
          </w:p>
        </w:tc>
        <w:tc>
          <w:tcPr>
            <w:tcW w:w="3940" w:type="dxa"/>
            <w:vAlign w:val="bottom"/>
            <w:tcBorders>
              <w:bottom w:val="single" w:sz="8" w:color="CCEEFF"/>
            </w:tcBorders>
            <w:gridSpan w:val="2"/>
            <w:shd w:val="clear" w:color="auto" w:fill="CCEEFF"/>
          </w:tcPr>
          <w:p>
            <w:pPr>
              <w:jc w:val="center"/>
              <w:ind w:left="1853"/>
              <w:spacing w:after="0"/>
              <w:rPr>
                <w:sz w:val="20"/>
                <w:szCs w:val="20"/>
                <w:color w:val="auto"/>
              </w:rPr>
            </w:pPr>
            <w:r>
              <w:rPr>
                <w:rFonts w:ascii="Arial" w:cs="Arial" w:eastAsia="Arial" w:hAnsi="Arial"/>
                <w:sz w:val="18"/>
                <w:szCs w:val="18"/>
                <w:color w:val="auto"/>
                <w:w w:val="95"/>
              </w:rPr>
              <w:t>4.6</w:t>
            </w:r>
          </w:p>
        </w:tc>
      </w:tr>
      <w:tr>
        <w:trPr>
          <w:trHeight w:val="459"/>
        </w:trPr>
        <w:tc>
          <w:tcPr>
            <w:tcW w:w="3280" w:type="dxa"/>
            <w:vAlign w:val="bottom"/>
          </w:tcPr>
          <w:p>
            <w:pPr>
              <w:spacing w:after="0"/>
              <w:rPr>
                <w:sz w:val="24"/>
                <w:szCs w:val="24"/>
                <w:color w:val="auto"/>
              </w:rPr>
            </w:pPr>
          </w:p>
        </w:tc>
        <w:tc>
          <w:tcPr>
            <w:tcW w:w="1940" w:type="dxa"/>
            <w:vAlign w:val="bottom"/>
          </w:tcPr>
          <w:p>
            <w:pPr>
              <w:jc w:val="right"/>
              <w:ind w:right="1433"/>
              <w:spacing w:after="0"/>
              <w:rPr>
                <w:sz w:val="20"/>
                <w:szCs w:val="20"/>
                <w:color w:val="auto"/>
              </w:rPr>
            </w:pPr>
            <w:r>
              <w:rPr>
                <w:rFonts w:ascii="Arial" w:cs="Arial" w:eastAsia="Arial" w:hAnsi="Arial"/>
                <w:sz w:val="18"/>
                <w:szCs w:val="18"/>
                <w:color w:val="auto"/>
              </w:rPr>
              <w:t>70</w:t>
            </w:r>
          </w:p>
        </w:tc>
        <w:tc>
          <w:tcPr>
            <w:tcW w:w="2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activity for the Company’s stock incentive plans from March 31, 2015 to March 31,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left="439"/>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380" w:type="dxa"/>
            <w:vAlign w:val="bottom"/>
            <w:vMerge w:val="restart"/>
          </w:tcPr>
          <w:p>
            <w:pPr>
              <w:jc w:val="center"/>
              <w:ind w:right="26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38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2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6"/>
                <w:szCs w:val="16"/>
                <w:color w:val="auto"/>
              </w:rPr>
            </w:pPr>
          </w:p>
        </w:tc>
        <w:tc>
          <w:tcPr>
            <w:tcW w:w="1380" w:type="dxa"/>
            <w:vAlign w:val="bottom"/>
          </w:tcPr>
          <w:p>
            <w:pPr>
              <w:jc w:val="center"/>
              <w:ind w:right="26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2015</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41.84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59.79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61.81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2016</w:t>
            </w: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5,939</w:t>
            </w:r>
          </w:p>
        </w:tc>
        <w:tc>
          <w:tcPr>
            <w:tcW w:w="1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44.07</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28.44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68.98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44.74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43.30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68.27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4,402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48.64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65,223</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2018</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62,888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weighted average fair value of stock options granted was $15.20 per share during the year ended March 31, 2016. The total intrinsic value of options exercised was $26,547, $9,896, and $23,391 in the years ended March 31, 2018, 2017 and 2016, respectively. The Company’s policy is to issue new shares upon exercise of options as the Company does not hold shares in treasury.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0" w:type="dxa"/>
            <w:vAlign w:val="bottom"/>
            <w:vMerge w:val="restart"/>
          </w:tcPr>
          <w:p>
            <w:pPr>
              <w:jc w:val="center"/>
              <w:ind w:left="528"/>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Non-Vested Restricted Stock Units</w:t>
            </w:r>
          </w:p>
        </w:tc>
        <w:tc>
          <w:tcPr>
            <w:tcW w:w="120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4"/>
              </w:rPr>
              <w:t>Awards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2015</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2016</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2017</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2018</w:t>
            </w:r>
          </w:p>
        </w:tc>
        <w:tc>
          <w:tcPr>
            <w:tcW w:w="1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total fair value of the restricted stock units that vested during the years ended March 31, 2018, 2017 and 2016 was $76,193, $50,051 and $20,981, respectively.</w:t>
      </w:r>
    </w:p>
    <w:p>
      <w:pPr>
        <w:spacing w:after="0" w:line="11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years ended March 31, 2018,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36,917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34,005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28,557</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25,619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28,663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25,811</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74,129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73,928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64,196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fiscal 2018, the Company granted 107 performance restricted stock units (PSU) to certain executives. Vesting of these awards is contingent upon</w:t>
      </w:r>
    </w:p>
    <w:p>
      <w:pPr>
        <w:spacing w:after="0" w:line="46" w:lineRule="exact"/>
        <w:rPr>
          <w:sz w:val="20"/>
          <w:szCs w:val="20"/>
          <w:color w:val="auto"/>
        </w:rPr>
      </w:pPr>
    </w:p>
    <w:p>
      <w:pPr>
        <w:ind w:right="60" w:firstLine="8"/>
        <w:spacing w:after="0" w:line="252" w:lineRule="auto"/>
        <w:tabs>
          <w:tab w:leader="none" w:pos="1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meeting certain company-wide revenue and non-GAAP performance goals (performance-based) in fiscal 2018 and ii) the Company's customary service periods. The awards vest in three annual tranches and have a maximum potential to vest at 200% (214 shares) based on actual fiscal 2018 performance. The related stock-based compensation expense is determined based on the value of the underlying shares on the date of grant and is recognized over the vesting term using the accelerated method. During each financial period, management estimates the probable number of PSUs that would vest until the ultimate achievement of the performance goals is known. Based on the Company's results, the PSUs granted in fiscal 2018 will be eligible to vest at 54%. The awards are included in the restricted stock units table.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fiscal 2018, the Company granted 88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year was $78.28 per share. The awards are included in the restricted stock unit table above.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234 shares in exchange for $10,282 of proceeds in fiscal 2018 and 243 shares in exchange for $8,634 of proceeds in fiscal 2017. The Purchase Plan is considered compensatory and the fair value of the discount and look back provision are estimated using the Black-Scholes formula and recognized over the six month withholding period prior to purchase. The total expense associated with the Purchase Plan for fiscal 2018, 2017 and 2016 was $2,848, $2,620 and $2,418, respectively. As of March 31, 2018, there was approximately $1,171 of unrecognized cost related to the current purchase period of our Employee Stock Purchase Plan.</w:t>
      </w:r>
    </w:p>
    <w:p>
      <w:pPr>
        <w:spacing w:after="0" w:line="1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Tax Cuts and Jobs Act (the Act) was enacted on December 22, 2017. Among the changes to the law, the Act reduces the U.S. federal corporate tax rate from 35% to 21%, requires companies to pay a one-time transition tax on earnings of certain foreign subsidiaries that were previously tax deferred and creates new taxes on certain foreign sourced earnings. As of March 31, 2018, the Company has not completed the accounting for the tax effects of enactment of the Act; however, as described below, it has made a reasonable estimate of the effects on existing deferred tax balances. These amounts are provisional and subject to change. The most significant impact of the legislation for the Company was a $18,040 reduction of the value of the Company's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 income tax purposes. The Company has not made sufficient progress on the transition tax analysis to reasonably estimate the effects, and therefore, has not recorded provisional amounts. However, based on analysis to date the one-time transition tax is not expected to be material.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18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Act also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Given the complexity of the GILTI provisions, the Company is still evaluating the effects of the GILTI provisions and has not yet determined its accounting policy. At March 31, 2018, because the Company is still evaluating the GILTI provisions and analysis of future taxable income that is subject to GILTI, it is unable to make a reasonable estimate and has not reflected any adjustments related to GILTI in the financial statements.</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Act requires complex computations to be performed that were not previously required in U.S. tax law, judgments to be made in interpretation of the provisions of the Act, estimates in calculations, and the preparation and analysis of information not previously relevant or regularly produced. The U.S. Treasury Department, the Internal Revenue Service ("RS), and other standard-setting bodies could interpret or issue guidance on how provisions of the Tax Act will be applied or otherwise administered that is different from our current interpretation.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Net deferred tax assets arise due to the recognition of income and expense items for tax purposes, which differ from those used for financial statement purposes. ASC 740, Income Taxes, provides for the recognition of deferred tax assets if realization of such assets is more likely than not. In assessing the need for a valuation allowance in fiscal 2018, the Company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the Company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56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w w:val="92"/>
              </w:rPr>
              <w:t>The components of income tax expense (benefit) were as follows:</w:t>
            </w: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5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 March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5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6,360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57,582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173"/>
              <w:spacing w:after="0"/>
              <w:rPr>
                <w:sz w:val="20"/>
                <w:szCs w:val="20"/>
                <w:color w:val="auto"/>
              </w:rPr>
            </w:pPr>
            <w:r>
              <w:rPr>
                <w:rFonts w:ascii="Arial" w:cs="Arial" w:eastAsia="Arial" w:hAnsi="Arial"/>
                <w:sz w:val="18"/>
                <w:szCs w:val="18"/>
                <w:color w:val="auto"/>
              </w:rPr>
              <w:t>74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tax rates and the effective tax rates for the years ended March 31, 2018, 2017 and 2016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 Ended March 31,</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 expense (benefit) rate</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6"/>
              </w:rPr>
              <w:t>State and local income tax expense, net of federal income tax effect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limit on executive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earnings taxed at different rates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63.0 %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131.5 %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permanent differences</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tax credits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reserves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1,626.5 %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Statutory tax rate changes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451.9 %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differences, net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expense (benefit)</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1,668.6 %</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75</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45,867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12,810</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Allowance for doubtful accounts and other reserves</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601</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(58,350)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70,541</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(9,523)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(15,187)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(20,313)</w:t>
            </w:r>
          </w:p>
        </w:tc>
      </w:tr>
      <w:tr>
        <w:trPr>
          <w:trHeight w:val="27"/>
        </w:trPr>
        <w:tc>
          <w:tcPr>
            <w:tcW w:w="7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infinitely postpone their remittance. In the event it needed to repatriate funds from outside of the United States, such repatriation would likely be subject to restrictions by local laws and/or tax consequences including foreign withholding taxes. It is not currently practical to estimate the legal restrictions or tax liability that would arise from such repatriations.</w:t>
      </w:r>
    </w:p>
    <w:p>
      <w:pPr>
        <w:spacing w:after="0" w:line="13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At March 31, 2018, the Company had a $30,888 federal net operating loss that was generated during fiscal 2018. This net operating loss is allowed to be carryforward indefinitely and has no annual limitations on its utilization to offset future federal taxable income. The Company also had federal and state research tax credit (R&amp;D credits) carryforwards of approximately $3,468 and $3,142, respectively. The federal research tax credit carryforwards expire from 2025 through 2036, and the state research tax credit carryforwards expire from 2018 through 2023.</w:t>
      </w:r>
    </w:p>
    <w:p>
      <w:pPr>
        <w:spacing w:after="0" w:line="11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are the United States, Australia, Canada, Germany, Netherlands and United Kingdom. The following table summarizes the tax years in the Company’s major tax jurisdictions that remain subject to income tax examinations by tax authorities as of March 31, 2018. The years subject to income tax examination in the Company’s foreign jurisdictions cover the maximum time period with respect to these jurisdictions. Due to NOL carryforwards, in some cases the tax years continue to remain subject to examination with respect to such NOLs.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Tax Jurisdiction</w:t>
            </w:r>
          </w:p>
        </w:tc>
        <w:tc>
          <w:tcPr>
            <w:tcW w:w="7840" w:type="dxa"/>
            <w:vAlign w:val="bottom"/>
          </w:tcPr>
          <w:p>
            <w:pPr>
              <w:jc w:val="center"/>
              <w:ind w:left="3957"/>
              <w:spacing w:after="0"/>
              <w:rPr>
                <w:sz w:val="20"/>
                <w:szCs w:val="20"/>
                <w:color w:val="auto"/>
              </w:rPr>
            </w:pPr>
            <w:r>
              <w:rPr>
                <w:rFonts w:ascii="Arial" w:cs="Arial" w:eastAsia="Arial" w:hAnsi="Arial"/>
                <w:sz w:val="14"/>
                <w:szCs w:val="14"/>
                <w:b w:val="1"/>
                <w:bCs w:val="1"/>
                <w:color w:val="auto"/>
                <w:w w:val="90"/>
              </w:rPr>
              <w:t>Years Subject to Income</w:t>
            </w:r>
          </w:p>
        </w:tc>
        <w:tc>
          <w:tcPr>
            <w:tcW w:w="0" w:type="dxa"/>
            <w:vAlign w:val="bottom"/>
          </w:tcPr>
          <w:p>
            <w:pPr>
              <w:spacing w:after="0"/>
              <w:rPr>
                <w:sz w:val="1"/>
                <w:szCs w:val="1"/>
                <w:color w:val="auto"/>
              </w:rPr>
            </w:pPr>
          </w:p>
        </w:tc>
      </w:tr>
      <w:tr>
        <w:trPr>
          <w:trHeight w:val="192"/>
        </w:trPr>
        <w:tc>
          <w:tcPr>
            <w:tcW w:w="3580" w:type="dxa"/>
            <w:vAlign w:val="bottom"/>
            <w:vMerge w:val="continue"/>
          </w:tcPr>
          <w:p>
            <w:pPr>
              <w:spacing w:after="0"/>
              <w:rPr>
                <w:sz w:val="16"/>
                <w:szCs w:val="16"/>
                <w:color w:val="auto"/>
              </w:rPr>
            </w:pPr>
          </w:p>
        </w:tc>
        <w:tc>
          <w:tcPr>
            <w:tcW w:w="7840" w:type="dxa"/>
            <w:vAlign w:val="bottom"/>
          </w:tcPr>
          <w:p>
            <w:pPr>
              <w:jc w:val="right"/>
              <w:ind w:right="1337"/>
              <w:spacing w:after="0"/>
              <w:rPr>
                <w:sz w:val="20"/>
                <w:szCs w:val="20"/>
                <w:color w:val="auto"/>
              </w:rPr>
            </w:pPr>
            <w:r>
              <w:rPr>
                <w:rFonts w:ascii="Arial" w:cs="Arial" w:eastAsia="Arial" w:hAnsi="Arial"/>
                <w:sz w:val="14"/>
                <w:szCs w:val="14"/>
                <w:b w:val="1"/>
                <w:bCs w:val="1"/>
                <w:color w:val="auto"/>
              </w:rPr>
              <w:t>Tax Examination</w:t>
            </w: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840" w:type="dxa"/>
            <w:vAlign w:val="bottom"/>
            <w:tcBorders>
              <w:bottom w:val="single" w:sz="8" w:color="CCEEFF"/>
            </w:tcBorders>
            <w:shd w:val="clear" w:color="auto" w:fill="CCEEFF"/>
          </w:tcPr>
          <w:p>
            <w:pPr>
              <w:jc w:val="center"/>
              <w:ind w:left="3957"/>
              <w:spacing w:after="0"/>
              <w:rPr>
                <w:sz w:val="20"/>
                <w:szCs w:val="20"/>
                <w:color w:val="auto"/>
              </w:rPr>
            </w:pPr>
            <w:r>
              <w:rPr>
                <w:rFonts w:ascii="Arial" w:cs="Arial" w:eastAsia="Arial" w:hAnsi="Arial"/>
                <w:sz w:val="18"/>
                <w:szCs w:val="18"/>
                <w:color w:val="auto"/>
                <w:w w:val="88"/>
              </w:rPr>
              <w:t>2014 - Present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Foreign jurisdictions</w:t>
            </w:r>
          </w:p>
        </w:tc>
        <w:tc>
          <w:tcPr>
            <w:tcW w:w="7840" w:type="dxa"/>
            <w:vAlign w:val="bottom"/>
          </w:tcPr>
          <w:p>
            <w:pPr>
              <w:jc w:val="center"/>
              <w:ind w:left="3957"/>
              <w:spacing w:after="0"/>
              <w:rPr>
                <w:sz w:val="20"/>
                <w:szCs w:val="20"/>
                <w:color w:val="auto"/>
              </w:rPr>
            </w:pPr>
            <w:r>
              <w:rPr>
                <w:rFonts w:ascii="Arial" w:cs="Arial" w:eastAsia="Arial" w:hAnsi="Arial"/>
                <w:sz w:val="18"/>
                <w:szCs w:val="18"/>
                <w:color w:val="auto"/>
                <w:w w:val="88"/>
              </w:rPr>
              <w:t>2013 - Present</w:t>
            </w: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7840" w:type="dxa"/>
            <w:vAlign w:val="bottom"/>
          </w:tcPr>
          <w:p>
            <w:pPr>
              <w:jc w:val="right"/>
              <w:ind w:right="553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amounts of unrecognized tax benefits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fiscal 2016</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2016</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fiscal 2017</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fiscal 2018</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r>
      <w:tr>
        <w:trPr>
          <w:trHeight w:val="27"/>
        </w:trPr>
        <w:tc>
          <w:tcPr>
            <w:tcW w:w="9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The Company estimates that no significant remaining unrecognized tax benefits will be realized during the fiscal year ending March 31, 2019. Interest and penalties related to unrecognized tax benefits are recorded in income tax expense. In the years ended March 31, 2018, 2017 and 2016, the Company recognized $80, $61 and $52, respectively, of interest and penalties in the Consolidated Statement of Operations.</w:t>
      </w:r>
    </w:p>
    <w:p>
      <w:pPr>
        <w:spacing w:after="0" w:line="10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defined contribution plan, as allowed under Section 401(k) of the Internal Revenue Code, covering substantially all employees.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2012, the Company makes contributions equal to a discretionary percentage of the employee’s contributions determined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March 31, 2018, 2017 and 2016, the Company made contributions of $2,959, $2,998, and $2,047, respectively.</w:t>
      </w:r>
    </w:p>
    <w:p>
      <w:pPr>
        <w:spacing w:after="0" w:line="15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3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operates in one segment. The Company’s products and services are sold throughout the world, through direct and indirect sales channels. The Company’s chief operating decision maker (the “CODM”) is the chief executive officer. The CODM makes operating performance assessment and resource allocation decisions on a global basis. The CODM does not receive discrete financial information about asset allocation, expense allocation or profitability by product or geography.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and long-lived assets by geographic area: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377,934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365,354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341,822</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321,459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279,651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251,945</w:t>
            </w:r>
          </w:p>
        </w:tc>
      </w:tr>
      <w:tr>
        <w:trPr>
          <w:trHeight w:val="237"/>
        </w:trPr>
        <w:tc>
          <w:tcPr>
            <w:tcW w:w="606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699,393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645,005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593,767</w:t>
            </w: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individual country other than the United States accounts for 10% or more of revenues in the years ended March 31, 2018, 2017 and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included in the “Other” caption above primarily relates to the Company’s operations in Europe, Australia, Canada and Asia.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145,918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131,083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25,936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8,509</w:t>
            </w:r>
          </w:p>
        </w:tc>
      </w:tr>
      <w:tr>
        <w:trPr>
          <w:trHeight w:val="237"/>
        </w:trPr>
        <w:tc>
          <w:tcPr>
            <w:tcW w:w="764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2"/>
              </w:rPr>
              <w:t>171,854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139,592</w:t>
            </w: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and 2017 no other individual country, other than the United States, accounts for 10% or more of long-lived assets.</w:t>
      </w:r>
    </w:p>
    <w:p>
      <w:pPr>
        <w:spacing w:after="0" w:line="16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165,972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168,140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180,366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184,915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144,873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64"/>
        </w:trPr>
        <w:tc>
          <w:tcPr>
            <w:tcW w:w="4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Quarter Ended</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3"/>
            <w:shd w:val="clear" w:color="auto" w:fill="CCEEFF"/>
          </w:tcPr>
          <w:p>
            <w:pPr>
              <w:jc w:val="center"/>
              <w:ind w:left="915"/>
              <w:spacing w:after="0"/>
              <w:rPr>
                <w:sz w:val="20"/>
                <w:szCs w:val="20"/>
                <w:color w:val="auto"/>
              </w:rPr>
            </w:pPr>
            <w:r>
              <w:rPr>
                <w:rFonts w:ascii="Arial" w:cs="Arial" w:eastAsia="Arial" w:hAnsi="Arial"/>
                <w:sz w:val="16"/>
                <w:szCs w:val="16"/>
                <w:b w:val="1"/>
                <w:bCs w:val="1"/>
                <w:color w:val="auto"/>
                <w:w w:val="89"/>
              </w:rPr>
              <w:t>As Adjusted</w:t>
            </w: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151,774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159,438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167,061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166,732</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137,781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145,358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0.00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r>
      <w:tr>
        <w:trPr>
          <w:trHeight w:val="27"/>
        </w:trPr>
        <w:tc>
          <w:tcPr>
            <w:tcW w:w="4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0" w:hanging="652"/>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 common share amounts for the quarters and full year have been calculated separately. Accordingly, quarterly amounts do not add to the annual amount because of differences in the weighted average common shares outstanding during each period used in the basic and diluted calculations.</w:t>
      </w:r>
    </w:p>
    <w:p>
      <w:pPr>
        <w:sectPr>
          <w:pgSz w:w="11900" w:h="16838" w:orient="portrait"/>
          <w:cols w:equalWidth="0" w:num="1">
            <w:col w:w="11400"/>
          </w:cols>
          <w:pgMar w:left="240" w:top="121" w:right="25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1" w:right="259" w:bottom="1440" w:gutter="0" w:footer="0" w:header="0"/>
          <w:type w:val="continuous"/>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On May 1, 2018, the Company announced governance and operational initiatives designed to support its new strategic transformation plan, called </w:t>
      </w:r>
      <w:r>
        <w:rPr>
          <w:rFonts w:ascii="Arial" w:cs="Arial" w:eastAsia="Arial" w:hAnsi="Arial"/>
          <w:sz w:val="18"/>
          <w:szCs w:val="18"/>
          <w:i w:val="1"/>
          <w:iCs w:val="1"/>
          <w:color w:val="auto"/>
        </w:rPr>
        <w:t xml:space="preserve">Commvault Advance. </w:t>
      </w:r>
      <w:r>
        <w:rPr>
          <w:rFonts w:ascii="Arial" w:cs="Arial" w:eastAsia="Arial" w:hAnsi="Arial"/>
          <w:sz w:val="18"/>
          <w:szCs w:val="18"/>
          <w:color w:val="auto"/>
        </w:rPr>
        <w:t>These initiatives included the following actions -</w:t>
      </w:r>
    </w:p>
    <w:p>
      <w:pPr>
        <w:spacing w:after="0" w:line="89" w:lineRule="exact"/>
        <w:rPr>
          <w:sz w:val="20"/>
          <w:szCs w:val="20"/>
          <w:color w:val="auto"/>
        </w:rPr>
      </w:pPr>
    </w:p>
    <w:p>
      <w:pPr>
        <w:ind w:left="980" w:hanging="324"/>
        <w:spacing w:after="0" w:line="27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 Robert Hammer and the Commvault Board of Directors have determined that it is the appropriate time to begin a search for a new CEO to lead the Company through its anticipated next stage of growth. The Commvault Board will appoint a search committee and will retain an executive search firm to assist with the external search. Mr. Hammer will continue to lead Commvault as Chairman, CEO and President until his successor is appointed. It is anticipated that Mr. Hammer will remain as Chairman of the Board after his successor is appointed.</w:t>
      </w:r>
    </w:p>
    <w:p>
      <w:pPr>
        <w:spacing w:after="0" w:line="306" w:lineRule="exact"/>
        <w:rPr>
          <w:rFonts w:ascii="Arial" w:cs="Arial" w:eastAsia="Arial" w:hAnsi="Arial"/>
          <w:sz w:val="17"/>
          <w:szCs w:val="17"/>
          <w:color w:val="auto"/>
        </w:rPr>
      </w:pPr>
    </w:p>
    <w:p>
      <w:pPr>
        <w:ind w:left="980" w:right="12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Commvault Board of Directors will appoint two new independent directors prior to the 2018 Annual Meeting of Shareholders. Upon these appointments, two existing Board members will resign, resulting in a Board that continues to be comprised of 11 directors.</w:t>
      </w:r>
    </w:p>
    <w:p>
      <w:pPr>
        <w:spacing w:after="0" w:line="281" w:lineRule="exact"/>
        <w:rPr>
          <w:rFonts w:ascii="Arial" w:cs="Arial" w:eastAsia="Arial" w:hAnsi="Arial"/>
          <w:sz w:val="17"/>
          <w:szCs w:val="17"/>
          <w:color w:val="auto"/>
        </w:rPr>
      </w:pPr>
    </w:p>
    <w:p>
      <w:pPr>
        <w:ind w:left="980" w:right="40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Commvault’s Board has also formed an Operations Committee comprised of two existing independent directors and the two new directors, which will work closely with the Company’s management team on a comprehensive review of Commvault’s business to identify additional opportunities to further propel Commvault Advance and its profitable growth and value creation objectives. The Company will engage a leading outside consultant to work with the Operations Committee on this review.</w:t>
      </w:r>
    </w:p>
    <w:p>
      <w:pPr>
        <w:spacing w:after="0" w:line="321" w:lineRule="exact"/>
        <w:rPr>
          <w:rFonts w:ascii="Arial" w:cs="Arial" w:eastAsia="Arial" w:hAnsi="Arial"/>
          <w:sz w:val="18"/>
          <w:szCs w:val="18"/>
          <w:color w:val="auto"/>
        </w:rPr>
      </w:pPr>
    </w:p>
    <w:p>
      <w:pPr>
        <w:ind w:left="980" w:right="100" w:hanging="324"/>
        <w:spacing w:after="0" w:line="27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restructuring plan to increase efficiency in its sales, marketing and distribution functions as well as reduce costs across all functional areas of the Company. As part of this strategic initiative, the Company’s workforce will be reduced by approximately 4%. The Company expects to incur total pre-tax charges of approximately $6,000 to $8,000, most of which will be recognized in the first quarter of fiscal 2019. These restructuring charges relate primarily to severance and related costs associated with headcount reductions.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79" w:name="page80"/>
    <w:bookmarkEnd w:id="79"/>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2018. Based on that evaluation, the Chief Executive Officer and Chief Financial Officer concluded that our disclosure controls and procedures were effective as of March 31, 2018.</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internal control over financial reporting as of March 31, 2018. In making this assessment, management used the framework set forth by the Committee of Sponsoring Organizations of the Treadway Commission (COSO) in the 2013 Internal Control—Integrated Framework.</w:t>
      </w:r>
    </w:p>
    <w:p>
      <w:pPr>
        <w:spacing w:after="0" w:line="3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Based on our assessment, using those criteria, our management concluded that, as of March 31, 2018, our internal control over financial reporting was effective. The effectiveness of our internal control over financial reporting as of March 31, 2018 has been audited by Ernst &amp; Young LLP, our independent registered public accounting firm, as stated in their report, which is included below in this Annual Report on Form 10-K.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688"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Commvault System, Inc.’s internal control over financial reporting as of March 31, 2018, based on criteria established in Internal Control-Integrated Framework issued by the Committee of Sponsoring Organizations of the Treadway Commission (2013 framework) (the COSO criteria). In our opinion, Commvault Systems, Inc. maintained, in all material respects, effective internal control over financial reporting as of March 31, 2018, based on the COSO criteria.</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balance sheets of the Company as of March 31, 2018 and 2017, the related consolidated statements of operations, comprehensive (loss) income, stockholders' equity and cash flows for each of the three years in the period ended March 31, 2018, and the related notes and financial statement schedule listed in the Index at Item 15 and our report dated May 3, 2018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and correct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94" w:right="239" w:bottom="1440" w:gutter="0" w:footer="0" w:header="0"/>
        </w:sectPr>
      </w:pPr>
    </w:p>
    <w:bookmarkStart w:id="81" w:name="page82"/>
    <w:bookmarkEnd w:id="81"/>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2018. Information with respect to this Item is incorporated herein by reference from our 2018 Proxy Statement, including in the sections captioned, “Our Board of Directors” and “Corporate Governance”.</w:t>
      </w:r>
    </w:p>
    <w:p>
      <w:pPr>
        <w:spacing w:after="0" w:line="4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Board of Directors has adopted a code of business ethics and conduct, which applies to all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2018 Proxy Statement, including in the section captioned “Compensation Discussion and Analysis”.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2018 Proxy Statement, including in the section captioned “Security Ownership of Certain Beneficial Ownership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following table provides information as of March 31, 2018 with respect to the shares of our common stock that may be issuable upon the exercise of options, warrants and rights under or existing equity compensation plans. The following information is as of March 31, 2018:</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approved by security holders(1)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not approved by security holder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Future Issuance Under Equity</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 be</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89"/>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w:t>
            </w:r>
            <w:r>
              <w:rPr>
                <w:rFonts w:ascii="Arial" w:cs="Arial" w:eastAsia="Arial" w:hAnsi="Arial"/>
                <w:sz w:val="18"/>
                <w:szCs w:val="18"/>
                <w:color w:val="auto"/>
                <w:w w:val="91"/>
              </w:rPr>
              <w:t>(2)</w:t>
            </w:r>
          </w:p>
        </w:tc>
        <w:tc>
          <w:tcPr>
            <w:tcW w:w="0" w:type="dxa"/>
            <w:vAlign w:val="bottom"/>
          </w:tcPr>
          <w:p>
            <w:pPr>
              <w:spacing w:after="0"/>
              <w:rPr>
                <w:sz w:val="1"/>
                <w:szCs w:val="1"/>
                <w:color w:val="auto"/>
              </w:rPr>
            </w:pPr>
          </w:p>
        </w:tc>
      </w:tr>
      <w:tr>
        <w:trPr>
          <w:trHeight w:val="192"/>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6,568,000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1,742,000</w:t>
            </w:r>
          </w:p>
        </w:tc>
        <w:tc>
          <w:tcPr>
            <w:tcW w:w="0" w:type="dxa"/>
            <w:vAlign w:val="bottom"/>
          </w:tcPr>
          <w:p>
            <w:pPr>
              <w:spacing w:after="0"/>
              <w:rPr>
                <w:sz w:val="1"/>
                <w:szCs w:val="1"/>
                <w:color w:val="auto"/>
              </w:rPr>
            </w:pPr>
          </w:p>
        </w:tc>
      </w:tr>
      <w:tr>
        <w:trPr>
          <w:trHeight w:val="270"/>
        </w:trPr>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jc w:val="right"/>
              <w:ind w:right="41"/>
              <w:spacing w:after="0"/>
              <w:rPr>
                <w:sz w:val="20"/>
                <w:szCs w:val="20"/>
                <w:color w:val="auto"/>
              </w:rPr>
            </w:pPr>
            <w:r>
              <w:rPr>
                <w:rFonts w:ascii="Arial" w:cs="Arial" w:eastAsia="Arial" w:hAnsi="Arial"/>
                <w:sz w:val="18"/>
                <w:szCs w:val="18"/>
                <w:color w:val="auto"/>
              </w:rPr>
              <w:t>6,568,000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1,742,000</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-556895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60"/>
            <w:col w:w="6840"/>
          </w:cols>
          <w:pgMar w:left="240" w:top="688" w:right="239" w:bottom="1440" w:gutter="0" w:footer="0" w:header="0"/>
          <w:type w:val="continuous"/>
        </w:sectPr>
      </w:pPr>
    </w:p>
    <w:p>
      <w:pPr>
        <w:spacing w:after="0" w:line="2" w:lineRule="exact"/>
        <w:rPr>
          <w:sz w:val="20"/>
          <w:szCs w:val="20"/>
          <w:color w:val="auto"/>
        </w:rPr>
      </w:pPr>
    </w:p>
    <w:p>
      <w:pPr>
        <w:ind w:left="660" w:right="3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awards under our Omnibus Incentive Plan. These amounts do not include potentially issuable shares under the Employee Stock Purchase Plan. The company has reserved 2,166,000 shares for the future issuance of shares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88" w:right="239" w:bottom="1440" w:gutter="0" w:footer="0" w:header="0"/>
          <w:type w:val="continuous"/>
        </w:sectPr>
      </w:pPr>
    </w:p>
    <w:bookmarkStart w:id="82" w:name="page83"/>
    <w:bookmarkEnd w:id="82"/>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2018 Proxy Statement, including in the section captioned, “Transactions with Related Persons”.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2018 Proxy Statement, including in the sections captioned “Audit, Audit-related, Tax and All Other Fees”.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 schedule should be read in conjunction with the Consolidated Financial Statements set forth in Item 8 and appears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years ended March 31, 2016, 2017 and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other schedules are omitted because they are not required or the required information is shown in the financial statements or notes thereto.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Charged</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(Credited) to</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Costs and</w:t>
            </w:r>
          </w:p>
        </w:tc>
        <w:tc>
          <w:tcPr>
            <w:tcW w:w="520" w:type="dxa"/>
            <w:vAlign w:val="bottom"/>
          </w:tcPr>
          <w:p>
            <w:pPr>
              <w:spacing w:after="0"/>
              <w:rPr>
                <w:sz w:val="12"/>
                <w:szCs w:val="12"/>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86"/>
              </w:rPr>
              <w:t>Deductions</w:t>
            </w:r>
          </w:p>
        </w:tc>
        <w:tc>
          <w:tcPr>
            <w:tcW w:w="380" w:type="dxa"/>
            <w:vAlign w:val="bottom"/>
          </w:tcPr>
          <w:p>
            <w:pPr>
              <w:spacing w:after="0"/>
              <w:rPr>
                <w:sz w:val="12"/>
                <w:szCs w:val="12"/>
                <w:color w:val="auto"/>
              </w:rPr>
            </w:pPr>
          </w:p>
        </w:tc>
        <w:tc>
          <w:tcPr>
            <w:tcW w:w="13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Expenses</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2016</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247</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1,343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1,429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March 31, 2017</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315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(161)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2,772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(976)</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2018</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1,796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56,554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58,350</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575"/>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3" w:name="page84"/>
    <w:bookmarkEnd w:id="83"/>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466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960" w:type="dxa"/>
            <w:vAlign w:val="bottom"/>
            <w:gridSpan w:val="5"/>
          </w:tcPr>
          <w:p>
            <w:pPr>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486"/>
        </w:trPr>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tcPr>
          <w:p>
            <w:pPr>
              <w:spacing w:after="0"/>
              <w:rPr>
                <w:sz w:val="24"/>
                <w:szCs w:val="24"/>
                <w:color w:val="auto"/>
              </w:rPr>
            </w:pPr>
          </w:p>
        </w:tc>
      </w:tr>
      <w:tr>
        <w:trPr>
          <w:trHeight w:val="223"/>
        </w:trPr>
        <w:tc>
          <w:tcPr>
            <w:tcW w:w="400" w:type="dxa"/>
            <w:vAlign w:val="bottom"/>
            <w:gridSpan w:val="2"/>
          </w:tcPr>
          <w:p>
            <w:pPr>
              <w:spacing w:after="0"/>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9"/>
              </w:rPr>
              <w:t>Amended and Restated Certificate of Incorporation of Commvault Systems, Inc. (Incorporated by reference to Exhibit 3.1 to</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Registration Statement on Form S-1, Commission File No. 333-132550).</w:t>
            </w:r>
          </w:p>
        </w:tc>
      </w:tr>
      <w:tr>
        <w:trPr>
          <w:trHeight w:val="230"/>
        </w:trPr>
        <w:tc>
          <w:tcPr>
            <w:tcW w:w="400" w:type="dxa"/>
            <w:vAlign w:val="bottom"/>
            <w:gridSpan w:val="2"/>
          </w:tcPr>
          <w:p>
            <w:pPr>
              <w:spacing w:after="0"/>
              <w:rPr>
                <w:rFonts w:ascii="Arial" w:cs="Arial" w:eastAsia="Arial" w:hAnsi="Arial"/>
                <w:sz w:val="18"/>
                <w:szCs w:val="18"/>
                <w:color w:val="0000FF"/>
              </w:rPr>
            </w:pPr>
            <w:hyperlink r:id="rId2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Amended and Restated Bylaws of Commvault Systems, Inc. (Incorporated by reference to Exhibit 3.1 to the Registrant’s Form 8-K</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dated April 25, 2014).</w:t>
            </w:r>
          </w:p>
        </w:tc>
      </w:tr>
      <w:tr>
        <w:trPr>
          <w:trHeight w:val="230"/>
        </w:trPr>
        <w:tc>
          <w:tcPr>
            <w:tcW w:w="400" w:type="dxa"/>
            <w:vAlign w:val="bottom"/>
            <w:gridSpan w:val="2"/>
          </w:tcPr>
          <w:p>
            <w:pPr>
              <w:spacing w:after="0"/>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Certification of Designation of Series A Junior Participating Preferred Stock of Commvault Systems, Inc. (Incorporated by reference</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to Exhibit 3.1 to Registrant’s Form 8-K dated November 14, 2008).</w:t>
            </w:r>
          </w:p>
        </w:tc>
      </w:tr>
      <w:tr>
        <w:trPr>
          <w:trHeight w:val="230"/>
        </w:trPr>
        <w:tc>
          <w:tcPr>
            <w:tcW w:w="400" w:type="dxa"/>
            <w:vAlign w:val="bottom"/>
            <w:gridSpan w:val="2"/>
          </w:tcPr>
          <w:p>
            <w:pPr>
              <w:spacing w:after="0"/>
              <w:rPr>
                <w:rFonts w:ascii="Arial" w:cs="Arial" w:eastAsia="Arial" w:hAnsi="Arial"/>
                <w:sz w:val="18"/>
                <w:szCs w:val="18"/>
                <w:color w:val="0000FF"/>
              </w:rPr>
            </w:pPr>
            <w:hyperlink r:id="rId2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Common Stock Certificate (Incorporated by reference to Exhibit 4.1 to the Registrant’s Registration Statement on Form S-1,</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Commission File No. 333-132550).</w:t>
            </w:r>
          </w:p>
        </w:tc>
      </w:tr>
      <w:tr>
        <w:trPr>
          <w:trHeight w:val="230"/>
        </w:trPr>
        <w:tc>
          <w:tcPr>
            <w:tcW w:w="400" w:type="dxa"/>
            <w:vAlign w:val="bottom"/>
            <w:gridSpan w:val="2"/>
          </w:tcPr>
          <w:p>
            <w:pPr>
              <w:spacing w:after="0"/>
              <w:rPr>
                <w:rFonts w:ascii="Arial" w:cs="Arial" w:eastAsia="Arial" w:hAnsi="Arial"/>
                <w:sz w:val="18"/>
                <w:szCs w:val="18"/>
                <w:color w:val="0000FF"/>
              </w:rPr>
            </w:pPr>
            <w:hyperlink r:id="rId2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0"/>
              </w:rPr>
              <w:t>Rights Agreement between Commvault Systems, Inc. and Registrar and Transfer Company (Incorporated by reference to Exhibit 4.1 to</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Form 8-K dated November 14, 2008).</w:t>
            </w:r>
          </w:p>
        </w:tc>
      </w:tr>
      <w:tr>
        <w:trPr>
          <w:trHeight w:val="230"/>
        </w:trPr>
        <w:tc>
          <w:tcPr>
            <w:tcW w:w="400" w:type="dxa"/>
            <w:vAlign w:val="bottom"/>
            <w:gridSpan w:val="2"/>
          </w:tcPr>
          <w:p>
            <w:pPr>
              <w:spacing w:after="0"/>
              <w:rPr>
                <w:rFonts w:ascii="Arial" w:cs="Arial" w:eastAsia="Arial" w:hAnsi="Arial"/>
                <w:sz w:val="18"/>
                <w:szCs w:val="18"/>
                <w:color w:val="0000FF"/>
              </w:rPr>
            </w:pPr>
            <w:hyperlink r:id="rId30">
              <w:r>
                <w:rPr>
                  <w:rFonts w:ascii="Arial" w:cs="Arial" w:eastAsia="Arial" w:hAnsi="Arial"/>
                  <w:sz w:val="18"/>
                  <w:szCs w:val="18"/>
                  <w:color w:val="0000FF"/>
                </w:rPr>
                <w:t>9.</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4"/>
              </w:rPr>
              <w:t>Form of Voting Trust Agreement (Incorporated by reference to Exhibit 9.1 to the Registrant’s Registration Statement on Form S-1,</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Non-Qualified Stock Option Agreement (Incorporated by reference to Exhibit 10.4 to the Registrant’s Registration Statement</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on Form S-1, 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2">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Restricted Stock Unit Agreement (Incorporated by reference to Exhibit 10.5 to the Registrant’s Annual Report on Form 10-K</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for the year ended March 31, 2007).</w:t>
            </w:r>
          </w:p>
        </w:tc>
      </w:tr>
      <w:tr>
        <w:trPr>
          <w:trHeight w:val="230"/>
        </w:trPr>
        <w:tc>
          <w:tcPr>
            <w:tcW w:w="480" w:type="dxa"/>
            <w:vAlign w:val="bottom"/>
            <w:gridSpan w:val="3"/>
          </w:tcPr>
          <w:p>
            <w:pPr>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Employment Agreement, dated as of February 1, 2004, between Commvault Systems, Inc. and N. Robert Hammer (Incorporated by</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10.5 to the Registrant’s Registration Statement on Form S-1, 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8"/>
              </w:rPr>
              <w:t>Form of Employment Agreement between Commvault Systems, Inc. and Alan G. Bunte and Louis F. Miceli (Incorporated by</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10.6 to the Registrant’s Registration Statement on Form S-1, 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9"/>
              </w:rPr>
              <w:t>Form of Corporate Change of Control Agreement between Commvault Systems, Inc. and Alan G. Bunte and Louis F. Miceli</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(Incorporated by reference to Exhibit 10.7 to the Registrant’s Registration Statement on Form S-1, 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Form of Corporate Change of Control Agreement between Commvault Systems, Inc. and Brian Carolan, and Ron Miiller</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(Incorporated by reference to Exhibit 10.8 to the Registrant’s Registration Statement on Form S-1, Commission File No. 333-132550).</w:t>
            </w:r>
          </w:p>
        </w:tc>
      </w:tr>
      <w:tr>
        <w:trPr>
          <w:trHeight w:val="230"/>
        </w:trPr>
        <w:tc>
          <w:tcPr>
            <w:tcW w:w="480" w:type="dxa"/>
            <w:vAlign w:val="bottom"/>
            <w:gridSpan w:val="3"/>
          </w:tcPr>
          <w:p>
            <w:pPr>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20" w:type="dxa"/>
            <w:vAlign w:val="bottom"/>
          </w:tcPr>
          <w:p>
            <w:pPr>
              <w:spacing w:after="0"/>
              <w:rPr>
                <w:sz w:val="19"/>
                <w:szCs w:val="19"/>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6"/>
              </w:rPr>
              <w:t>Form of Indemnity Agreement between Commvault Systems, Inc. and each of its current officers and directors (Incorporated by</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10.9 to the Registrant’s Registration Statement on Form S-1, Commission File No. 333-132550).</w:t>
            </w:r>
          </w:p>
        </w:tc>
      </w:tr>
      <w:tr>
        <w:trPr>
          <w:trHeight w:val="230"/>
        </w:trPr>
        <w:tc>
          <w:tcPr>
            <w:tcW w:w="700" w:type="dxa"/>
            <w:vAlign w:val="bottom"/>
            <w:gridSpan w:val="4"/>
          </w:tcPr>
          <w:p>
            <w:pPr>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Commvault Systems, Inc. Employee Stock Purchase Plan dated December 9, 2013 (Incorporated by reference to Exhibit 10.10 to the</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Annual Report on Form 10-K for the year ended March 31, 2014).</w:t>
            </w:r>
          </w:p>
        </w:tc>
      </w:tr>
      <w:tr>
        <w:trPr>
          <w:trHeight w:val="230"/>
        </w:trPr>
        <w:tc>
          <w:tcPr>
            <w:tcW w:w="700" w:type="dxa"/>
            <w:vAlign w:val="bottom"/>
            <w:gridSpan w:val="4"/>
          </w:tcPr>
          <w:p>
            <w:pPr>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Commvault Systems, Inc. Omnibus Incentive Plan Commvault Systems, Inc. Omnibus Incentive Plan (Incorporated by reference to</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Exhibit 10.12 to the Registrant’s Registration Statement on Form S-8, Commission File No. 333-213211).</w:t>
            </w:r>
          </w:p>
        </w:tc>
      </w:tr>
      <w:tr>
        <w:trPr>
          <w:trHeight w:val="446"/>
        </w:trPr>
        <w:tc>
          <w:tcPr>
            <w:tcW w:w="700" w:type="dxa"/>
            <w:vAlign w:val="bottom"/>
            <w:gridSpan w:val="4"/>
          </w:tcPr>
          <w:p>
            <w:pPr>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7"/>
              </w:rPr>
              <w:t>The Commvault Systems, Inc. Omnibus Incentive Plan (As Amended Through the First Amendment Thereof) (Incorporated by</w:t>
            </w:r>
          </w:p>
        </w:tc>
      </w:tr>
      <w:tr>
        <w:trPr>
          <w:trHeight w:val="237"/>
        </w:trPr>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10.1 to the Registrant’s Form 8-K dated August 25, 2017)</w:t>
            </w:r>
          </w:p>
        </w:tc>
      </w:tr>
    </w:tbl>
    <w:p>
      <w:pPr>
        <w:spacing w:after="0" w:line="175" w:lineRule="exact"/>
        <w:rPr>
          <w:sz w:val="20"/>
          <w:szCs w:val="20"/>
          <w:color w:val="auto"/>
        </w:rPr>
      </w:pPr>
    </w:p>
    <w:p>
      <w:pPr>
        <w:ind w:left="685" w:hanging="685"/>
        <w:spacing w:after="0"/>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7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5"/>
          </w:cols>
          <w:pgMar w:left="275" w:top="364"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960" w:type="dxa"/>
            <w:vAlign w:val="bottom"/>
          </w:tcPr>
          <w:p>
            <w:pPr>
              <w:spacing w:after="0"/>
              <w:rPr>
                <w:sz w:val="14"/>
                <w:szCs w:val="14"/>
                <w:color w:val="auto"/>
              </w:rPr>
            </w:pPr>
          </w:p>
        </w:tc>
      </w:tr>
      <w:tr>
        <w:trPr>
          <w:trHeight w:val="223"/>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88">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380" w:type="dxa"/>
            <w:vAlign w:val="bottom"/>
          </w:tcPr>
          <w:p>
            <w:pPr>
              <w:spacing w:after="0"/>
              <w:rPr>
                <w:sz w:val="19"/>
                <w:szCs w:val="19"/>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List of Subsidiaries of Commvault Systems, Inc.</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Consent of Ernst &amp; Young LLP</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9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9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9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291"/>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Instance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179"/>
          </w:cols>
          <w:pgMar w:left="280" w:top="735" w:right="1440" w:bottom="1440" w:gutter="0" w:footer="0" w:header="0"/>
        </w:sectPr>
      </w:pPr>
    </w:p>
    <w:bookmarkStart w:id="85" w:name="page86"/>
    <w:bookmarkEnd w:id="85"/>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59"/>
          </w:cols>
          <w:pgMar w:left="300" w:top="526" w:right="1440"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in the city of Tinton Falls, State of New Jersey, on May 3, 2018.</w:t>
      </w:r>
    </w:p>
    <w:p>
      <w:pPr>
        <w:spacing w:after="0" w:line="30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COMMVAULT SYSTEMS, INC.</w:t>
      </w:r>
    </w:p>
    <w:p>
      <w:pPr>
        <w:spacing w:after="0" w:line="387" w:lineRule="exact"/>
        <w:rPr>
          <w:sz w:val="20"/>
          <w:szCs w:val="20"/>
          <w:color w:val="auto"/>
        </w:rPr>
      </w:pPr>
    </w:p>
    <w:p>
      <w:pPr>
        <w:ind w:left="5320"/>
        <w:spacing w:after="0"/>
        <w:tabs>
          <w:tab w:leader="none" w:pos="6180" w:val="left"/>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36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on May 3,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20" w:type="dxa"/>
            <w:vAlign w:val="bottom"/>
          </w:tcPr>
          <w:p>
            <w:pPr>
              <w:spacing w:after="0"/>
              <w:rPr>
                <w:sz w:val="14"/>
                <w:szCs w:val="14"/>
                <w:color w:val="auto"/>
              </w:rPr>
            </w:pPr>
          </w:p>
        </w:tc>
      </w:tr>
      <w:tr>
        <w:trPr>
          <w:trHeight w:val="588"/>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N. ROBERT HAMMER</w:t>
            </w:r>
          </w:p>
        </w:tc>
        <w:tc>
          <w:tcPr>
            <w:tcW w:w="5180" w:type="dxa"/>
            <w:vAlign w:val="bottom"/>
            <w:gridSpan w:val="3"/>
          </w:tcPr>
          <w:p>
            <w:pPr>
              <w:jc w:val="center"/>
              <w:ind w:left="1550"/>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 Robert Hammer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BRIAN CAROLAN</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2"/>
              </w:rPr>
              <w:t>Vice President, Chief Financial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Brian Carolan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GARY MERRILL</w:t>
            </w:r>
          </w:p>
        </w:tc>
        <w:tc>
          <w:tcPr>
            <w:tcW w:w="5180" w:type="dxa"/>
            <w:vAlign w:val="bottom"/>
            <w:gridSpan w:val="3"/>
          </w:tcPr>
          <w:p>
            <w:pPr>
              <w:jc w:val="center"/>
              <w:ind w:left="1550"/>
              <w:spacing w:after="0"/>
              <w:rPr>
                <w:sz w:val="20"/>
                <w:szCs w:val="20"/>
                <w:color w:val="auto"/>
              </w:rPr>
            </w:pPr>
            <w:r>
              <w:rPr>
                <w:rFonts w:ascii="Arial" w:cs="Arial" w:eastAsia="Arial" w:hAnsi="Arial"/>
                <w:sz w:val="18"/>
                <w:szCs w:val="18"/>
                <w:color w:val="auto"/>
                <w:w w:val="93"/>
              </w:rPr>
              <w:t>Vice President, Chief Accounting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Gary Merrill</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ALAN G. BUNTE</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Alan G. Bunte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JOSEPH F. EAZOR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Joseph F. Eazor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FRANK J. FANZILLI, JR.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Frank J. Fanzilli, Jr.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ARMANDO GEDAY</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Armando Geday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KEITH GEESLIN</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Keith Geeslin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F. ROBERT KURIMSKY</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F. Robert Kurimsky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VIVIE LEE</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Vivie Lee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DANIEL PULVER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Daniel Pulver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GARY SMITH</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Gary Smith</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DAVID F. WALKER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F. Walker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6"/>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40"/>
          </w:cols>
          <w:pgMar w:left="240" w:top="526"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ind w:left="1780"/>
              <w:spacing w:after="0"/>
              <w:rPr>
                <w:sz w:val="20"/>
                <w:szCs w:val="20"/>
                <w:color w:val="auto"/>
              </w:rPr>
            </w:pPr>
            <w:r>
              <w:rPr>
                <w:rFonts w:ascii="Arial" w:cs="Arial" w:eastAsia="Arial" w:hAnsi="Arial"/>
                <w:sz w:val="22"/>
                <w:szCs w:val="22"/>
                <w:color w:val="auto"/>
                <w:w w:val="90"/>
              </w:rPr>
              <w:t>Exhibit 21.1</w:t>
            </w:r>
          </w:p>
        </w:tc>
      </w:tr>
      <w:tr>
        <w:trPr>
          <w:trHeight w:val="716"/>
        </w:trPr>
        <w:tc>
          <w:tcPr>
            <w:tcW w:w="8580" w:type="dxa"/>
            <w:vAlign w:val="bottom"/>
            <w:gridSpan w:val="2"/>
          </w:tcPr>
          <w:p>
            <w:pPr>
              <w:ind w:left="4040"/>
              <w:spacing w:after="0"/>
              <w:rPr>
                <w:sz w:val="20"/>
                <w:szCs w:val="20"/>
                <w:color w:val="auto"/>
              </w:rPr>
            </w:pPr>
            <w:r>
              <w:rPr>
                <w:rFonts w:ascii="Arial" w:cs="Arial" w:eastAsia="Arial" w:hAnsi="Arial"/>
                <w:sz w:val="22"/>
                <w:szCs w:val="22"/>
                <w:color w:val="auto"/>
              </w:rPr>
              <w:t>Subsidiaries of Commvault Systems, Inc.</w:t>
            </w:r>
          </w:p>
        </w:tc>
        <w:tc>
          <w:tcPr>
            <w:tcW w:w="2840" w:type="dxa"/>
            <w:vAlign w:val="bottom"/>
          </w:tcPr>
          <w:p>
            <w:pPr>
              <w:spacing w:after="0"/>
              <w:rPr>
                <w:sz w:val="24"/>
                <w:szCs w:val="24"/>
                <w:color w:val="auto"/>
              </w:rPr>
            </w:pPr>
          </w:p>
        </w:tc>
      </w:tr>
      <w:tr>
        <w:trPr>
          <w:trHeight w:val="68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Subsidiary</w:t>
            </w:r>
          </w:p>
        </w:tc>
        <w:tc>
          <w:tcPr>
            <w:tcW w:w="120" w:type="dxa"/>
            <w:vAlign w:val="bottom"/>
          </w:tcPr>
          <w:p>
            <w:pPr>
              <w:spacing w:after="0"/>
              <w:rPr>
                <w:sz w:val="24"/>
                <w:szCs w:val="24"/>
                <w:color w:val="auto"/>
              </w:rPr>
            </w:pPr>
          </w:p>
        </w:tc>
        <w:tc>
          <w:tcPr>
            <w:tcW w:w="28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8"/>
              </w:rPr>
              <w:t>Jurisdiction of Organization</w:t>
            </w:r>
          </w:p>
        </w:tc>
      </w:tr>
      <w:tr>
        <w:trPr>
          <w:trHeight w:val="550"/>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Capital Inc.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Advanced Data Life Cycle Management Inc.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(Canada) Inc.</w:t>
            </w:r>
          </w:p>
        </w:tc>
        <w:tc>
          <w:tcPr>
            <w:tcW w:w="2840" w:type="dxa"/>
            <w:vAlign w:val="bottom"/>
          </w:tcPr>
          <w:p>
            <w:pPr>
              <w:ind w:left="20"/>
              <w:spacing w:after="0"/>
              <w:rPr>
                <w:sz w:val="20"/>
                <w:szCs w:val="20"/>
                <w:color w:val="auto"/>
              </w:rPr>
            </w:pPr>
            <w:r>
              <w:rPr>
                <w:rFonts w:ascii="Arial" w:cs="Arial" w:eastAsia="Arial" w:hAnsi="Arial"/>
                <w:sz w:val="22"/>
                <w:szCs w:val="22"/>
                <w:color w:val="auto"/>
              </w:rPr>
              <w:t>Ontario, Canada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Mexico S. de R.L. de C.V.</w:t>
            </w:r>
          </w:p>
        </w:tc>
        <w:tc>
          <w:tcPr>
            <w:tcW w:w="2840" w:type="dxa"/>
            <w:vAlign w:val="bottom"/>
          </w:tcPr>
          <w:p>
            <w:pPr>
              <w:ind w:left="20"/>
              <w:spacing w:after="0"/>
              <w:rPr>
                <w:sz w:val="20"/>
                <w:szCs w:val="20"/>
                <w:color w:val="auto"/>
              </w:rPr>
            </w:pPr>
            <w:r>
              <w:rPr>
                <w:rFonts w:ascii="Arial" w:cs="Arial" w:eastAsia="Arial" w:hAnsi="Arial"/>
                <w:sz w:val="22"/>
                <w:szCs w:val="22"/>
                <w:color w:val="auto"/>
              </w:rPr>
              <w:t>Mexico</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Mexico Administracion, S. de R.L. de C.V.</w:t>
            </w:r>
          </w:p>
        </w:tc>
        <w:tc>
          <w:tcPr>
            <w:tcW w:w="2840" w:type="dxa"/>
            <w:vAlign w:val="bottom"/>
          </w:tcPr>
          <w:p>
            <w:pPr>
              <w:ind w:left="20"/>
              <w:spacing w:after="0"/>
              <w:rPr>
                <w:sz w:val="20"/>
                <w:szCs w:val="20"/>
                <w:color w:val="auto"/>
              </w:rPr>
            </w:pPr>
            <w:r>
              <w:rPr>
                <w:rFonts w:ascii="Arial" w:cs="Arial" w:eastAsia="Arial" w:hAnsi="Arial"/>
                <w:sz w:val="22"/>
                <w:szCs w:val="22"/>
                <w:color w:val="auto"/>
              </w:rPr>
              <w:t>Mexico</w:t>
            </w:r>
          </w:p>
        </w:tc>
      </w:tr>
      <w:tr>
        <w:trPr>
          <w:trHeight w:val="540"/>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International B.V.</w:t>
            </w:r>
          </w:p>
        </w:tc>
        <w:tc>
          <w:tcPr>
            <w:tcW w:w="2840" w:type="dxa"/>
            <w:vAlign w:val="bottom"/>
          </w:tcPr>
          <w:p>
            <w:pPr>
              <w:ind w:left="20"/>
              <w:spacing w:after="0"/>
              <w:rPr>
                <w:sz w:val="20"/>
                <w:szCs w:val="20"/>
                <w:color w:val="auto"/>
              </w:rPr>
            </w:pPr>
            <w:r>
              <w:rPr>
                <w:rFonts w:ascii="Arial" w:cs="Arial" w:eastAsia="Arial" w:hAnsi="Arial"/>
                <w:sz w:val="22"/>
                <w:szCs w:val="22"/>
                <w:color w:val="auto"/>
              </w:rPr>
              <w:t>The Netherlands</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(India) Private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India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(Australia) Pty. Ltd.</w:t>
            </w:r>
          </w:p>
        </w:tc>
        <w:tc>
          <w:tcPr>
            <w:tcW w:w="2840" w:type="dxa"/>
            <w:vAlign w:val="bottom"/>
          </w:tcPr>
          <w:p>
            <w:pPr>
              <w:ind w:left="20"/>
              <w:spacing w:after="0"/>
              <w:rPr>
                <w:sz w:val="20"/>
                <w:szCs w:val="20"/>
                <w:color w:val="auto"/>
              </w:rPr>
            </w:pPr>
            <w:r>
              <w:rPr>
                <w:rFonts w:ascii="Arial" w:cs="Arial" w:eastAsia="Arial" w:hAnsi="Arial"/>
                <w:sz w:val="22"/>
                <w:szCs w:val="22"/>
                <w:color w:val="auto"/>
              </w:rPr>
              <w:t>Australia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(New Zealand)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New Zealand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(Singapore) Private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Singapore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England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GmbH</w:t>
            </w:r>
          </w:p>
        </w:tc>
        <w:tc>
          <w:tcPr>
            <w:tcW w:w="2840" w:type="dxa"/>
            <w:vAlign w:val="bottom"/>
          </w:tcPr>
          <w:p>
            <w:pPr>
              <w:ind w:left="20"/>
              <w:spacing w:after="0"/>
              <w:rPr>
                <w:sz w:val="20"/>
                <w:szCs w:val="20"/>
                <w:color w:val="auto"/>
              </w:rPr>
            </w:pPr>
            <w:r>
              <w:rPr>
                <w:rFonts w:ascii="Arial" w:cs="Arial" w:eastAsia="Arial" w:hAnsi="Arial"/>
                <w:sz w:val="22"/>
                <w:szCs w:val="22"/>
                <w:color w:val="auto"/>
              </w:rPr>
              <w:t>Germany</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(Japan) KK</w:t>
            </w:r>
          </w:p>
        </w:tc>
        <w:tc>
          <w:tcPr>
            <w:tcW w:w="2840" w:type="dxa"/>
            <w:vAlign w:val="bottom"/>
          </w:tcPr>
          <w:p>
            <w:pPr>
              <w:ind w:left="20"/>
              <w:spacing w:after="0"/>
              <w:rPr>
                <w:sz w:val="20"/>
                <w:szCs w:val="20"/>
                <w:color w:val="auto"/>
              </w:rPr>
            </w:pPr>
            <w:r>
              <w:rPr>
                <w:rFonts w:ascii="Arial" w:cs="Arial" w:eastAsia="Arial" w:hAnsi="Arial"/>
                <w:sz w:val="22"/>
                <w:szCs w:val="22"/>
                <w:color w:val="auto"/>
              </w:rPr>
              <w:t>Japan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Ireland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Ireland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Italia Srl</w:t>
            </w:r>
          </w:p>
        </w:tc>
        <w:tc>
          <w:tcPr>
            <w:tcW w:w="2840" w:type="dxa"/>
            <w:vAlign w:val="bottom"/>
          </w:tcPr>
          <w:p>
            <w:pPr>
              <w:ind w:left="20"/>
              <w:spacing w:after="0"/>
              <w:rPr>
                <w:sz w:val="20"/>
                <w:szCs w:val="20"/>
                <w:color w:val="auto"/>
              </w:rPr>
            </w:pPr>
            <w:r>
              <w:rPr>
                <w:rFonts w:ascii="Arial" w:cs="Arial" w:eastAsia="Arial" w:hAnsi="Arial"/>
                <w:sz w:val="22"/>
                <w:szCs w:val="22"/>
                <w:color w:val="auto"/>
              </w:rPr>
              <w:t>Italy</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AB Srl</w:t>
            </w:r>
          </w:p>
        </w:tc>
        <w:tc>
          <w:tcPr>
            <w:tcW w:w="2840" w:type="dxa"/>
            <w:vAlign w:val="bottom"/>
          </w:tcPr>
          <w:p>
            <w:pPr>
              <w:ind w:left="20"/>
              <w:spacing w:after="0"/>
              <w:rPr>
                <w:sz w:val="20"/>
                <w:szCs w:val="20"/>
                <w:color w:val="auto"/>
              </w:rPr>
            </w:pPr>
            <w:r>
              <w:rPr>
                <w:rFonts w:ascii="Arial" w:cs="Arial" w:eastAsia="Arial" w:hAnsi="Arial"/>
                <w:sz w:val="22"/>
                <w:szCs w:val="22"/>
                <w:color w:val="auto"/>
              </w:rPr>
              <w:t>Sweden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(Hong Kong)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Hong Kong</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Software Technology (Beijing) Co., Ltd</w:t>
            </w:r>
          </w:p>
        </w:tc>
        <w:tc>
          <w:tcPr>
            <w:tcW w:w="2840" w:type="dxa"/>
            <w:vAlign w:val="bottom"/>
          </w:tcPr>
          <w:p>
            <w:pPr>
              <w:ind w:left="20"/>
              <w:spacing w:after="0"/>
              <w:rPr>
                <w:sz w:val="20"/>
                <w:szCs w:val="20"/>
                <w:color w:val="auto"/>
              </w:rPr>
            </w:pPr>
            <w:r>
              <w:rPr>
                <w:rFonts w:ascii="Arial" w:cs="Arial" w:eastAsia="Arial" w:hAnsi="Arial"/>
                <w:sz w:val="22"/>
                <w:szCs w:val="22"/>
                <w:color w:val="auto"/>
              </w:rPr>
              <w:t>China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CV Simpana Software (Proprietary)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South Africa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(Israel) Ltd.</w:t>
            </w:r>
          </w:p>
        </w:tc>
        <w:tc>
          <w:tcPr>
            <w:tcW w:w="2840" w:type="dxa"/>
            <w:vAlign w:val="bottom"/>
          </w:tcPr>
          <w:p>
            <w:pPr>
              <w:ind w:left="20"/>
              <w:spacing w:after="0"/>
              <w:rPr>
                <w:sz w:val="20"/>
                <w:szCs w:val="20"/>
                <w:color w:val="auto"/>
              </w:rPr>
            </w:pPr>
            <w:r>
              <w:rPr>
                <w:rFonts w:ascii="Arial" w:cs="Arial" w:eastAsia="Arial" w:hAnsi="Arial"/>
                <w:sz w:val="22"/>
                <w:szCs w:val="22"/>
                <w:color w:val="auto"/>
              </w:rPr>
              <w:t>Israel</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Tinton Falls Urban Renewal LLC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Belgium BVBA</w:t>
            </w:r>
          </w:p>
        </w:tc>
        <w:tc>
          <w:tcPr>
            <w:tcW w:w="2840" w:type="dxa"/>
            <w:vAlign w:val="bottom"/>
          </w:tcPr>
          <w:p>
            <w:pPr>
              <w:ind w:left="20"/>
              <w:spacing w:after="0"/>
              <w:rPr>
                <w:sz w:val="20"/>
                <w:szCs w:val="20"/>
                <w:color w:val="auto"/>
              </w:rPr>
            </w:pPr>
            <w:r>
              <w:rPr>
                <w:rFonts w:ascii="Arial" w:cs="Arial" w:eastAsia="Arial" w:hAnsi="Arial"/>
                <w:sz w:val="22"/>
                <w:szCs w:val="22"/>
                <w:color w:val="auto"/>
              </w:rPr>
              <w:t>Belgium, Netherlands</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(Thailand) Ltd.</w:t>
            </w:r>
          </w:p>
        </w:tc>
        <w:tc>
          <w:tcPr>
            <w:tcW w:w="2840" w:type="dxa"/>
            <w:vAlign w:val="bottom"/>
          </w:tcPr>
          <w:p>
            <w:pPr>
              <w:ind w:left="20"/>
              <w:spacing w:after="0"/>
              <w:rPr>
                <w:sz w:val="20"/>
                <w:szCs w:val="20"/>
                <w:color w:val="auto"/>
              </w:rPr>
            </w:pPr>
            <w:r>
              <w:rPr>
                <w:rFonts w:ascii="Arial" w:cs="Arial" w:eastAsia="Arial" w:hAnsi="Arial"/>
                <w:sz w:val="22"/>
                <w:szCs w:val="22"/>
                <w:color w:val="auto"/>
              </w:rPr>
              <w:t>Thailand</w:t>
            </w:r>
          </w:p>
        </w:tc>
      </w:tr>
      <w:tr>
        <w:trPr>
          <w:trHeight w:val="313"/>
        </w:trPr>
        <w:tc>
          <w:tcPr>
            <w:tcW w:w="8580" w:type="dxa"/>
            <w:vAlign w:val="bottom"/>
            <w:gridSpan w:val="2"/>
          </w:tcPr>
          <w:p>
            <w:pPr>
              <w:ind w:left="40"/>
              <w:spacing w:after="0" w:line="230" w:lineRule="exact"/>
              <w:rPr>
                <w:sz w:val="20"/>
                <w:szCs w:val="20"/>
                <w:color w:val="auto"/>
              </w:rPr>
            </w:pPr>
            <w:r>
              <w:rPr>
                <w:rFonts w:ascii="Arial" w:cs="Arial" w:eastAsia="Arial" w:hAnsi="Arial"/>
                <w:sz w:val="20"/>
                <w:szCs w:val="20"/>
                <w:color w:val="auto"/>
              </w:rPr>
              <w:t>CommVault Istanbul Yaz</w:t>
            </w:r>
            <w:r>
              <w:rPr>
                <w:rFonts w:ascii="MS PGothic" w:cs="MS PGothic" w:eastAsia="MS PGothic" w:hAnsi="MS PGothic"/>
                <w:sz w:val="20"/>
                <w:szCs w:val="20"/>
                <w:color w:val="auto"/>
              </w:rPr>
              <w:t>☒</w:t>
            </w:r>
            <w:r>
              <w:rPr>
                <w:rFonts w:ascii="Arial" w:cs="Arial" w:eastAsia="Arial" w:hAnsi="Arial"/>
                <w:sz w:val="20"/>
                <w:szCs w:val="20"/>
                <w:color w:val="auto"/>
              </w:rPr>
              <w:t>l</w:t>
            </w:r>
            <w:r>
              <w:rPr>
                <w:rFonts w:ascii="MS PGothic" w:cs="MS PGothic" w:eastAsia="MS PGothic" w:hAnsi="MS PGothic"/>
                <w:sz w:val="20"/>
                <w:szCs w:val="20"/>
                <w:color w:val="auto"/>
              </w:rPr>
              <w:t>☒</w:t>
            </w:r>
            <w:r>
              <w:rPr>
                <w:rFonts w:ascii="Arial" w:cs="Arial" w:eastAsia="Arial" w:hAnsi="Arial"/>
                <w:sz w:val="20"/>
                <w:szCs w:val="20"/>
                <w:color w:val="auto"/>
              </w:rPr>
              <w:t>m Hizmetleri Limited Sirketi (Commvault Software Services Ltd.)</w:t>
            </w:r>
          </w:p>
        </w:tc>
        <w:tc>
          <w:tcPr>
            <w:tcW w:w="2840" w:type="dxa"/>
            <w:vAlign w:val="bottom"/>
          </w:tcPr>
          <w:p>
            <w:pPr>
              <w:ind w:left="20"/>
              <w:spacing w:after="0"/>
              <w:rPr>
                <w:sz w:val="20"/>
                <w:szCs w:val="20"/>
                <w:color w:val="auto"/>
              </w:rPr>
            </w:pPr>
            <w:r>
              <w:rPr>
                <w:rFonts w:ascii="Arial" w:cs="Arial" w:eastAsia="Arial" w:hAnsi="Arial"/>
                <w:sz w:val="22"/>
                <w:szCs w:val="22"/>
                <w:color w:val="auto"/>
              </w:rPr>
              <w:t>Turkey</w:t>
            </w:r>
          </w:p>
        </w:tc>
      </w:tr>
      <w:tr>
        <w:trPr>
          <w:trHeight w:val="281"/>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(Austria) GmbH</w:t>
            </w:r>
          </w:p>
        </w:tc>
        <w:tc>
          <w:tcPr>
            <w:tcW w:w="2840" w:type="dxa"/>
            <w:vAlign w:val="bottom"/>
          </w:tcPr>
          <w:p>
            <w:pPr>
              <w:ind w:left="20"/>
              <w:spacing w:after="0"/>
              <w:rPr>
                <w:sz w:val="20"/>
                <w:szCs w:val="20"/>
                <w:color w:val="auto"/>
              </w:rPr>
            </w:pPr>
            <w:r>
              <w:rPr>
                <w:rFonts w:ascii="Arial" w:cs="Arial" w:eastAsia="Arial" w:hAnsi="Arial"/>
                <w:sz w:val="22"/>
                <w:szCs w:val="22"/>
                <w:color w:val="auto"/>
              </w:rPr>
              <w:t>Austria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(Switzerland) GmbH</w:t>
            </w:r>
          </w:p>
        </w:tc>
        <w:tc>
          <w:tcPr>
            <w:tcW w:w="2840" w:type="dxa"/>
            <w:vAlign w:val="bottom"/>
          </w:tcPr>
          <w:p>
            <w:pPr>
              <w:ind w:left="20"/>
              <w:spacing w:after="0"/>
              <w:rPr>
                <w:sz w:val="20"/>
                <w:szCs w:val="20"/>
                <w:color w:val="auto"/>
              </w:rPr>
            </w:pPr>
            <w:r>
              <w:rPr>
                <w:rFonts w:ascii="Arial" w:cs="Arial" w:eastAsia="Arial" w:hAnsi="Arial"/>
                <w:sz w:val="22"/>
                <w:szCs w:val="22"/>
                <w:color w:val="auto"/>
              </w:rPr>
              <w:t>Switzerland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(Malaysia) Sdn. Bhd.</w:t>
            </w:r>
          </w:p>
        </w:tc>
        <w:tc>
          <w:tcPr>
            <w:tcW w:w="2840" w:type="dxa"/>
            <w:vAlign w:val="bottom"/>
          </w:tcPr>
          <w:p>
            <w:pPr>
              <w:ind w:left="20"/>
              <w:spacing w:after="0"/>
              <w:rPr>
                <w:sz w:val="20"/>
                <w:szCs w:val="20"/>
                <w:color w:val="auto"/>
              </w:rPr>
            </w:pPr>
            <w:r>
              <w:rPr>
                <w:rFonts w:ascii="Arial" w:cs="Arial" w:eastAsia="Arial" w:hAnsi="Arial"/>
                <w:sz w:val="22"/>
                <w:szCs w:val="22"/>
                <w:color w:val="auto"/>
              </w:rPr>
              <w:t>Malaysia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(Poland) sp. zo.o.</w:t>
            </w:r>
          </w:p>
        </w:tc>
        <w:tc>
          <w:tcPr>
            <w:tcW w:w="2840" w:type="dxa"/>
            <w:vAlign w:val="bottom"/>
          </w:tcPr>
          <w:p>
            <w:pPr>
              <w:ind w:left="20"/>
              <w:spacing w:after="0"/>
              <w:rPr>
                <w:sz w:val="20"/>
                <w:szCs w:val="20"/>
                <w:color w:val="auto"/>
              </w:rPr>
            </w:pPr>
            <w:r>
              <w:rPr>
                <w:rFonts w:ascii="Arial" w:cs="Arial" w:eastAsia="Arial" w:hAnsi="Arial"/>
                <w:sz w:val="22"/>
                <w:szCs w:val="22"/>
                <w:color w:val="auto"/>
              </w:rPr>
              <w:t>Poland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 S.L.U.</w:t>
            </w:r>
          </w:p>
        </w:tc>
        <w:tc>
          <w:tcPr>
            <w:tcW w:w="2840" w:type="dxa"/>
            <w:vAlign w:val="bottom"/>
          </w:tcPr>
          <w:p>
            <w:pPr>
              <w:ind w:left="20"/>
              <w:spacing w:after="0"/>
              <w:rPr>
                <w:sz w:val="20"/>
                <w:szCs w:val="20"/>
                <w:color w:val="auto"/>
              </w:rPr>
            </w:pPr>
            <w:r>
              <w:rPr>
                <w:rFonts w:ascii="Arial" w:cs="Arial" w:eastAsia="Arial" w:hAnsi="Arial"/>
                <w:sz w:val="22"/>
                <w:szCs w:val="22"/>
                <w:color w:val="auto"/>
              </w:rPr>
              <w:t>Spain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(Finland) OY</w:t>
            </w:r>
          </w:p>
        </w:tc>
        <w:tc>
          <w:tcPr>
            <w:tcW w:w="2840" w:type="dxa"/>
            <w:vAlign w:val="bottom"/>
          </w:tcPr>
          <w:p>
            <w:pPr>
              <w:ind w:left="20"/>
              <w:spacing w:after="0"/>
              <w:rPr>
                <w:sz w:val="20"/>
                <w:szCs w:val="20"/>
                <w:color w:val="auto"/>
              </w:rPr>
            </w:pPr>
            <w:r>
              <w:rPr>
                <w:rFonts w:ascii="Arial" w:cs="Arial" w:eastAsia="Arial" w:hAnsi="Arial"/>
                <w:sz w:val="22"/>
                <w:szCs w:val="22"/>
                <w:color w:val="auto"/>
              </w:rPr>
              <w:t>Finland</w:t>
            </w:r>
          </w:p>
        </w:tc>
      </w:tr>
    </w:tbl>
    <w:p>
      <w:pPr>
        <w:sectPr>
          <w:pgSz w:w="11900" w:h="16838" w:orient="portrait"/>
          <w:cols w:equalWidth="0" w:num="1">
            <w:col w:w="11420"/>
          </w:cols>
          <w:pgMar w:left="240" w:top="30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Exhibit 23.1</w:t>
      </w:r>
    </w:p>
    <w:p>
      <w:pPr>
        <w:spacing w:after="0" w:line="173" w:lineRule="exact"/>
        <w:rPr>
          <w:sz w:val="20"/>
          <w:szCs w:val="20"/>
          <w:color w:val="auto"/>
        </w:rPr>
      </w:pPr>
    </w:p>
    <w:p>
      <w:pPr>
        <w:ind w:right="2940" w:firstLine="2947"/>
        <w:spacing w:after="0" w:line="500"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660" w:hanging="328"/>
        <w:spacing w:after="0" w:line="25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Registration Statement on Form S-8 No. 333-138578 pertaining to the 1996 Stock Option Plan and the 2006 Long-Term Stock Incentive Plan of Commvault Systems, Inc.,</w:t>
      </w:r>
    </w:p>
    <w:p>
      <w:pPr>
        <w:spacing w:after="0" w:line="2" w:lineRule="exact"/>
        <w:rPr>
          <w:rFonts w:ascii="Arial" w:cs="Arial" w:eastAsia="Arial" w:hAnsi="Arial"/>
          <w:sz w:val="18"/>
          <w:szCs w:val="18"/>
          <w:color w:val="auto"/>
        </w:rPr>
      </w:pPr>
    </w:p>
    <w:p>
      <w:pPr>
        <w:ind w:left="660" w:right="20" w:hanging="328"/>
        <w:spacing w:after="0" w:line="24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Registration Statement on Form S-8 No. 333-192014 pertaining to the Commvault Systems, Inc. Employee Stock Purchase Plan of Commvault Systems, Inc.,</w:t>
      </w:r>
    </w:p>
    <w:p>
      <w:pPr>
        <w:ind w:left="660" w:hanging="328"/>
        <w:spacing w:after="0" w:line="24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Registration Statement on Form S-8 No. 333-213211 pertaining to the Commvault Systems, Inc. Omnibus Incentive Plan of Commvault Systems, Inc. , and</w:t>
      </w:r>
    </w:p>
    <w:p>
      <w:pPr>
        <w:ind w:left="660" w:right="20" w:hanging="328"/>
        <w:spacing w:after="0" w:line="24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22"/>
          <w:szCs w:val="22"/>
          <w:color w:val="auto"/>
        </w:rPr>
        <w:t>Registration Statement on Form S-8 No. 333-221163 pertaining to the Commvault Systems, Inc. Omnibus Incentive Plan, as amended through the First Amendment, of Commvault Systems, Inc.;</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May 3, 2018, with respect to the consolidated financial statements and schedule of Commvault Systems, Inc. and the effectiveness of internal control over financial reporting of Commvault Systems, Inc. included in its Annual Report (Form 10-K) for the year ended March 31, 2018.</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Iselin, New Jersey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3, 2018</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17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171"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2018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2018 as filed with the Securities and Exchange Commission (the “Report”), I, Brian Carolan, Vice President, Chief Financial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lvl w:ilvl="1">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decimal"/>
      <w:start w:val="6"/>
    </w:lvl>
  </w:abstractNum>
  <w:abstractNum w:abstractNumId="17">
    <w:nsid w:val="189A769B"/>
    <w:multiLevelType w:val="hybridMultilevel"/>
    <w:lvl w:ilvl="0">
      <w:lvlJc w:val="left"/>
      <w:lvlText w:val="%1."/>
      <w:numFmt w:val="decimal"/>
      <w:start w:val="7"/>
    </w:lvl>
  </w:abstractNum>
  <w:abstractNum w:abstractNumId="18">
    <w:nsid w:val="54E49EB4"/>
    <w:multiLevelType w:val="hybridMultilevel"/>
    <w:lvl w:ilvl="0">
      <w:lvlJc w:val="left"/>
      <w:lvlText w:val="%1."/>
      <w:numFmt w:val="decimal"/>
      <w:start w:val="8"/>
    </w:lvl>
  </w:abstractNum>
  <w:abstractNum w:abstractNumId="19">
    <w:nsid w:val="71F32454"/>
    <w:multiLevelType w:val="hybridMultilevel"/>
    <w:lvl w:ilvl="0">
      <w:lvlJc w:val="left"/>
      <w:lvlText w:val="%1."/>
      <w:numFmt w:val="decimal"/>
      <w:start w:val="9"/>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decimal"/>
      <w:start w:val="10"/>
    </w:lvl>
  </w:abstractNum>
  <w:abstractNum w:abstractNumId="22">
    <w:nsid w:val="2901D82"/>
    <w:multiLevelType w:val="hybridMultilevel"/>
    <w:lvl w:ilvl="0">
      <w:lvlJc w:val="left"/>
      <w:lvlText w:val="%1."/>
      <w:numFmt w:val="decimal"/>
      <w:start w:val="11"/>
    </w:lvl>
  </w:abstractNum>
  <w:abstractNum w:abstractNumId="23">
    <w:nsid w:val="3A95F874"/>
    <w:multiLevelType w:val="hybridMultilevel"/>
    <w:lvl w:ilvl="0">
      <w:lvlJc w:val="left"/>
      <w:lvlText w:val="%1."/>
      <w:numFmt w:val="decimal"/>
      <w:start w:val="12"/>
    </w:lvl>
  </w:abstractNum>
  <w:abstractNum w:abstractNumId="24">
    <w:nsid w:val="8138641"/>
    <w:multiLevelType w:val="hybridMultilevel"/>
    <w:lvl w:ilvl="0">
      <w:lvlJc w:val="left"/>
      <w:lvlText w:val="%1."/>
      <w:numFmt w:val="decimal"/>
      <w:start w:val="13"/>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4"/>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25" Type="http://schemas.openxmlformats.org/officeDocument/2006/relationships/hyperlink" Target="http://www.sec.gov/Archives/edgar/data/1169561/000095012306005638/y17249a1exv3w1.txt" TargetMode="External"/><Relationship Id="rId26" Type="http://schemas.openxmlformats.org/officeDocument/2006/relationships/hyperlink" Target="http://www.sec.gov/Archives/edgar/data/1169561/000119312514159979/d717834dex31.htm" TargetMode="External"/><Relationship Id="rId27" Type="http://schemas.openxmlformats.org/officeDocument/2006/relationships/hyperlink" Target="http://www.sec.gov/Archives/edgar/data/1169561/000095012308015422/y72677exv3w1.htm" TargetMode="External"/><Relationship Id="rId28" Type="http://schemas.openxmlformats.org/officeDocument/2006/relationships/hyperlink" Target="http://www.sec.gov/Archives/edgar/data/1169561/000095012306011665/y24537a5exv4w1.txt" TargetMode="External"/><Relationship Id="rId29" Type="http://schemas.openxmlformats.org/officeDocument/2006/relationships/hyperlink" Target="http://www.sec.gov/Archives/edgar/data/1169561/000095012308015422/y72677exv4w1.htm" TargetMode="External"/><Relationship Id="rId30" Type="http://schemas.openxmlformats.org/officeDocument/2006/relationships/hyperlink" Target="http://www.sec.gov/Archives/edgar/data/1169561/000095012306011665/y24537a5exv9w1.txt" TargetMode="External"/><Relationship Id="rId31" Type="http://schemas.openxmlformats.org/officeDocument/2006/relationships/hyperlink" Target="http://www.sec.gov/Archives/edgar/data/1169561/000095012306011665/y24537a5exv10w4.txt" TargetMode="External"/><Relationship Id="rId32" Type="http://schemas.openxmlformats.org/officeDocument/2006/relationships/hyperlink" Target="http://www.sec.gov/Archives/edgar/data/1169561/000095012307007955/y35351exv10w5.htm" TargetMode="External"/><Relationship Id="rId33" Type="http://schemas.openxmlformats.org/officeDocument/2006/relationships/hyperlink" Target="http://www.sec.gov/Archives/edgar/data/1169561/000095012306003359/y17249exv10w5.txt" TargetMode="External"/><Relationship Id="rId34" Type="http://schemas.openxmlformats.org/officeDocument/2006/relationships/hyperlink" Target="http://www.sec.gov/Archives/edgar/data/1169561/000095012306003359/y17249exv10w6.txt" TargetMode="External"/><Relationship Id="rId35" Type="http://schemas.openxmlformats.org/officeDocument/2006/relationships/hyperlink" Target="http://www.sec.gov/Archives/edgar/data/1169561/000095012306003359/y17249exv10w7.txt" TargetMode="External"/><Relationship Id="rId36" Type="http://schemas.openxmlformats.org/officeDocument/2006/relationships/hyperlink" Target="http://www.sec.gov/Archives/edgar/data/1169561/000095012306003359/y17249exv10w8.txt" TargetMode="External"/><Relationship Id="rId37" Type="http://schemas.openxmlformats.org/officeDocument/2006/relationships/hyperlink" Target="http://www.sec.gov/Archives/edgar/data/1169561/000095012306003359/y17249exv10w9.txt" TargetMode="External"/><Relationship Id="rId38" Type="http://schemas.openxmlformats.org/officeDocument/2006/relationships/hyperlink" Target="http://www.sec.gov/Archives/edgar/data/1169561/000144530514001788/a2014033110kex1010.htm" TargetMode="External"/><Relationship Id="rId39" Type="http://schemas.openxmlformats.org/officeDocument/2006/relationships/hyperlink" Target="http://www.sec.gov/Archives/edgar/data/1169561/000116956116000047/a2016exhibit1012.htm" TargetMode="External"/><Relationship Id="rId40" Type="http://schemas.openxmlformats.org/officeDocument/2006/relationships/hyperlink" Target="http://www.sec.gov/Archives/edgar/data/1169561/000116956117000028/firstamendmenttoincentive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2019-12-28T22:32:35Z</dcterms:created>
  <dcterms:modified xsi:type="dcterms:W3CDTF">2019-12-28T22:32:35Z</dcterms:modified>
</cp:coreProperties>
</file>