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79375</wp:posOffset>
            </wp:positionV>
            <wp:extent cx="1851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23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82550</wp:posOffset>
            </wp:positionV>
            <wp:extent cx="1851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277" w:lineRule="exact"/>
        <w:rPr>
          <w:sz w:val="24"/>
          <w:szCs w:val="24"/>
          <w:color w:val="auto"/>
        </w:rPr>
      </w:pPr>
    </w:p>
    <w:p>
      <w:pPr>
        <w:jc w:val="center"/>
        <w:ind w:left="3460" w:right="980" w:hanging="2473"/>
        <w:spacing w:after="0" w:line="515" w:lineRule="auto"/>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2026</w:t>
      </w:r>
    </w:p>
    <w:p>
      <w:pPr>
        <w:spacing w:after="0" w:line="39" w:lineRule="exact"/>
        <w:rPr>
          <w:rFonts w:ascii="MS PGothic" w:cs="MS PGothic" w:eastAsia="MS PGothic" w:hAnsi="MS PGothic"/>
          <w:sz w:val="18"/>
          <w:szCs w:val="18"/>
          <w:color w:val="auto"/>
        </w:rPr>
      </w:pPr>
    </w:p>
    <w:p>
      <w:pPr>
        <w:jc w:val="center"/>
        <w:ind w:left="4060" w:right="980" w:hanging="3072"/>
        <w:spacing w:after="0" w:line="549" w:lineRule="auto"/>
        <w:tabs>
          <w:tab w:leader="none" w:pos="120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24765</wp:posOffset>
            </wp:positionV>
            <wp:extent cx="1851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Commvault Systems,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214630</wp:posOffset>
            </wp:positionV>
            <wp:extent cx="1851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200" w:lineRule="exact"/>
        <w:rPr>
          <w:sz w:val="24"/>
          <w:szCs w:val="24"/>
          <w:color w:val="auto"/>
        </w:rPr>
      </w:pPr>
    </w:p>
    <w:p>
      <w:pPr>
        <w:spacing w:after="0" w:line="296"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22-3447504</w:t>
      </w:r>
    </w:p>
    <w:p>
      <w:pPr>
        <w:spacing w:after="0" w:line="45" w:lineRule="exact"/>
        <w:rPr>
          <w:sz w:val="24"/>
          <w:szCs w:val="24"/>
          <w:color w:val="auto"/>
        </w:rPr>
      </w:pPr>
    </w:p>
    <w:p>
      <w:pPr>
        <w:sectPr>
          <w:pgSz w:w="11900" w:h="16838" w:orient="portrait"/>
          <w:cols w:equalWidth="0" w:num="2">
            <w:col w:w="7280" w:space="720"/>
            <w:col w:w="3240"/>
          </w:cols>
          <w:pgMar w:left="320" w:top="1048" w:right="339"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11" w:lineRule="exact"/>
        <w:rPr>
          <w:sz w:val="24"/>
          <w:szCs w:val="24"/>
          <w:color w:val="auto"/>
        </w:rPr>
      </w:pPr>
    </w:p>
    <w:p>
      <w:pPr>
        <w:sectPr>
          <w:pgSz w:w="11900" w:h="16838" w:orient="portrait"/>
          <w:cols w:equalWidth="0" w:num="2">
            <w:col w:w="6620" w:space="720"/>
            <w:col w:w="3900"/>
          </w:cols>
          <w:pgMar w:left="320" w:top="1048"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 Commvault Way</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Tinton Falls, New Jersey 07724</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5"/>
          <w:szCs w:val="15"/>
          <w:b w:val="1"/>
          <w:bCs w:val="1"/>
          <w:color w:val="auto"/>
        </w:rPr>
        <w:t>732) 870-4000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105410</wp:posOffset>
            </wp:positionV>
            <wp:extent cx="1851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07" w:lineRule="exact"/>
        <w:rPr>
          <w:sz w:val="24"/>
          <w:szCs w:val="24"/>
          <w:color w:val="auto"/>
        </w:rPr>
      </w:pPr>
    </w:p>
    <w:tbl>
      <w:tblPr>
        <w:tblLayout w:type="fixed"/>
        <w:tblInd w:w="370" w:type="dxa"/>
        <w:tblCellMar>
          <w:top w:w="0" w:type="dxa"/>
          <w:left w:w="0" w:type="dxa"/>
          <w:bottom w:w="0" w:type="dxa"/>
          <w:right w:w="0" w:type="dxa"/>
        </w:tblCellMar>
      </w:tblPr>
      <w:tr>
        <w:trPr>
          <w:trHeight w:val="225"/>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Name of each exchange on which registered</w:t>
            </w:r>
          </w:p>
        </w:tc>
      </w:tr>
      <w:tr>
        <w:trPr>
          <w:trHeight w:val="204"/>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Common Stock, $0.01 par value per share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CVLT</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The Nasdaq Stock Market</w:t>
            </w:r>
          </w:p>
        </w:tc>
      </w:tr>
    </w:tbl>
    <w:p>
      <w:pPr>
        <w:spacing w:after="0" w:line="203" w:lineRule="exact"/>
        <w:rPr>
          <w:sz w:val="24"/>
          <w:szCs w:val="24"/>
          <w:color w:val="auto"/>
        </w:rPr>
      </w:pPr>
    </w:p>
    <w:p>
      <w:pPr>
        <w:ind w:right="8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48" w:right="339" w:bottom="1440" w:gutter="0" w:footer="0" w:header="0"/>
          <w:type w:val="continuous"/>
        </w:sectPr>
      </w:pPr>
    </w:p>
    <w:p>
      <w:pPr>
        <w:spacing w:after="0" w:line="170"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 xml:space="preserve">Large accelerated filer </w:t>
      </w:r>
      <w:r>
        <w:rPr>
          <w:rFonts w:ascii="Wingdings" w:cs="Wingdings" w:eastAsia="Wingdings" w:hAnsi="Wingdings"/>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4">
            <w:col w:w="3060" w:space="720"/>
            <w:col w:w="1160" w:space="720"/>
            <w:col w:w="1460" w:space="720"/>
            <w:col w:w="3400"/>
          </w:cols>
          <w:pgMar w:left="320" w:top="1048" w:right="339" w:bottom="1440" w:gutter="0" w:footer="0" w:header="0"/>
          <w:type w:val="continuous"/>
        </w:sectPr>
      </w:pPr>
    </w:p>
    <w:p>
      <w:pPr>
        <w:ind w:left="8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78" w:lineRule="exact"/>
        <w:rPr>
          <w:sz w:val="24"/>
          <w:szCs w:val="24"/>
          <w:color w:val="auto"/>
        </w:rPr>
      </w:pPr>
    </w:p>
    <w:p>
      <w:pPr>
        <w:sectPr>
          <w:pgSz w:w="11900" w:h="16838" w:orient="portrait"/>
          <w:cols w:equalWidth="0" w:num="2">
            <w:col w:w="2480" w:space="120"/>
            <w:col w:w="8640"/>
          </w:cols>
          <w:pgMar w:left="320" w:top="1048"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w:t>
      </w:r>
    </w:p>
    <w:p>
      <w:pPr>
        <w:sectPr>
          <w:pgSz w:w="11900" w:h="16838" w:orient="portrait"/>
          <w:cols w:equalWidth="0" w:num="1">
            <w:col w:w="11240"/>
          </w:cols>
          <w:pgMar w:left="320" w:top="1048" w:right="339" w:bottom="1440" w:gutter="0" w:footer="0" w:header="0"/>
          <w:type w:val="continuous"/>
        </w:sectPr>
      </w:pPr>
    </w:p>
    <w:p>
      <w:pPr>
        <w:spacing w:after="0" w:line="3" w:lineRule="exact"/>
        <w:rPr>
          <w:sz w:val="24"/>
          <w:szCs w:val="24"/>
          <w:color w:val="auto"/>
        </w:rPr>
      </w:pPr>
    </w:p>
    <w:p>
      <w:pPr>
        <w:ind w:left="20"/>
        <w:spacing w:after="0"/>
        <w:rPr>
          <w:sz w:val="20"/>
          <w:szCs w:val="20"/>
          <w:color w:val="auto"/>
        </w:rPr>
      </w:pPr>
      <w:r>
        <w:rPr>
          <w:rFonts w:ascii="Arial" w:cs="Arial" w:eastAsia="Arial" w:hAnsi="Arial"/>
          <w:sz w:val="14"/>
          <w:szCs w:val="14"/>
          <w:color w:val="auto"/>
        </w:rPr>
        <w:t>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182" w:lineRule="exact"/>
        <w:rPr>
          <w:sz w:val="24"/>
          <w:szCs w:val="24"/>
          <w:color w:val="auto"/>
        </w:rPr>
      </w:pPr>
    </w:p>
    <w:p>
      <w:pPr>
        <w:sectPr>
          <w:pgSz w:w="11900" w:h="16838" w:orient="portrait"/>
          <w:cols w:equalWidth="0" w:num="2">
            <w:col w:w="8840" w:space="720"/>
            <w:col w:w="1680"/>
          </w:cols>
          <w:pgMar w:left="320" w:top="1048" w:right="339" w:bottom="1440" w:gutter="0" w:footer="0" w:header="0"/>
          <w:type w:val="continuous"/>
        </w:sectPr>
      </w:pPr>
    </w:p>
    <w:p>
      <w:pPr>
        <w:spacing w:after="0" w:line="196" w:lineRule="exact"/>
        <w:tabs>
          <w:tab w:leader="none" w:pos="71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1" w:lineRule="exact"/>
        <w:rPr>
          <w:sz w:val="24"/>
          <w:szCs w:val="24"/>
          <w:color w:val="auto"/>
        </w:rPr>
      </w:pPr>
    </w:p>
    <w:p>
      <w:pPr>
        <w:sectPr>
          <w:pgSz w:w="11900" w:h="16838" w:orient="portrait"/>
          <w:cols w:equalWidth="0" w:num="3">
            <w:col w:w="7640" w:space="160"/>
            <w:col w:w="180" w:space="80"/>
            <w:col w:w="3180"/>
          </w:cols>
          <w:pgMar w:left="320" w:top="1048" w:right="3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26, 2026, there were 40,912,591 shares of the registrant’s common stock, $0.01 par value, outstanding.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1" w:name="page2"/>
    <w:bookmarkEnd w:id="1"/>
    <w:p>
      <w:pPr>
        <w:jc w:val="center"/>
        <w:ind w:right="-799"/>
        <w:spacing w:after="0"/>
        <w:rPr>
          <w:sz w:val="20"/>
          <w:szCs w:val="20"/>
          <w:color w:val="auto"/>
        </w:rPr>
      </w:pPr>
      <w:r>
        <w:rPr>
          <w:rFonts w:ascii="Arial" w:cs="Arial" w:eastAsia="Arial" w:hAnsi="Arial"/>
          <w:sz w:val="18"/>
          <w:szCs w:val="18"/>
          <w:b w:val="1"/>
          <w:bCs w:val="1"/>
          <w:color w:val="auto"/>
        </w:rPr>
        <w:t>COMMVAULT SYSTEMS,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FORM 10-Q</w:t>
      </w:r>
    </w:p>
    <w:p>
      <w:pPr>
        <w:spacing w:after="0" w:line="19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r>
      <w:tr>
        <w:trPr>
          <w:trHeight w:val="208"/>
        </w:trPr>
        <w:tc>
          <w:tcPr>
            <w:tcW w:w="9760" w:type="dxa"/>
            <w:vAlign w:val="bottom"/>
            <w:gridSpan w:val="21"/>
          </w:tcPr>
          <w:p>
            <w:pPr>
              <w:spacing w:after="0"/>
              <w:rPr>
                <w:sz w:val="20"/>
                <w:szCs w:val="20"/>
                <w:color w:val="auto"/>
              </w:rPr>
            </w:pPr>
            <w:r>
              <w:rPr>
                <w:rFonts w:ascii="Arial" w:cs="Arial" w:eastAsia="Arial" w:hAnsi="Arial"/>
                <w:sz w:val="18"/>
                <w:szCs w:val="18"/>
                <w:b w:val="1"/>
                <w:bCs w:val="1"/>
                <w:color w:val="0B2E44"/>
              </w:rPr>
              <w:t>Part I – FINANCIAL INFORMATION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1640" w:type="dxa"/>
            <w:vAlign w:val="bottom"/>
            <w:tcBorders>
              <w:bottom w:val="single" w:sz="8" w:color="0000FF"/>
            </w:tcBorders>
            <w:gridSpan w:val="8"/>
          </w:tcPr>
          <w:p>
            <w:pPr>
              <w:spacing w:after="0" w:line="189" w:lineRule="exact"/>
              <w:rPr>
                <w:sz w:val="20"/>
                <w:szCs w:val="20"/>
                <w:color w:val="auto"/>
              </w:rPr>
            </w:pPr>
            <w:r>
              <w:rPr>
                <w:rFonts w:ascii="Arial" w:cs="Arial" w:eastAsia="Arial" w:hAnsi="Arial"/>
                <w:sz w:val="18"/>
                <w:szCs w:val="18"/>
                <w:color w:val="0000FF"/>
                <w:w w:val="96"/>
              </w:rPr>
              <w:t>Financial Statements</w:t>
            </w:r>
          </w:p>
        </w:tc>
        <w:tc>
          <w:tcPr>
            <w:tcW w:w="7100" w:type="dxa"/>
            <w:vAlign w:val="bottom"/>
            <w:gridSpan w:val="12"/>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0"/>
          </w:tcPr>
          <w:p>
            <w:pPr>
              <w:spacing w:after="0" w:line="205" w:lineRule="exact"/>
              <w:rPr>
                <w:sz w:val="20"/>
                <w:szCs w:val="20"/>
                <w:color w:val="auto"/>
              </w:rPr>
            </w:pPr>
            <w:r>
              <w:rPr>
                <w:rFonts w:ascii="Arial" w:cs="Arial" w:eastAsia="Arial" w:hAnsi="Arial"/>
                <w:sz w:val="18"/>
                <w:szCs w:val="18"/>
                <w:color w:val="0000FF"/>
              </w:rPr>
              <w:t>Unaudited Consolidated Balance Sheets as of September 30, 2026 and March 31, 2026</w:t>
            </w:r>
          </w:p>
        </w:tc>
        <w:tc>
          <w:tcPr>
            <w:tcW w:w="64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0"/>
          </w:tcPr>
          <w:p>
            <w:pPr>
              <w:spacing w:after="0" w:line="205" w:lineRule="exact"/>
              <w:rPr>
                <w:sz w:val="20"/>
                <w:szCs w:val="20"/>
                <w:color w:val="auto"/>
              </w:rPr>
            </w:pPr>
            <w:r>
              <w:rPr>
                <w:rFonts w:ascii="Arial" w:cs="Arial" w:eastAsia="Arial" w:hAnsi="Arial"/>
                <w:sz w:val="18"/>
                <w:szCs w:val="18"/>
                <w:color w:val="0000FF"/>
                <w:w w:val="98"/>
              </w:rPr>
              <w:t>Unaudited Consolidated Statements of Operations for the three and six months ended September 30, 2026 and</w:t>
            </w:r>
          </w:p>
        </w:tc>
        <w:tc>
          <w:tcPr>
            <w:tcW w:w="64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2</w:t>
            </w:r>
          </w:p>
        </w:tc>
      </w:tr>
      <w:tr>
        <w:trPr>
          <w:trHeight w:val="152"/>
        </w:trPr>
        <w:tc>
          <w:tcPr>
            <w:tcW w:w="1020" w:type="dxa"/>
            <w:vAlign w:val="bottom"/>
          </w:tcPr>
          <w:p>
            <w:pPr>
              <w:spacing w:after="0"/>
              <w:rPr>
                <w:sz w:val="13"/>
                <w:szCs w:val="13"/>
                <w:color w:val="auto"/>
              </w:rPr>
            </w:pPr>
          </w:p>
        </w:tc>
        <w:tc>
          <w:tcPr>
            <w:tcW w:w="380" w:type="dxa"/>
            <w:vAlign w:val="bottom"/>
            <w:tcBorders>
              <w:top w:val="single" w:sz="8" w:color="0000FF"/>
              <w:bottom w:val="single" w:sz="8" w:color="0000FF"/>
            </w:tcBorders>
            <w:gridSpan w:val="2"/>
          </w:tcPr>
          <w:p>
            <w:pPr>
              <w:spacing w:after="0" w:line="152" w:lineRule="exact"/>
              <w:rPr>
                <w:sz w:val="20"/>
                <w:szCs w:val="20"/>
                <w:color w:val="auto"/>
              </w:rPr>
            </w:pPr>
            <w:r>
              <w:rPr>
                <w:rFonts w:ascii="Arial" w:cs="Arial" w:eastAsia="Arial" w:hAnsi="Arial"/>
                <w:sz w:val="17"/>
                <w:szCs w:val="17"/>
                <w:color w:val="0000FF"/>
                <w:w w:val="95"/>
              </w:rPr>
              <w:t>2025</w:t>
            </w:r>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20" w:type="dxa"/>
            <w:vAlign w:val="bottom"/>
          </w:tcPr>
          <w:p>
            <w:pPr>
              <w:spacing w:after="0"/>
              <w:rPr>
                <w:sz w:val="19"/>
                <w:szCs w:val="19"/>
                <w:color w:val="auto"/>
              </w:rPr>
            </w:pPr>
          </w:p>
        </w:tc>
        <w:tc>
          <w:tcPr>
            <w:tcW w:w="8740" w:type="dxa"/>
            <w:vAlign w:val="bottom"/>
            <w:gridSpan w:val="20"/>
          </w:tcPr>
          <w:p>
            <w:pPr>
              <w:spacing w:after="0"/>
              <w:rPr>
                <w:sz w:val="20"/>
                <w:szCs w:val="20"/>
                <w:color w:val="auto"/>
              </w:rPr>
            </w:pPr>
            <w:r>
              <w:rPr>
                <w:rFonts w:ascii="Arial" w:cs="Arial" w:eastAsia="Arial" w:hAnsi="Arial"/>
                <w:sz w:val="18"/>
                <w:szCs w:val="18"/>
                <w:color w:val="0000FF"/>
                <w:w w:val="99"/>
              </w:rPr>
              <w:t>Unaudited Consolidated Statements of Comprehensive Income for the three and six months ended September</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r>
      <w:tr>
        <w:trPr>
          <w:trHeight w:val="152"/>
        </w:trPr>
        <w:tc>
          <w:tcPr>
            <w:tcW w:w="1020" w:type="dxa"/>
            <w:vAlign w:val="bottom"/>
          </w:tcPr>
          <w:p>
            <w:pPr>
              <w:spacing w:after="0"/>
              <w:rPr>
                <w:sz w:val="13"/>
                <w:szCs w:val="13"/>
                <w:color w:val="auto"/>
              </w:rPr>
            </w:pPr>
          </w:p>
        </w:tc>
        <w:tc>
          <w:tcPr>
            <w:tcW w:w="8620" w:type="dxa"/>
            <w:vAlign w:val="bottom"/>
            <w:tcBorders>
              <w:top w:val="single" w:sz="8" w:color="0000FF"/>
            </w:tcBorders>
            <w:gridSpan w:val="17"/>
          </w:tcPr>
          <w:p>
            <w:pPr>
              <w:spacing w:after="0" w:line="152" w:lineRule="exact"/>
              <w:rPr>
                <w:sz w:val="20"/>
                <w:szCs w:val="20"/>
                <w:color w:val="auto"/>
              </w:rPr>
            </w:pPr>
            <w:r>
              <w:rPr>
                <w:rFonts w:ascii="Arial" w:cs="Arial" w:eastAsia="Arial" w:hAnsi="Arial"/>
                <w:sz w:val="17"/>
                <w:szCs w:val="17"/>
                <w:color w:val="0000FF"/>
              </w:rPr>
              <w:t>30, 2026 and 2025</w:t>
            </w: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18"/>
        </w:trPr>
        <w:tc>
          <w:tcPr>
            <w:tcW w:w="1020" w:type="dxa"/>
            <w:vAlign w:val="bottom"/>
          </w:tcPr>
          <w:p>
            <w:pPr>
              <w:spacing w:after="0"/>
              <w:rPr>
                <w:sz w:val="19"/>
                <w:szCs w:val="19"/>
                <w:color w:val="auto"/>
              </w:rPr>
            </w:pPr>
          </w:p>
        </w:tc>
        <w:tc>
          <w:tcPr>
            <w:tcW w:w="8740" w:type="dxa"/>
            <w:vAlign w:val="bottom"/>
            <w:gridSpan w:val="20"/>
          </w:tcPr>
          <w:p>
            <w:pPr>
              <w:spacing w:after="0"/>
              <w:rPr>
                <w:sz w:val="20"/>
                <w:szCs w:val="20"/>
                <w:color w:val="auto"/>
              </w:rPr>
            </w:pPr>
            <w:r>
              <w:rPr>
                <w:rFonts w:ascii="Arial" w:cs="Arial" w:eastAsia="Arial" w:hAnsi="Arial"/>
                <w:sz w:val="18"/>
                <w:szCs w:val="18"/>
                <w:color w:val="0000FF"/>
                <w:w w:val="98"/>
              </w:rPr>
              <w:t>Unaudited Consolidated Statements of Stockholders’ Equity for the three and six months ended September 30,</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r>
      <w:tr>
        <w:trPr>
          <w:trHeight w:val="152"/>
        </w:trPr>
        <w:tc>
          <w:tcPr>
            <w:tcW w:w="1020" w:type="dxa"/>
            <w:vAlign w:val="bottom"/>
          </w:tcPr>
          <w:p>
            <w:pPr>
              <w:spacing w:after="0"/>
              <w:rPr>
                <w:sz w:val="13"/>
                <w:szCs w:val="13"/>
                <w:color w:val="auto"/>
              </w:rPr>
            </w:pPr>
          </w:p>
        </w:tc>
        <w:tc>
          <w:tcPr>
            <w:tcW w:w="8640" w:type="dxa"/>
            <w:vAlign w:val="bottom"/>
            <w:tcBorders>
              <w:top w:val="single" w:sz="8" w:color="0000FF"/>
            </w:tcBorders>
            <w:gridSpan w:val="18"/>
          </w:tcPr>
          <w:p>
            <w:pPr>
              <w:spacing w:after="0" w:line="152" w:lineRule="exact"/>
              <w:rPr>
                <w:sz w:val="20"/>
                <w:szCs w:val="20"/>
                <w:color w:val="auto"/>
              </w:rPr>
            </w:pPr>
            <w:r>
              <w:rPr>
                <w:rFonts w:ascii="Arial" w:cs="Arial" w:eastAsia="Arial" w:hAnsi="Arial"/>
                <w:sz w:val="17"/>
                <w:szCs w:val="17"/>
                <w:color w:val="0000FF"/>
              </w:rPr>
              <w:t>2026 and 2025</w:t>
            </w:r>
          </w:p>
        </w:tc>
        <w:tc>
          <w:tcPr>
            <w:tcW w:w="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19"/>
        </w:trPr>
        <w:tc>
          <w:tcPr>
            <w:tcW w:w="1020" w:type="dxa"/>
            <w:vAlign w:val="bottom"/>
          </w:tcPr>
          <w:p>
            <w:pPr>
              <w:spacing w:after="0"/>
              <w:rPr>
                <w:sz w:val="19"/>
                <w:szCs w:val="19"/>
                <w:color w:val="auto"/>
              </w:rPr>
            </w:pPr>
          </w:p>
        </w:tc>
        <w:tc>
          <w:tcPr>
            <w:tcW w:w="8740" w:type="dxa"/>
            <w:vAlign w:val="bottom"/>
            <w:gridSpan w:val="20"/>
          </w:tcPr>
          <w:p>
            <w:pPr>
              <w:spacing w:after="0"/>
              <w:rPr>
                <w:sz w:val="20"/>
                <w:szCs w:val="20"/>
                <w:color w:val="auto"/>
              </w:rPr>
            </w:pPr>
            <w:r>
              <w:rPr>
                <w:rFonts w:ascii="Arial" w:cs="Arial" w:eastAsia="Arial" w:hAnsi="Arial"/>
                <w:sz w:val="18"/>
                <w:szCs w:val="18"/>
                <w:color w:val="0000FF"/>
              </w:rPr>
              <w:t>Unaudited Consolidated Statements of Cash Flows for the six months ended September 30, 2026 and 2025</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400" w:type="dxa"/>
            <w:vAlign w:val="bottom"/>
            <w:gridSpan w:val="16"/>
          </w:tcPr>
          <w:p>
            <w:pPr>
              <w:spacing w:after="0" w:line="205" w:lineRule="exact"/>
              <w:rPr>
                <w:sz w:val="20"/>
                <w:szCs w:val="20"/>
                <w:color w:val="auto"/>
              </w:rPr>
            </w:pPr>
            <w:r>
              <w:rPr>
                <w:rFonts w:ascii="Arial" w:cs="Arial" w:eastAsia="Arial" w:hAnsi="Arial"/>
                <w:sz w:val="18"/>
                <w:szCs w:val="18"/>
                <w:color w:val="0000FF"/>
              </w:rPr>
              <w:t>Notes to Consolidated Financial Statements (unaudited)</w:t>
            </w:r>
          </w:p>
        </w:tc>
        <w:tc>
          <w:tcPr>
            <w:tcW w:w="340" w:type="dxa"/>
            <w:vAlign w:val="bottom"/>
            <w:gridSpan w:val="4"/>
          </w:tcPr>
          <w:p>
            <w:pPr>
              <w:spacing w:after="0"/>
              <w:rPr>
                <w:sz w:val="17"/>
                <w:szCs w:val="17"/>
                <w:color w:val="auto"/>
              </w:rPr>
            </w:pPr>
          </w:p>
        </w:tc>
        <w:tc>
          <w:tcPr>
            <w:tcW w:w="520" w:type="dxa"/>
            <w:vAlign w:val="bottom"/>
            <w:gridSpan w:val="2"/>
          </w:tcPr>
          <w:p>
            <w:pPr>
              <w:spacing w:after="0"/>
              <w:rPr>
                <w:sz w:val="17"/>
                <w:szCs w:val="17"/>
                <w:color w:val="auto"/>
              </w:rPr>
            </w:pPr>
          </w:p>
        </w:tc>
        <w:tc>
          <w:tcPr>
            <w:tcW w:w="12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0000FF"/>
                <w:w w:val="79"/>
              </w:rPr>
              <w:t>7</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6940" w:type="dxa"/>
            <w:vAlign w:val="bottom"/>
            <w:gridSpan w:val="15"/>
          </w:tcPr>
          <w:p>
            <w:pPr>
              <w:spacing w:after="0" w:line="205" w:lineRule="exact"/>
              <w:rPr>
                <w:sz w:val="20"/>
                <w:szCs w:val="20"/>
                <w:color w:val="auto"/>
              </w:rPr>
            </w:pPr>
            <w:r>
              <w:rPr>
                <w:rFonts w:ascii="Arial" w:cs="Arial" w:eastAsia="Arial" w:hAnsi="Arial"/>
                <w:sz w:val="18"/>
                <w:szCs w:val="18"/>
                <w:color w:val="0000FF"/>
                <w:w w:val="97"/>
              </w:rPr>
              <w:t>Management’s Discussion and Analysis of Financial Condition and Results of Operations</w:t>
            </w:r>
          </w:p>
        </w:tc>
        <w:tc>
          <w:tcPr>
            <w:tcW w:w="180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22</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600" w:type="dxa"/>
            <w:vAlign w:val="bottom"/>
            <w:gridSpan w:val="12"/>
          </w:tcPr>
          <w:p>
            <w:pPr>
              <w:spacing w:after="0" w:line="205" w:lineRule="exact"/>
              <w:rPr>
                <w:sz w:val="20"/>
                <w:szCs w:val="20"/>
                <w:color w:val="auto"/>
              </w:rPr>
            </w:pPr>
            <w:r>
              <w:rPr>
                <w:rFonts w:ascii="Arial" w:cs="Arial" w:eastAsia="Arial" w:hAnsi="Arial"/>
                <w:sz w:val="18"/>
                <w:szCs w:val="18"/>
                <w:color w:val="0000FF"/>
                <w:w w:val="97"/>
              </w:rPr>
              <w:t>Quantitative and Qualitative Disclosures about Market Risk</w:t>
            </w:r>
          </w:p>
        </w:tc>
        <w:tc>
          <w:tcPr>
            <w:tcW w:w="2340" w:type="dxa"/>
            <w:vAlign w:val="bottom"/>
            <w:gridSpan w:val="3"/>
          </w:tcPr>
          <w:p>
            <w:pPr>
              <w:spacing w:after="0"/>
              <w:rPr>
                <w:sz w:val="17"/>
                <w:szCs w:val="17"/>
                <w:color w:val="auto"/>
              </w:rPr>
            </w:pPr>
          </w:p>
        </w:tc>
        <w:tc>
          <w:tcPr>
            <w:tcW w:w="180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33</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4600" w:type="dxa"/>
            <w:vAlign w:val="bottom"/>
            <w:gridSpan w:val="12"/>
          </w:tcPr>
          <w:p>
            <w:pPr>
              <w:spacing w:after="0" w:line="205" w:lineRule="exact"/>
              <w:rPr>
                <w:sz w:val="20"/>
                <w:szCs w:val="20"/>
                <w:color w:val="auto"/>
              </w:rPr>
            </w:pPr>
            <w:r>
              <w:rPr>
                <w:rFonts w:ascii="Arial" w:cs="Arial" w:eastAsia="Arial" w:hAnsi="Arial"/>
                <w:sz w:val="18"/>
                <w:szCs w:val="18"/>
                <w:color w:val="0000FF"/>
              </w:rPr>
              <w:t>Controls and Procedures</w:t>
            </w:r>
          </w:p>
        </w:tc>
        <w:tc>
          <w:tcPr>
            <w:tcW w:w="414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33</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9760" w:type="dxa"/>
            <w:vAlign w:val="bottom"/>
            <w:gridSpan w:val="21"/>
          </w:tcPr>
          <w:p>
            <w:pPr>
              <w:spacing w:after="0"/>
              <w:rPr>
                <w:sz w:val="20"/>
                <w:szCs w:val="20"/>
                <w:color w:val="auto"/>
              </w:rPr>
            </w:pPr>
            <w:r>
              <w:rPr>
                <w:rFonts w:ascii="Arial" w:cs="Arial" w:eastAsia="Arial" w:hAnsi="Arial"/>
                <w:sz w:val="18"/>
                <w:szCs w:val="18"/>
                <w:b w:val="1"/>
                <w:bCs w:val="1"/>
                <w:color w:val="0B2E44"/>
              </w:rPr>
              <w:t>Part II – OTHER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102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1460" w:type="dxa"/>
            <w:vAlign w:val="bottom"/>
            <w:gridSpan w:val="7"/>
          </w:tcPr>
          <w:p>
            <w:pPr>
              <w:spacing w:after="0" w:line="189" w:lineRule="exact"/>
              <w:rPr>
                <w:sz w:val="20"/>
                <w:szCs w:val="20"/>
                <w:color w:val="auto"/>
              </w:rPr>
            </w:pPr>
            <w:r>
              <w:rPr>
                <w:rFonts w:ascii="Arial" w:cs="Arial" w:eastAsia="Arial" w:hAnsi="Arial"/>
                <w:sz w:val="18"/>
                <w:szCs w:val="18"/>
                <w:color w:val="0000FF"/>
                <w:w w:val="96"/>
              </w:rPr>
              <w:t>Legal Proceedings</w:t>
            </w:r>
          </w:p>
        </w:tc>
        <w:tc>
          <w:tcPr>
            <w:tcW w:w="7280" w:type="dxa"/>
            <w:vAlign w:val="bottom"/>
            <w:gridSpan w:val="13"/>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35</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980" w:type="dxa"/>
            <w:vAlign w:val="bottom"/>
            <w:gridSpan w:val="4"/>
          </w:tcPr>
          <w:p>
            <w:pPr>
              <w:spacing w:after="0" w:line="205" w:lineRule="exact"/>
              <w:rPr>
                <w:sz w:val="20"/>
                <w:szCs w:val="20"/>
                <w:color w:val="auto"/>
              </w:rPr>
            </w:pPr>
            <w:r>
              <w:rPr>
                <w:rFonts w:ascii="Arial" w:cs="Arial" w:eastAsia="Arial" w:hAnsi="Arial"/>
                <w:sz w:val="18"/>
                <w:szCs w:val="18"/>
                <w:color w:val="0000FF"/>
                <w:w w:val="95"/>
              </w:rPr>
              <w:t>Risk Factors</w:t>
            </w:r>
          </w:p>
        </w:tc>
        <w:tc>
          <w:tcPr>
            <w:tcW w:w="480" w:type="dxa"/>
            <w:vAlign w:val="bottom"/>
            <w:gridSpan w:val="3"/>
          </w:tcPr>
          <w:p>
            <w:pPr>
              <w:spacing w:after="0"/>
              <w:rPr>
                <w:sz w:val="17"/>
                <w:szCs w:val="17"/>
                <w:color w:val="auto"/>
              </w:rPr>
            </w:pPr>
          </w:p>
        </w:tc>
        <w:tc>
          <w:tcPr>
            <w:tcW w:w="728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35</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4760" w:type="dxa"/>
            <w:vAlign w:val="bottom"/>
            <w:gridSpan w:val="13"/>
          </w:tcPr>
          <w:p>
            <w:pPr>
              <w:spacing w:after="0" w:line="205" w:lineRule="exact"/>
              <w:rPr>
                <w:sz w:val="20"/>
                <w:szCs w:val="20"/>
                <w:color w:val="auto"/>
              </w:rPr>
            </w:pPr>
            <w:r>
              <w:rPr>
                <w:rFonts w:ascii="Arial" w:cs="Arial" w:eastAsia="Arial" w:hAnsi="Arial"/>
                <w:sz w:val="18"/>
                <w:szCs w:val="18"/>
                <w:color w:val="0000FF"/>
                <w:w w:val="97"/>
              </w:rPr>
              <w:t>Unregistered Sales of Equity Securities and Use of Proceeds</w:t>
            </w:r>
          </w:p>
        </w:tc>
        <w:tc>
          <w:tcPr>
            <w:tcW w:w="39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35</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2500" w:type="dxa"/>
            <w:vAlign w:val="bottom"/>
            <w:gridSpan w:val="10"/>
          </w:tcPr>
          <w:p>
            <w:pPr>
              <w:spacing w:after="0" w:line="205" w:lineRule="exact"/>
              <w:rPr>
                <w:sz w:val="20"/>
                <w:szCs w:val="20"/>
                <w:color w:val="auto"/>
              </w:rPr>
            </w:pPr>
            <w:r>
              <w:rPr>
                <w:rFonts w:ascii="Arial" w:cs="Arial" w:eastAsia="Arial" w:hAnsi="Arial"/>
                <w:sz w:val="18"/>
                <w:szCs w:val="18"/>
                <w:color w:val="0000FF"/>
                <w:w w:val="97"/>
              </w:rPr>
              <w:t>Defaults Upon Senior Securities</w:t>
            </w:r>
          </w:p>
        </w:tc>
        <w:tc>
          <w:tcPr>
            <w:tcW w:w="2260" w:type="dxa"/>
            <w:vAlign w:val="bottom"/>
            <w:gridSpan w:val="3"/>
          </w:tcPr>
          <w:p>
            <w:pPr>
              <w:spacing w:after="0"/>
              <w:rPr>
                <w:sz w:val="17"/>
                <w:szCs w:val="17"/>
                <w:color w:val="auto"/>
              </w:rPr>
            </w:pPr>
          </w:p>
        </w:tc>
        <w:tc>
          <w:tcPr>
            <w:tcW w:w="39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35</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2500" w:type="dxa"/>
            <w:vAlign w:val="bottom"/>
            <w:gridSpan w:val="10"/>
          </w:tcPr>
          <w:p>
            <w:pPr>
              <w:spacing w:after="0" w:line="205" w:lineRule="exact"/>
              <w:rPr>
                <w:sz w:val="20"/>
                <w:szCs w:val="20"/>
                <w:color w:val="auto"/>
              </w:rPr>
            </w:pPr>
            <w:r>
              <w:rPr>
                <w:rFonts w:ascii="Arial" w:cs="Arial" w:eastAsia="Arial" w:hAnsi="Arial"/>
                <w:sz w:val="18"/>
                <w:szCs w:val="18"/>
                <w:color w:val="0000FF"/>
              </w:rPr>
              <w:t>Mine Safety Disclosures</w:t>
            </w:r>
          </w:p>
        </w:tc>
        <w:tc>
          <w:tcPr>
            <w:tcW w:w="6240" w:type="dxa"/>
            <w:vAlign w:val="bottom"/>
            <w:gridSpan w:val="10"/>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35</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86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880" w:type="dxa"/>
            <w:vAlign w:val="bottom"/>
            <w:gridSpan w:val="9"/>
          </w:tcPr>
          <w:p>
            <w:pPr>
              <w:spacing w:after="0" w:line="205" w:lineRule="exact"/>
              <w:rPr>
                <w:sz w:val="20"/>
                <w:szCs w:val="20"/>
                <w:color w:val="auto"/>
              </w:rPr>
            </w:pPr>
            <w:r>
              <w:rPr>
                <w:rFonts w:ascii="Arial" w:cs="Arial" w:eastAsia="Arial" w:hAnsi="Arial"/>
                <w:sz w:val="18"/>
                <w:szCs w:val="18"/>
                <w:color w:val="0000FF"/>
              </w:rPr>
              <w:t>Other Information</w:t>
            </w:r>
          </w:p>
        </w:tc>
        <w:tc>
          <w:tcPr>
            <w:tcW w:w="686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36</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1360" w:type="dxa"/>
            <w:vAlign w:val="bottom"/>
            <w:gridSpan w:val="6"/>
          </w:tcPr>
          <w:p>
            <w:pPr>
              <w:spacing w:after="0" w:line="205" w:lineRule="exact"/>
              <w:rPr>
                <w:sz w:val="20"/>
                <w:szCs w:val="20"/>
                <w:color w:val="auto"/>
              </w:rPr>
            </w:pPr>
            <w:r>
              <w:rPr>
                <w:rFonts w:ascii="Arial" w:cs="Arial" w:eastAsia="Arial" w:hAnsi="Arial"/>
                <w:sz w:val="18"/>
                <w:szCs w:val="18"/>
                <w:color w:val="0000FF"/>
              </w:rPr>
              <w:t>Exhibits</w:t>
            </w:r>
          </w:p>
        </w:tc>
        <w:tc>
          <w:tcPr>
            <w:tcW w:w="738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36</w:t>
            </w: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140" w:type="dxa"/>
            <w:vAlign w:val="bottom"/>
            <w:gridSpan w:val="1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1140" w:type="dxa"/>
            <w:vAlign w:val="bottom"/>
            <w:gridSpan w:val="2"/>
          </w:tcPr>
          <w:p>
            <w:pPr>
              <w:spacing w:after="0"/>
              <w:rPr>
                <w:sz w:val="20"/>
                <w:szCs w:val="20"/>
                <w:color w:val="auto"/>
              </w:rPr>
            </w:pPr>
            <w:r>
              <w:rPr>
                <w:rFonts w:ascii="Arial" w:cs="Arial" w:eastAsia="Arial" w:hAnsi="Arial"/>
                <w:sz w:val="18"/>
                <w:szCs w:val="18"/>
                <w:color w:val="0000FF"/>
                <w:w w:val="95"/>
              </w:rPr>
              <w:t>SIGNATURES</w:t>
            </w:r>
          </w:p>
        </w:tc>
        <w:tc>
          <w:tcPr>
            <w:tcW w:w="8620" w:type="dxa"/>
            <w:vAlign w:val="bottom"/>
            <w:gridSpan w:val="19"/>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r>
      <w:tr>
        <w:trPr>
          <w:trHeight w:val="20"/>
        </w:trPr>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219710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00"/>
          </w:cols>
          <w:pgMar w:left="340" w:top="1035" w:right="11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360" w:type="dxa"/>
            <w:vAlign w:val="bottom"/>
          </w:tcPr>
          <w:p>
            <w:pPr>
              <w:jc w:val="right"/>
              <w:ind w:right="36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7820" w:type="dxa"/>
            <w:vAlign w:val="bottom"/>
            <w:vMerge w:val="restart"/>
          </w:tcPr>
          <w:p>
            <w:pPr>
              <w:ind w:left="35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192"/>
        </w:trPr>
        <w:tc>
          <w:tcPr>
            <w:tcW w:w="7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2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897,250</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899,987</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340"/>
              <w:spacing w:after="0"/>
              <w:rPr>
                <w:sz w:val="20"/>
                <w:szCs w:val="20"/>
                <w:color w:val="auto"/>
              </w:rPr>
            </w:pPr>
            <w:r>
              <w:rPr>
                <w:rFonts w:ascii="Arial" w:cs="Arial" w:eastAsia="Arial" w:hAnsi="Arial"/>
                <w:sz w:val="16"/>
                <w:szCs w:val="16"/>
                <w:color w:val="auto"/>
              </w:rPr>
              <w:t>Trade accounts receivable, net</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280,575</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330,483</w:t>
            </w:r>
          </w:p>
        </w:tc>
        <w:tc>
          <w:tcPr>
            <w:tcW w:w="0" w:type="dxa"/>
            <w:vAlign w:val="bottom"/>
          </w:tcPr>
          <w:p>
            <w:pPr>
              <w:spacing w:after="0"/>
              <w:rPr>
                <w:sz w:val="1"/>
                <w:szCs w:val="1"/>
                <w:color w:val="auto"/>
              </w:rPr>
            </w:pPr>
          </w:p>
        </w:tc>
      </w:tr>
      <w:tr>
        <w:trPr>
          <w:trHeight w:val="211"/>
        </w:trPr>
        <w:tc>
          <w:tcPr>
            <w:tcW w:w="7820" w:type="dxa"/>
            <w:vAlign w:val="bottom"/>
            <w:tcBorders>
              <w:bottom w:val="single" w:sz="8" w:color="EAEAEA"/>
            </w:tcBorders>
          </w:tcPr>
          <w:p>
            <w:pPr>
              <w:ind w:left="3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62,295</w:t>
            </w:r>
          </w:p>
        </w:tc>
        <w:tc>
          <w:tcPr>
            <w:tcW w:w="100" w:type="dxa"/>
            <w:vAlign w:val="bottom"/>
            <w:tcBorders>
              <w:bottom w:val="single" w:sz="8" w:color="EAEAE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56,040</w:t>
            </w:r>
          </w:p>
        </w:tc>
        <w:tc>
          <w:tcPr>
            <w:tcW w:w="0" w:type="dxa"/>
            <w:vAlign w:val="bottom"/>
          </w:tcPr>
          <w:p>
            <w:pPr>
              <w:spacing w:after="0"/>
              <w:rPr>
                <w:sz w:val="1"/>
                <w:szCs w:val="1"/>
                <w:color w:val="auto"/>
              </w:rPr>
            </w:pPr>
          </w:p>
        </w:tc>
      </w:tr>
      <w:tr>
        <w:trPr>
          <w:trHeight w:val="206"/>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EAEAEA"/>
          </w:tcPr>
          <w:p>
            <w:pPr>
              <w:spacing w:after="0"/>
              <w:rPr>
                <w:sz w:val="17"/>
                <w:szCs w:val="17"/>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1,240,120</w:t>
            </w:r>
          </w:p>
        </w:tc>
        <w:tc>
          <w:tcPr>
            <w:tcW w:w="100" w:type="dxa"/>
            <w:vAlign w:val="bottom"/>
            <w:shd w:val="clear" w:color="auto" w:fill="EAEAEA"/>
          </w:tcPr>
          <w:p>
            <w:pPr>
              <w:spacing w:after="0"/>
              <w:rPr>
                <w:sz w:val="17"/>
                <w:szCs w:val="17"/>
                <w:color w:val="auto"/>
              </w:rPr>
            </w:pPr>
          </w:p>
        </w:tc>
        <w:tc>
          <w:tcPr>
            <w:tcW w:w="280" w:type="dxa"/>
            <w:vAlign w:val="bottom"/>
            <w:shd w:val="clear" w:color="auto" w:fill="EAEAEA"/>
          </w:tcPr>
          <w:p>
            <w:pPr>
              <w:spacing w:after="0"/>
              <w:rPr>
                <w:sz w:val="17"/>
                <w:szCs w:val="17"/>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1,286,510</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145,975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153,766</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13,479</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9,750</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35,956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34,920</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Deferred commissions cost</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113,437</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103,892</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17,204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19,715</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209,168</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209,322</w:t>
            </w:r>
          </w:p>
        </w:tc>
        <w:tc>
          <w:tcPr>
            <w:tcW w:w="0" w:type="dxa"/>
            <w:vAlign w:val="bottom"/>
          </w:tcPr>
          <w:p>
            <w:pPr>
              <w:spacing w:after="0"/>
              <w:rPr>
                <w:sz w:val="1"/>
                <w:szCs w:val="1"/>
                <w:color w:val="auto"/>
              </w:rPr>
            </w:pPr>
          </w:p>
        </w:tc>
      </w:tr>
      <w:tr>
        <w:trPr>
          <w:trHeight w:val="211"/>
        </w:trPr>
        <w:tc>
          <w:tcPr>
            <w:tcW w:w="78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99,723</w:t>
            </w:r>
          </w:p>
        </w:tc>
        <w:tc>
          <w:tcPr>
            <w:tcW w:w="100" w:type="dxa"/>
            <w:vAlign w:val="bottom"/>
            <w:tcBorders>
              <w:bottom w:val="single" w:sz="8" w:color="EAEAE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68,430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1,875,062</w:t>
            </w:r>
          </w:p>
        </w:tc>
        <w:tc>
          <w:tcPr>
            <w:tcW w:w="100" w:type="dxa"/>
            <w:vAlign w:val="bottom"/>
            <w:tcBorders>
              <w:bottom w:val="single" w:sz="8" w:color="EAEAEA"/>
            </w:tcBorders>
            <w:shd w:val="clear" w:color="auto" w:fill="EAEAEA"/>
          </w:tcPr>
          <w:p>
            <w:pPr>
              <w:spacing w:after="0"/>
              <w:rPr>
                <w:sz w:val="19"/>
                <w:szCs w:val="19"/>
                <w:color w:val="auto"/>
              </w:rPr>
            </w:pPr>
          </w:p>
        </w:tc>
        <w:tc>
          <w:tcPr>
            <w:tcW w:w="280" w:type="dxa"/>
            <w:vAlign w:val="bottom"/>
            <w:tcBorders>
              <w:bottom w:val="single" w:sz="8" w:color="auto"/>
            </w:tcBorders>
            <w:shd w:val="clear" w:color="auto" w:fill="EAEAEA"/>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1,886,305</w:t>
            </w:r>
          </w:p>
        </w:tc>
        <w:tc>
          <w:tcPr>
            <w:tcW w:w="0" w:type="dxa"/>
            <w:vAlign w:val="bottom"/>
          </w:tcPr>
          <w:p>
            <w:pPr>
              <w:spacing w:after="0"/>
              <w:rPr>
                <w:sz w:val="1"/>
                <w:szCs w:val="1"/>
                <w:color w:val="auto"/>
              </w:rPr>
            </w:pPr>
          </w:p>
        </w:tc>
      </w:tr>
      <w:tr>
        <w:trPr>
          <w:trHeight w:val="20"/>
        </w:trPr>
        <w:tc>
          <w:tcPr>
            <w:tcW w:w="7820" w:type="dxa"/>
            <w:vAlign w:val="bottom"/>
            <w:tcBorders>
              <w:top w:val="single" w:sz="8" w:color="EAEAEA"/>
              <w:bottom w:val="single" w:sz="8" w:color="EAEAEA"/>
            </w:tcBorders>
            <w:vMerge w:val="restart"/>
          </w:tcPr>
          <w:p>
            <w:pPr>
              <w:ind w:left="21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14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280" w:type="dxa"/>
            <w:vAlign w:val="bottom"/>
            <w:tcBorders>
              <w:top w:val="single" w:sz="8" w:color="EAEAEA"/>
              <w:bottom w:val="single" w:sz="8" w:color="auto"/>
            </w:tcBorders>
          </w:tcPr>
          <w:p>
            <w:pPr>
              <w:spacing w:after="0" w:line="20" w:lineRule="exact"/>
              <w:rPr>
                <w:sz w:val="1"/>
                <w:szCs w:val="1"/>
                <w:color w:val="auto"/>
              </w:rPr>
            </w:pPr>
          </w:p>
        </w:tc>
        <w:tc>
          <w:tcPr>
            <w:tcW w:w="136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34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159,107</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165,583</w:t>
            </w:r>
          </w:p>
        </w:tc>
        <w:tc>
          <w:tcPr>
            <w:tcW w:w="0" w:type="dxa"/>
            <w:vAlign w:val="bottom"/>
          </w:tcPr>
          <w:p>
            <w:pPr>
              <w:spacing w:after="0"/>
              <w:rPr>
                <w:sz w:val="1"/>
                <w:szCs w:val="1"/>
                <w:color w:val="auto"/>
              </w:rPr>
            </w:pPr>
          </w:p>
        </w:tc>
      </w:tr>
      <w:tr>
        <w:trPr>
          <w:trHeight w:val="211"/>
        </w:trPr>
        <w:tc>
          <w:tcPr>
            <w:tcW w:w="7820" w:type="dxa"/>
            <w:vAlign w:val="bottom"/>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7,443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6,963</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34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shd w:val="clear" w:color="auto" w:fill="EAEAEA"/>
          </w:tcPr>
          <w:p>
            <w:pPr>
              <w:spacing w:after="0"/>
              <w:rPr>
                <w:sz w:val="18"/>
                <w:szCs w:val="18"/>
                <w:color w:val="auto"/>
              </w:rPr>
            </w:pPr>
          </w:p>
        </w:tc>
        <w:tc>
          <w:tcPr>
            <w:tcW w:w="14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472,746</w:t>
            </w:r>
          </w:p>
        </w:tc>
        <w:tc>
          <w:tcPr>
            <w:tcW w:w="100" w:type="dxa"/>
            <w:vAlign w:val="bottom"/>
            <w:shd w:val="clear" w:color="auto" w:fill="EAEAEA"/>
          </w:tcPr>
          <w:p>
            <w:pPr>
              <w:spacing w:after="0"/>
              <w:rPr>
                <w:sz w:val="18"/>
                <w:szCs w:val="18"/>
                <w:color w:val="auto"/>
              </w:rPr>
            </w:pPr>
          </w:p>
        </w:tc>
        <w:tc>
          <w:tcPr>
            <w:tcW w:w="280" w:type="dxa"/>
            <w:vAlign w:val="bottom"/>
            <w:tcBorders>
              <w:bottom w:val="single" w:sz="8" w:color="auto"/>
            </w:tcBorders>
            <w:shd w:val="clear" w:color="auto" w:fill="EAEAEA"/>
          </w:tcPr>
          <w:p>
            <w:pPr>
              <w:spacing w:after="0"/>
              <w:rPr>
                <w:sz w:val="18"/>
                <w:szCs w:val="18"/>
                <w:color w:val="auto"/>
              </w:rPr>
            </w:pPr>
          </w:p>
        </w:tc>
        <w:tc>
          <w:tcPr>
            <w:tcW w:w="13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484,973</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639,789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658,170</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Convertible notes, net</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882,989</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880,863</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Deferred revenue, less current portion</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291,114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293,725</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30,937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29,675</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16,565</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14,813</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7820" w:type="dxa"/>
            <w:vAlign w:val="bottom"/>
            <w:shd w:val="clear" w:color="auto" w:fill="EAEAEA"/>
          </w:tcPr>
          <w:p>
            <w:pPr>
              <w:ind w:left="20"/>
              <w:spacing w:after="0" w:line="160" w:lineRule="exact"/>
              <w:rPr>
                <w:sz w:val="20"/>
                <w:szCs w:val="20"/>
                <w:color w:val="auto"/>
              </w:rPr>
            </w:pPr>
            <w:r>
              <w:rPr>
                <w:rFonts w:ascii="Arial" w:cs="Arial" w:eastAsia="Arial" w:hAnsi="Arial"/>
                <w:sz w:val="16"/>
                <w:szCs w:val="16"/>
                <w:color w:val="auto"/>
              </w:rPr>
              <w:t>Common stock, $0.01 par value: 250,000 shares authorized, 40,892 shares and 41,255 shares issued and</w:t>
            </w:r>
          </w:p>
        </w:tc>
        <w:tc>
          <w:tcPr>
            <w:tcW w:w="180" w:type="dxa"/>
            <w:vAlign w:val="bottom"/>
            <w:shd w:val="clear" w:color="auto" w:fill="EAEAEA"/>
          </w:tcPr>
          <w:p>
            <w:pPr>
              <w:spacing w:after="0"/>
              <w:rPr>
                <w:sz w:val="13"/>
                <w:szCs w:val="13"/>
                <w:color w:val="auto"/>
              </w:rPr>
            </w:pPr>
          </w:p>
        </w:tc>
        <w:tc>
          <w:tcPr>
            <w:tcW w:w="1460" w:type="dxa"/>
            <w:vAlign w:val="bottom"/>
            <w:vMerge w:val="restart"/>
            <w:shd w:val="clear" w:color="auto" w:fill="EAEAEA"/>
          </w:tcPr>
          <w:p>
            <w:pPr>
              <w:jc w:val="right"/>
              <w:ind w:right="1"/>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EAEAEA"/>
          </w:tcPr>
          <w:p>
            <w:pPr>
              <w:spacing w:after="0"/>
              <w:rPr>
                <w:sz w:val="13"/>
                <w:szCs w:val="13"/>
                <w:color w:val="auto"/>
              </w:rPr>
            </w:pPr>
          </w:p>
        </w:tc>
        <w:tc>
          <w:tcPr>
            <w:tcW w:w="280" w:type="dxa"/>
            <w:vAlign w:val="bottom"/>
            <w:shd w:val="clear" w:color="auto" w:fill="EAEAEA"/>
          </w:tcPr>
          <w:p>
            <w:pPr>
              <w:spacing w:after="0"/>
              <w:rPr>
                <w:sz w:val="13"/>
                <w:szCs w:val="13"/>
                <w:color w:val="auto"/>
              </w:rPr>
            </w:pPr>
          </w:p>
        </w:tc>
        <w:tc>
          <w:tcPr>
            <w:tcW w:w="13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2"/>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outstanding at September 30, 2026 and March 31, 2026, respectively</w:t>
            </w:r>
          </w:p>
        </w:tc>
        <w:tc>
          <w:tcPr>
            <w:tcW w:w="180" w:type="dxa"/>
            <w:vAlign w:val="bottom"/>
            <w:shd w:val="clear" w:color="auto" w:fill="EAEAEA"/>
          </w:tcPr>
          <w:p>
            <w:pPr>
              <w:spacing w:after="0"/>
              <w:rPr>
                <w:sz w:val="18"/>
                <w:szCs w:val="18"/>
                <w:color w:val="auto"/>
              </w:rPr>
            </w:pPr>
          </w:p>
        </w:tc>
        <w:tc>
          <w:tcPr>
            <w:tcW w:w="1460" w:type="dxa"/>
            <w:vAlign w:val="bottom"/>
            <w:vMerge w:val="continue"/>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vMerge w:val="continue"/>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1,564,238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1,495,597</w:t>
            </w:r>
          </w:p>
        </w:tc>
        <w:tc>
          <w:tcPr>
            <w:tcW w:w="0" w:type="dxa"/>
            <w:vAlign w:val="bottom"/>
          </w:tcPr>
          <w:p>
            <w:pPr>
              <w:spacing w:after="0"/>
              <w:rPr>
                <w:sz w:val="1"/>
                <w:szCs w:val="1"/>
                <w:color w:val="auto"/>
              </w:rPr>
            </w:pP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EAEAEA"/>
          </w:tcPr>
          <w:p>
            <w:pPr>
              <w:spacing w:after="0"/>
              <w:rPr>
                <w:sz w:val="18"/>
                <w:szCs w:val="18"/>
                <w:color w:val="auto"/>
              </w:rPr>
            </w:pPr>
          </w:p>
        </w:tc>
        <w:tc>
          <w:tcPr>
            <w:tcW w:w="14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(1,532,975)</w:t>
            </w:r>
          </w:p>
        </w:tc>
        <w:tc>
          <w:tcPr>
            <w:tcW w:w="100" w:type="dxa"/>
            <w:vAlign w:val="bottom"/>
            <w:shd w:val="clear" w:color="auto" w:fill="EAEAEA"/>
          </w:tcPr>
          <w:p>
            <w:pPr>
              <w:spacing w:after="0"/>
              <w:rPr>
                <w:sz w:val="18"/>
                <w:szCs w:val="18"/>
                <w:color w:val="auto"/>
              </w:rPr>
            </w:pPr>
          </w:p>
        </w:tc>
        <w:tc>
          <w:tcPr>
            <w:tcW w:w="280" w:type="dxa"/>
            <w:vAlign w:val="bottom"/>
            <w:shd w:val="clear" w:color="auto" w:fill="EAEAEA"/>
          </w:tcPr>
          <w:p>
            <w:pPr>
              <w:spacing w:after="0"/>
              <w:rPr>
                <w:sz w:val="18"/>
                <w:szCs w:val="18"/>
                <w:color w:val="auto"/>
              </w:rPr>
            </w:pPr>
          </w:p>
        </w:tc>
        <w:tc>
          <w:tcPr>
            <w:tcW w:w="13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(1,472,124)</w:t>
            </w:r>
          </w:p>
        </w:tc>
        <w:tc>
          <w:tcPr>
            <w:tcW w:w="0" w:type="dxa"/>
            <w:vAlign w:val="bottom"/>
          </w:tcPr>
          <w:p>
            <w:pPr>
              <w:spacing w:after="0"/>
              <w:rPr>
                <w:sz w:val="1"/>
                <w:szCs w:val="1"/>
                <w:color w:val="auto"/>
              </w:rPr>
            </w:pPr>
          </w:p>
        </w:tc>
      </w:tr>
      <w:tr>
        <w:trPr>
          <w:trHeight w:val="211"/>
        </w:trPr>
        <w:tc>
          <w:tcPr>
            <w:tcW w:w="78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(19,138)</w:t>
            </w:r>
          </w:p>
        </w:tc>
        <w:tc>
          <w:tcPr>
            <w:tcW w:w="100" w:type="dxa"/>
            <w:vAlign w:val="bottom"/>
            <w:tcBorders>
              <w:bottom w:val="single" w:sz="8" w:color="EAEAE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(16,391)</w:t>
            </w:r>
          </w:p>
        </w:tc>
        <w:tc>
          <w:tcPr>
            <w:tcW w:w="0" w:type="dxa"/>
            <w:vAlign w:val="bottom"/>
          </w:tcPr>
          <w:p>
            <w:pPr>
              <w:spacing w:after="0"/>
              <w:rPr>
                <w:sz w:val="1"/>
                <w:szCs w:val="1"/>
                <w:color w:val="auto"/>
              </w:rPr>
            </w:pPr>
          </w:p>
        </w:tc>
      </w:tr>
      <w:tr>
        <w:trPr>
          <w:trHeight w:val="206"/>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EAEAEA"/>
          </w:tcPr>
          <w:p>
            <w:pPr>
              <w:spacing w:after="0"/>
              <w:rPr>
                <w:sz w:val="17"/>
                <w:szCs w:val="17"/>
                <w:color w:val="auto"/>
              </w:rPr>
            </w:pPr>
          </w:p>
        </w:tc>
        <w:tc>
          <w:tcPr>
            <w:tcW w:w="14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12,534</w:t>
            </w:r>
          </w:p>
        </w:tc>
        <w:tc>
          <w:tcPr>
            <w:tcW w:w="100" w:type="dxa"/>
            <w:vAlign w:val="bottom"/>
            <w:shd w:val="clear" w:color="auto" w:fill="EAEAEA"/>
          </w:tcPr>
          <w:p>
            <w:pPr>
              <w:spacing w:after="0"/>
              <w:rPr>
                <w:sz w:val="17"/>
                <w:szCs w:val="17"/>
                <w:color w:val="auto"/>
              </w:rPr>
            </w:pPr>
          </w:p>
        </w:tc>
        <w:tc>
          <w:tcPr>
            <w:tcW w:w="280" w:type="dxa"/>
            <w:vAlign w:val="bottom"/>
            <w:tcBorders>
              <w:bottom w:val="single" w:sz="8" w:color="auto"/>
            </w:tcBorders>
            <w:shd w:val="clear" w:color="auto" w:fill="EAEAEA"/>
          </w:tcPr>
          <w:p>
            <w:pPr>
              <w:spacing w:after="0"/>
              <w:rPr>
                <w:sz w:val="17"/>
                <w:szCs w:val="17"/>
                <w:color w:val="auto"/>
              </w:rPr>
            </w:pPr>
          </w:p>
        </w:tc>
        <w:tc>
          <w:tcPr>
            <w:tcW w:w="13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7,494</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1,875,062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1,886,305</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78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205"/>
        </w:trPr>
        <w:tc>
          <w:tcPr>
            <w:tcW w:w="4740" w:type="dxa"/>
            <w:vAlign w:val="bottom"/>
            <w:tcBorders>
              <w:bottom w:val="single" w:sz="8" w:color="EAEAEA"/>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EAEAEA"/>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2"/>
        </w:trPr>
        <w:tc>
          <w:tcPr>
            <w:tcW w:w="474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EAEAEA"/>
          </w:tcPr>
          <w:p>
            <w:pPr>
              <w:spacing w:after="0"/>
              <w:rPr>
                <w:sz w:val="16"/>
                <w:szCs w:val="16"/>
                <w:color w:val="auto"/>
              </w:rPr>
            </w:pPr>
          </w:p>
        </w:tc>
        <w:tc>
          <w:tcPr>
            <w:tcW w:w="13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320" w:type="dxa"/>
            <w:vAlign w:val="bottom"/>
            <w:shd w:val="clear" w:color="auto" w:fill="EAEAEA"/>
          </w:tcPr>
          <w:p>
            <w:pPr>
              <w:spacing w:after="0"/>
              <w:rPr>
                <w:sz w:val="16"/>
                <w:szCs w:val="16"/>
                <w:color w:val="auto"/>
              </w:rPr>
            </w:pPr>
          </w:p>
        </w:tc>
        <w:tc>
          <w:tcPr>
            <w:tcW w:w="1100" w:type="dxa"/>
            <w:vAlign w:val="bottom"/>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126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320" w:type="dxa"/>
            <w:vAlign w:val="bottom"/>
            <w:shd w:val="clear" w:color="auto" w:fill="EAEAEA"/>
          </w:tcPr>
          <w:p>
            <w:pPr>
              <w:spacing w:after="0"/>
              <w:rPr>
                <w:sz w:val="16"/>
                <w:szCs w:val="16"/>
                <w:color w:val="auto"/>
              </w:rPr>
            </w:pPr>
          </w:p>
        </w:tc>
        <w:tc>
          <w:tcPr>
            <w:tcW w:w="110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340"/>
              <w:spacing w:after="0"/>
              <w:rPr>
                <w:sz w:val="20"/>
                <w:szCs w:val="20"/>
                <w:color w:val="auto"/>
              </w:rPr>
            </w:pPr>
            <w:r>
              <w:rPr>
                <w:rFonts w:ascii="Arial" w:cs="Arial" w:eastAsia="Arial" w:hAnsi="Arial"/>
                <w:sz w:val="16"/>
                <w:szCs w:val="16"/>
                <w:color w:val="auto"/>
              </w:rPr>
              <w:t>Subscription:</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660"/>
              <w:spacing w:after="0"/>
              <w:rPr>
                <w:sz w:val="20"/>
                <w:szCs w:val="20"/>
                <w:color w:val="auto"/>
              </w:rPr>
            </w:pPr>
            <w:r>
              <w:rPr>
                <w:rFonts w:ascii="Arial" w:cs="Arial" w:eastAsia="Arial" w:hAnsi="Arial"/>
                <w:sz w:val="16"/>
                <w:szCs w:val="16"/>
                <w:color w:val="auto"/>
              </w:rPr>
              <w:t>Term-based license</w:t>
            </w:r>
          </w:p>
        </w:tc>
        <w:tc>
          <w:tcPr>
            <w:tcW w:w="12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105,002</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92,647</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215,422</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201,929</w:t>
            </w:r>
          </w:p>
        </w:tc>
        <w:tc>
          <w:tcPr>
            <w:tcW w:w="0" w:type="dxa"/>
            <w:vAlign w:val="bottom"/>
          </w:tcPr>
          <w:p>
            <w:pPr>
              <w:spacing w:after="0"/>
              <w:rPr>
                <w:sz w:val="1"/>
                <w:szCs w:val="1"/>
                <w:color w:val="auto"/>
              </w:rPr>
            </w:pPr>
          </w:p>
        </w:tc>
      </w:tr>
      <w:tr>
        <w:trPr>
          <w:trHeight w:val="211"/>
        </w:trPr>
        <w:tc>
          <w:tcPr>
            <w:tcW w:w="4740" w:type="dxa"/>
            <w:vAlign w:val="bottom"/>
          </w:tcPr>
          <w:p>
            <w:pPr>
              <w:ind w:left="660"/>
              <w:spacing w:after="0"/>
              <w:rPr>
                <w:sz w:val="20"/>
                <w:szCs w:val="20"/>
                <w:color w:val="auto"/>
              </w:rPr>
            </w:pPr>
            <w:r>
              <w:rPr>
                <w:rFonts w:ascii="Arial" w:cs="Arial" w:eastAsia="Arial" w:hAnsi="Arial"/>
                <w:sz w:val="16"/>
                <w:szCs w:val="16"/>
                <w:color w:val="auto"/>
              </w:rPr>
              <w:t>Term-based support</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57,307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113,364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97,268</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660"/>
              <w:spacing w:after="0"/>
              <w:rPr>
                <w:sz w:val="20"/>
                <w:szCs w:val="20"/>
                <w:color w:val="auto"/>
              </w:rPr>
            </w:pPr>
            <w:r>
              <w:rPr>
                <w:rFonts w:ascii="Arial" w:cs="Arial" w:eastAsia="Arial" w:hAnsi="Arial"/>
                <w:sz w:val="16"/>
                <w:szCs w:val="16"/>
                <w:color w:val="auto"/>
              </w:rPr>
              <w:t>Software-as-a-service</w:t>
            </w:r>
          </w:p>
        </w:tc>
        <w:tc>
          <w:tcPr>
            <w:tcW w:w="120" w:type="dxa"/>
            <w:vAlign w:val="bottom"/>
            <w:tcBorders>
              <w:bottom w:val="single" w:sz="8" w:color="auto"/>
            </w:tcBorders>
            <w:shd w:val="clear" w:color="auto" w:fill="EAEAEA"/>
          </w:tcPr>
          <w:p>
            <w:pPr>
              <w:spacing w:after="0"/>
              <w:rPr>
                <w:sz w:val="18"/>
                <w:szCs w:val="18"/>
                <w:color w:val="auto"/>
              </w:rPr>
            </w:pPr>
          </w:p>
        </w:tc>
        <w:tc>
          <w:tcPr>
            <w:tcW w:w="132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106,203</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80,018</w:t>
            </w:r>
          </w:p>
        </w:tc>
        <w:tc>
          <w:tcPr>
            <w:tcW w:w="120" w:type="dxa"/>
            <w:vAlign w:val="bottom"/>
            <w:shd w:val="clear" w:color="auto" w:fill="EAEAEA"/>
          </w:tcPr>
          <w:p>
            <w:pPr>
              <w:spacing w:after="0"/>
              <w:rPr>
                <w:sz w:val="18"/>
                <w:szCs w:val="18"/>
                <w:color w:val="auto"/>
              </w:rPr>
            </w:pPr>
          </w:p>
        </w:tc>
        <w:tc>
          <w:tcPr>
            <w:tcW w:w="14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206,753</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152,463</w:t>
            </w:r>
          </w:p>
        </w:tc>
        <w:tc>
          <w:tcPr>
            <w:tcW w:w="0" w:type="dxa"/>
            <w:vAlign w:val="bottom"/>
          </w:tcPr>
          <w:p>
            <w:pPr>
              <w:spacing w:after="0"/>
              <w:rPr>
                <w:sz w:val="1"/>
                <w:szCs w:val="1"/>
                <w:color w:val="auto"/>
              </w:rPr>
            </w:pPr>
          </w:p>
        </w:tc>
      </w:tr>
      <w:tr>
        <w:trPr>
          <w:trHeight w:val="204"/>
        </w:trPr>
        <w:tc>
          <w:tcPr>
            <w:tcW w:w="4740" w:type="dxa"/>
            <w:vAlign w:val="bottom"/>
          </w:tcPr>
          <w:p>
            <w:pPr>
              <w:ind w:left="340"/>
              <w:spacing w:after="0"/>
              <w:rPr>
                <w:sz w:val="20"/>
                <w:szCs w:val="20"/>
                <w:color w:val="auto"/>
              </w:rPr>
            </w:pPr>
            <w:r>
              <w:rPr>
                <w:rFonts w:ascii="Arial" w:cs="Arial" w:eastAsia="Arial" w:hAnsi="Arial"/>
                <w:sz w:val="16"/>
                <w:szCs w:val="16"/>
                <w:color w:val="auto"/>
              </w:rPr>
              <w:t>Total subscription</w:t>
            </w:r>
          </w:p>
        </w:tc>
        <w:tc>
          <w:tcPr>
            <w:tcW w:w="1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268,512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222,351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535,539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451,660</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Perpetual license</w:t>
            </w:r>
          </w:p>
        </w:tc>
        <w:tc>
          <w:tcPr>
            <w:tcW w:w="120" w:type="dxa"/>
            <w:vAlign w:val="bottom"/>
            <w:shd w:val="clear" w:color="auto" w:fill="EAEAEA"/>
          </w:tcPr>
          <w:p>
            <w:pPr>
              <w:spacing w:after="0"/>
              <w:rPr>
                <w:sz w:val="18"/>
                <w:szCs w:val="18"/>
                <w:color w:val="auto"/>
              </w:rPr>
            </w:pPr>
          </w:p>
        </w:tc>
        <w:tc>
          <w:tcPr>
            <w:tcW w:w="13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7,205</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12,073</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15,900</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19,408</w:t>
            </w:r>
          </w:p>
        </w:tc>
        <w:tc>
          <w:tcPr>
            <w:tcW w:w="0" w:type="dxa"/>
            <w:vAlign w:val="bottom"/>
          </w:tcPr>
          <w:p>
            <w:pPr>
              <w:spacing w:after="0"/>
              <w:rPr>
                <w:sz w:val="1"/>
                <w:szCs w:val="1"/>
                <w:color w:val="auto"/>
              </w:rPr>
            </w:pPr>
          </w:p>
        </w:tc>
      </w:tr>
      <w:tr>
        <w:trPr>
          <w:trHeight w:val="211"/>
        </w:trPr>
        <w:tc>
          <w:tcPr>
            <w:tcW w:w="4740" w:type="dxa"/>
            <w:vAlign w:val="bottom"/>
          </w:tcPr>
          <w:p>
            <w:pPr>
              <w:ind w:left="340"/>
              <w:spacing w:after="0"/>
              <w:rPr>
                <w:sz w:val="20"/>
                <w:szCs w:val="20"/>
                <w:color w:val="auto"/>
              </w:rPr>
            </w:pPr>
            <w:r>
              <w:rPr>
                <w:rFonts w:ascii="Arial" w:cs="Arial" w:eastAsia="Arial" w:hAnsi="Arial"/>
                <w:sz w:val="16"/>
                <w:szCs w:val="16"/>
                <w:color w:val="auto"/>
              </w:rPr>
              <w:t>Perpetual support</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23,482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30,543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48,957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61,982</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Other services</w:t>
            </w:r>
          </w:p>
        </w:tc>
        <w:tc>
          <w:tcPr>
            <w:tcW w:w="120" w:type="dxa"/>
            <w:vAlign w:val="bottom"/>
            <w:tcBorders>
              <w:bottom w:val="single" w:sz="8" w:color="auto"/>
            </w:tcBorders>
            <w:shd w:val="clear" w:color="auto" w:fill="EAEAEA"/>
          </w:tcPr>
          <w:p>
            <w:pPr>
              <w:spacing w:after="0"/>
              <w:rPr>
                <w:sz w:val="18"/>
                <w:szCs w:val="18"/>
                <w:color w:val="auto"/>
              </w:rPr>
            </w:pPr>
          </w:p>
        </w:tc>
        <w:tc>
          <w:tcPr>
            <w:tcW w:w="132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13,190</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11,221</w:t>
            </w:r>
          </w:p>
        </w:tc>
        <w:tc>
          <w:tcPr>
            <w:tcW w:w="120" w:type="dxa"/>
            <w:vAlign w:val="bottom"/>
            <w:shd w:val="clear" w:color="auto" w:fill="EAEAEA"/>
          </w:tcPr>
          <w:p>
            <w:pPr>
              <w:spacing w:after="0"/>
              <w:rPr>
                <w:sz w:val="18"/>
                <w:szCs w:val="18"/>
                <w:color w:val="auto"/>
              </w:rPr>
            </w:pPr>
          </w:p>
        </w:tc>
        <w:tc>
          <w:tcPr>
            <w:tcW w:w="14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26,124</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25,116</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312,389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276,188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626,520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558,166</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20"/>
              <w:spacing w:after="0"/>
              <w:rPr>
                <w:sz w:val="20"/>
                <w:szCs w:val="20"/>
                <w:color w:val="auto"/>
              </w:rPr>
            </w:pPr>
            <w:r>
              <w:rPr>
                <w:rFonts w:ascii="Arial" w:cs="Arial" w:eastAsia="Arial" w:hAnsi="Arial"/>
                <w:sz w:val="16"/>
                <w:szCs w:val="16"/>
                <w:color w:val="auto"/>
              </w:rPr>
              <w:t>Cost of revenues:</w:t>
            </w:r>
          </w:p>
        </w:tc>
        <w:tc>
          <w:tcPr>
            <w:tcW w:w="12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340"/>
              <w:spacing w:after="0"/>
              <w:rPr>
                <w:sz w:val="20"/>
                <w:szCs w:val="20"/>
                <w:color w:val="auto"/>
              </w:rPr>
            </w:pPr>
            <w:r>
              <w:rPr>
                <w:rFonts w:ascii="Arial" w:cs="Arial" w:eastAsia="Arial" w:hAnsi="Arial"/>
                <w:sz w:val="16"/>
                <w:szCs w:val="16"/>
                <w:color w:val="auto"/>
              </w:rPr>
              <w:t>Term-based license</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3,465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7,708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4,656</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Software-as-a-service</w:t>
            </w:r>
          </w:p>
        </w:tc>
        <w:tc>
          <w:tcPr>
            <w:tcW w:w="120" w:type="dxa"/>
            <w:vAlign w:val="bottom"/>
            <w:shd w:val="clear" w:color="auto" w:fill="EAEAEA"/>
          </w:tcPr>
          <w:p>
            <w:pPr>
              <w:spacing w:after="0"/>
              <w:rPr>
                <w:sz w:val="18"/>
                <w:szCs w:val="18"/>
                <w:color w:val="auto"/>
              </w:rPr>
            </w:pPr>
          </w:p>
        </w:tc>
        <w:tc>
          <w:tcPr>
            <w:tcW w:w="13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31,812</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29,187</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61,464</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55,159</w:t>
            </w:r>
          </w:p>
        </w:tc>
        <w:tc>
          <w:tcPr>
            <w:tcW w:w="0" w:type="dxa"/>
            <w:vAlign w:val="bottom"/>
          </w:tcPr>
          <w:p>
            <w:pPr>
              <w:spacing w:after="0"/>
              <w:rPr>
                <w:sz w:val="1"/>
                <w:szCs w:val="1"/>
                <w:color w:val="auto"/>
              </w:rPr>
            </w:pPr>
          </w:p>
        </w:tc>
      </w:tr>
      <w:tr>
        <w:trPr>
          <w:trHeight w:val="211"/>
        </w:trPr>
        <w:tc>
          <w:tcPr>
            <w:tcW w:w="4740" w:type="dxa"/>
            <w:vAlign w:val="bottom"/>
          </w:tcPr>
          <w:p>
            <w:pPr>
              <w:ind w:left="340"/>
              <w:spacing w:after="0"/>
              <w:rPr>
                <w:sz w:val="20"/>
                <w:szCs w:val="20"/>
                <w:color w:val="auto"/>
              </w:rPr>
            </w:pPr>
            <w:r>
              <w:rPr>
                <w:rFonts w:ascii="Arial" w:cs="Arial" w:eastAsia="Arial" w:hAnsi="Arial"/>
                <w:sz w:val="16"/>
                <w:szCs w:val="16"/>
                <w:color w:val="auto"/>
              </w:rPr>
              <w:t>Perpetual license</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Customer support</w:t>
            </w:r>
          </w:p>
        </w:tc>
        <w:tc>
          <w:tcPr>
            <w:tcW w:w="120" w:type="dxa"/>
            <w:vAlign w:val="bottom"/>
            <w:shd w:val="clear" w:color="auto" w:fill="EAEAEA"/>
          </w:tcPr>
          <w:p>
            <w:pPr>
              <w:spacing w:after="0"/>
              <w:rPr>
                <w:sz w:val="18"/>
                <w:szCs w:val="18"/>
                <w:color w:val="auto"/>
              </w:rPr>
            </w:pPr>
          </w:p>
        </w:tc>
        <w:tc>
          <w:tcPr>
            <w:tcW w:w="13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14,347</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14,847</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29,046</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29,054</w:t>
            </w:r>
          </w:p>
        </w:tc>
        <w:tc>
          <w:tcPr>
            <w:tcW w:w="0" w:type="dxa"/>
            <w:vAlign w:val="bottom"/>
          </w:tcPr>
          <w:p>
            <w:pPr>
              <w:spacing w:after="0"/>
              <w:rPr>
                <w:sz w:val="1"/>
                <w:szCs w:val="1"/>
                <w:color w:val="auto"/>
              </w:rPr>
            </w:pPr>
          </w:p>
        </w:tc>
      </w:tr>
      <w:tr>
        <w:trPr>
          <w:trHeight w:val="211"/>
        </w:trPr>
        <w:tc>
          <w:tcPr>
            <w:tcW w:w="4740" w:type="dxa"/>
            <w:vAlign w:val="bottom"/>
            <w:tcBorders>
              <w:bottom w:val="single" w:sz="8" w:color="EAEAEA"/>
            </w:tcBorders>
          </w:tcPr>
          <w:p>
            <w:pPr>
              <w:ind w:left="340"/>
              <w:spacing w:after="0"/>
              <w:rPr>
                <w:sz w:val="20"/>
                <w:szCs w:val="20"/>
                <w:color w:val="auto"/>
              </w:rPr>
            </w:pPr>
            <w:r>
              <w:rPr>
                <w:rFonts w:ascii="Arial" w:cs="Arial" w:eastAsia="Arial" w:hAnsi="Arial"/>
                <w:sz w:val="16"/>
                <w:szCs w:val="16"/>
                <w:color w:val="auto"/>
              </w:rPr>
              <w:t>Other services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9,018</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8,402</w:t>
            </w:r>
          </w:p>
        </w:tc>
        <w:tc>
          <w:tcPr>
            <w:tcW w:w="12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17,862</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16,513</w:t>
            </w:r>
          </w:p>
        </w:tc>
        <w:tc>
          <w:tcPr>
            <w:tcW w:w="0" w:type="dxa"/>
            <w:vAlign w:val="bottom"/>
          </w:tcPr>
          <w:p>
            <w:pPr>
              <w:spacing w:after="0"/>
              <w:rPr>
                <w:sz w:val="1"/>
                <w:szCs w:val="1"/>
                <w:color w:val="auto"/>
              </w:rPr>
            </w:pPr>
          </w:p>
        </w:tc>
      </w:tr>
      <w:tr>
        <w:trPr>
          <w:trHeight w:val="206"/>
        </w:trPr>
        <w:tc>
          <w:tcPr>
            <w:tcW w:w="474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cost of revenues</w:t>
            </w:r>
          </w:p>
        </w:tc>
        <w:tc>
          <w:tcPr>
            <w:tcW w:w="120" w:type="dxa"/>
            <w:vAlign w:val="bottom"/>
            <w:tcBorders>
              <w:bottom w:val="single" w:sz="8" w:color="auto"/>
            </w:tcBorders>
            <w:shd w:val="clear" w:color="auto" w:fill="EAEAEA"/>
          </w:tcPr>
          <w:p>
            <w:pPr>
              <w:spacing w:after="0"/>
              <w:rPr>
                <w:sz w:val="17"/>
                <w:szCs w:val="17"/>
                <w:color w:val="auto"/>
              </w:rPr>
            </w:pPr>
          </w:p>
        </w:tc>
        <w:tc>
          <w:tcPr>
            <w:tcW w:w="132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58,870</w:t>
            </w:r>
          </w:p>
        </w:tc>
        <w:tc>
          <w:tcPr>
            <w:tcW w:w="100" w:type="dxa"/>
            <w:vAlign w:val="bottom"/>
            <w:shd w:val="clear" w:color="auto" w:fill="EAEAEA"/>
          </w:tcPr>
          <w:p>
            <w:pPr>
              <w:spacing w:after="0"/>
              <w:rPr>
                <w:sz w:val="17"/>
                <w:szCs w:val="17"/>
                <w:color w:val="auto"/>
              </w:rPr>
            </w:pPr>
          </w:p>
        </w:tc>
        <w:tc>
          <w:tcPr>
            <w:tcW w:w="320" w:type="dxa"/>
            <w:vAlign w:val="bottom"/>
            <w:tcBorders>
              <w:bottom w:val="single" w:sz="8" w:color="auto"/>
            </w:tcBorders>
            <w:shd w:val="clear" w:color="auto" w:fill="EAEAEA"/>
          </w:tcPr>
          <w:p>
            <w:pPr>
              <w:spacing w:after="0"/>
              <w:rPr>
                <w:sz w:val="17"/>
                <w:szCs w:val="17"/>
                <w:color w:val="auto"/>
              </w:rPr>
            </w:pP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55,044</w:t>
            </w:r>
          </w:p>
        </w:tc>
        <w:tc>
          <w:tcPr>
            <w:tcW w:w="120" w:type="dxa"/>
            <w:vAlign w:val="bottom"/>
            <w:shd w:val="clear" w:color="auto" w:fill="EAEAEA"/>
          </w:tcPr>
          <w:p>
            <w:pPr>
              <w:spacing w:after="0"/>
              <w:rPr>
                <w:sz w:val="17"/>
                <w:szCs w:val="17"/>
                <w:color w:val="auto"/>
              </w:rPr>
            </w:pPr>
          </w:p>
        </w:tc>
        <w:tc>
          <w:tcPr>
            <w:tcW w:w="140" w:type="dxa"/>
            <w:vAlign w:val="bottom"/>
            <w:tcBorders>
              <w:bottom w:val="single" w:sz="8" w:color="auto"/>
            </w:tcBorders>
            <w:shd w:val="clear" w:color="auto" w:fill="EAEAEA"/>
          </w:tcPr>
          <w:p>
            <w:pPr>
              <w:spacing w:after="0"/>
              <w:rPr>
                <w:sz w:val="17"/>
                <w:szCs w:val="17"/>
                <w:color w:val="auto"/>
              </w:rPr>
            </w:pP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116,479</w:t>
            </w:r>
          </w:p>
        </w:tc>
        <w:tc>
          <w:tcPr>
            <w:tcW w:w="100" w:type="dxa"/>
            <w:vAlign w:val="bottom"/>
            <w:shd w:val="clear" w:color="auto" w:fill="EAEAEA"/>
          </w:tcPr>
          <w:p>
            <w:pPr>
              <w:spacing w:after="0"/>
              <w:rPr>
                <w:sz w:val="17"/>
                <w:szCs w:val="17"/>
                <w:color w:val="auto"/>
              </w:rPr>
            </w:pPr>
          </w:p>
        </w:tc>
        <w:tc>
          <w:tcPr>
            <w:tcW w:w="320" w:type="dxa"/>
            <w:vAlign w:val="bottom"/>
            <w:tcBorders>
              <w:bottom w:val="single" w:sz="8" w:color="auto"/>
            </w:tcBorders>
            <w:shd w:val="clear" w:color="auto" w:fill="EAEAEA"/>
          </w:tcPr>
          <w:p>
            <w:pPr>
              <w:spacing w:after="0"/>
              <w:rPr>
                <w:sz w:val="17"/>
                <w:szCs w:val="17"/>
                <w:color w:val="auto"/>
              </w:rPr>
            </w:pP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105,821</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253,519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221,144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510,041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452,345</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135,529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275,324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244,719</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EAEAEA"/>
          </w:tcPr>
          <w:p>
            <w:pPr>
              <w:spacing w:after="0"/>
              <w:rPr>
                <w:sz w:val="18"/>
                <w:szCs w:val="18"/>
                <w:color w:val="auto"/>
              </w:rPr>
            </w:pPr>
          </w:p>
        </w:tc>
        <w:tc>
          <w:tcPr>
            <w:tcW w:w="13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42,292</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39,859</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81,834</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79,921</w:t>
            </w:r>
          </w:p>
        </w:tc>
        <w:tc>
          <w:tcPr>
            <w:tcW w:w="0" w:type="dxa"/>
            <w:vAlign w:val="bottom"/>
          </w:tcPr>
          <w:p>
            <w:pPr>
              <w:spacing w:after="0"/>
              <w:rPr>
                <w:sz w:val="1"/>
                <w:szCs w:val="1"/>
                <w:color w:val="auto"/>
              </w:rPr>
            </w:pPr>
          </w:p>
        </w:tc>
      </w:tr>
      <w:tr>
        <w:trPr>
          <w:trHeight w:val="211"/>
        </w:trPr>
        <w:tc>
          <w:tcPr>
            <w:tcW w:w="474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42,211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42,553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88,962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83,823</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EAEAEA"/>
          </w:tcPr>
          <w:p>
            <w:pPr>
              <w:spacing w:after="0"/>
              <w:rPr>
                <w:sz w:val="18"/>
                <w:szCs w:val="18"/>
                <w:color w:val="auto"/>
              </w:rPr>
            </w:pPr>
          </w:p>
        </w:tc>
        <w:tc>
          <w:tcPr>
            <w:tcW w:w="13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2,786</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2,572</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5,105</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r>
        <w:trPr>
          <w:trHeight w:val="211"/>
        </w:trPr>
        <w:tc>
          <w:tcPr>
            <w:tcW w:w="4740" w:type="dxa"/>
            <w:vAlign w:val="bottom"/>
          </w:tcPr>
          <w:p>
            <w:pPr>
              <w:ind w:left="340"/>
              <w:spacing w:after="0"/>
              <w:rPr>
                <w:sz w:val="20"/>
                <w:szCs w:val="20"/>
                <w:color w:val="auto"/>
              </w:rPr>
            </w:pPr>
            <w:r>
              <w:rPr>
                <w:rFonts w:ascii="Arial" w:cs="Arial" w:eastAsia="Arial" w:hAnsi="Arial"/>
                <w:sz w:val="16"/>
                <w:szCs w:val="16"/>
                <w:color w:val="auto"/>
              </w:rPr>
              <w:t>Restructuring</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Change in contingent consideration</w:t>
            </w:r>
          </w:p>
        </w:tc>
        <w:tc>
          <w:tcPr>
            <w:tcW w:w="120" w:type="dxa"/>
            <w:vAlign w:val="bottom"/>
            <w:shd w:val="clear" w:color="auto" w:fill="EAEAEA"/>
          </w:tcPr>
          <w:p>
            <w:pPr>
              <w:spacing w:after="0"/>
              <w:rPr>
                <w:sz w:val="18"/>
                <w:szCs w:val="18"/>
                <w:color w:val="auto"/>
              </w:rPr>
            </w:pPr>
          </w:p>
        </w:tc>
        <w:tc>
          <w:tcPr>
            <w:tcW w:w="142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EAEAEA"/>
          </w:tcPr>
          <w:p>
            <w:pPr>
              <w:spacing w:after="0"/>
              <w:rPr>
                <w:sz w:val="18"/>
                <w:szCs w:val="18"/>
                <w:color w:val="auto"/>
              </w:rPr>
            </w:pPr>
          </w:p>
        </w:tc>
        <w:tc>
          <w:tcPr>
            <w:tcW w:w="122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AEAEA"/>
          </w:tcPr>
          <w:p>
            <w:pPr>
              <w:spacing w:after="0"/>
              <w:rPr>
                <w:sz w:val="18"/>
                <w:szCs w:val="18"/>
                <w:color w:val="auto"/>
              </w:rPr>
            </w:pPr>
          </w:p>
        </w:tc>
        <w:tc>
          <w:tcPr>
            <w:tcW w:w="136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223,142</w:t>
            </w:r>
          </w:p>
        </w:tc>
        <w:tc>
          <w:tcPr>
            <w:tcW w:w="100" w:type="dxa"/>
            <w:vAlign w:val="bottom"/>
            <w:tcBorders>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208,653</w:t>
            </w:r>
          </w:p>
        </w:tc>
        <w:tc>
          <w:tcPr>
            <w:tcW w:w="120" w:type="dxa"/>
            <w:vAlign w:val="bottom"/>
            <w:tcBorders>
              <w:bottom w:val="single" w:sz="8" w:color="EAEAEA"/>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453,945</w:t>
            </w:r>
          </w:p>
        </w:tc>
        <w:tc>
          <w:tcPr>
            <w:tcW w:w="100" w:type="dxa"/>
            <w:vAlign w:val="bottom"/>
            <w:tcBorders>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414,763</w:t>
            </w:r>
          </w:p>
        </w:tc>
        <w:tc>
          <w:tcPr>
            <w:tcW w:w="0" w:type="dxa"/>
            <w:vAlign w:val="bottom"/>
          </w:tcPr>
          <w:p>
            <w:pPr>
              <w:spacing w:after="0"/>
              <w:rPr>
                <w:sz w:val="1"/>
                <w:szCs w:val="1"/>
                <w:color w:val="auto"/>
              </w:rPr>
            </w:pPr>
          </w:p>
        </w:tc>
      </w:tr>
      <w:tr>
        <w:trPr>
          <w:trHeight w:val="206"/>
        </w:trPr>
        <w:tc>
          <w:tcPr>
            <w:tcW w:w="474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Income from operations</w:t>
            </w:r>
          </w:p>
        </w:tc>
        <w:tc>
          <w:tcPr>
            <w:tcW w:w="120" w:type="dxa"/>
            <w:vAlign w:val="bottom"/>
            <w:shd w:val="clear" w:color="auto" w:fill="EAEAEA"/>
          </w:tcPr>
          <w:p>
            <w:pPr>
              <w:spacing w:after="0"/>
              <w:rPr>
                <w:sz w:val="17"/>
                <w:szCs w:val="17"/>
                <w:color w:val="auto"/>
              </w:rPr>
            </w:pPr>
          </w:p>
        </w:tc>
        <w:tc>
          <w:tcPr>
            <w:tcW w:w="13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30,377</w:t>
            </w: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12,491</w:t>
            </w: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56,096</w:t>
            </w: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37,582</w:t>
            </w:r>
          </w:p>
        </w:tc>
        <w:tc>
          <w:tcPr>
            <w:tcW w:w="0" w:type="dxa"/>
            <w:vAlign w:val="bottom"/>
          </w:tcPr>
          <w:p>
            <w:pPr>
              <w:spacing w:after="0"/>
              <w:rPr>
                <w:sz w:val="1"/>
                <w:szCs w:val="1"/>
                <w:color w:val="auto"/>
              </w:rPr>
            </w:pPr>
          </w:p>
        </w:tc>
      </w:tr>
      <w:tr>
        <w:trPr>
          <w:trHeight w:val="211"/>
        </w:trPr>
        <w:tc>
          <w:tcPr>
            <w:tcW w:w="47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8,439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5,096</w:t>
            </w:r>
          </w:p>
        </w:tc>
        <w:tc>
          <w:tcPr>
            <w:tcW w:w="0" w:type="dxa"/>
            <w:vAlign w:val="bottom"/>
          </w:tcPr>
          <w:p>
            <w:pPr>
              <w:spacing w:after="0"/>
              <w:rPr>
                <w:sz w:val="1"/>
                <w:szCs w:val="1"/>
                <w:color w:val="auto"/>
              </w:rPr>
            </w:pPr>
          </w:p>
        </w:tc>
      </w:tr>
      <w:tr>
        <w:trPr>
          <w:trHeight w:val="213"/>
        </w:trPr>
        <w:tc>
          <w:tcPr>
            <w:tcW w:w="474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EAEAEA"/>
          </w:tcPr>
          <w:p>
            <w:pPr>
              <w:spacing w:after="0"/>
              <w:rPr>
                <w:sz w:val="18"/>
                <w:szCs w:val="18"/>
                <w:color w:val="auto"/>
              </w:rPr>
            </w:pPr>
          </w:p>
        </w:tc>
        <w:tc>
          <w:tcPr>
            <w:tcW w:w="13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2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(2,955)</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1"/>
        </w:trPr>
        <w:tc>
          <w:tcPr>
            <w:tcW w:w="474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1,689</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6"/>
        </w:trPr>
        <w:tc>
          <w:tcPr>
            <w:tcW w:w="4740" w:type="dxa"/>
            <w:vAlign w:val="bottom"/>
            <w:shd w:val="clear" w:color="auto" w:fill="EAEAEA"/>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EAEAEA"/>
          </w:tcPr>
          <w:p>
            <w:pPr>
              <w:spacing w:after="0"/>
              <w:rPr>
                <w:sz w:val="17"/>
                <w:szCs w:val="17"/>
                <w:color w:val="auto"/>
              </w:rPr>
            </w:pPr>
          </w:p>
        </w:tc>
        <w:tc>
          <w:tcPr>
            <w:tcW w:w="13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38,754</w:t>
            </w: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15,100</w:t>
            </w: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spacing w:after="0"/>
              <w:rPr>
                <w:sz w:val="17"/>
                <w:szCs w:val="17"/>
                <w:color w:val="auto"/>
              </w:rPr>
            </w:pP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70,956</w:t>
            </w: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41,983</w:t>
            </w:r>
          </w:p>
        </w:tc>
        <w:tc>
          <w:tcPr>
            <w:tcW w:w="0" w:type="dxa"/>
            <w:vAlign w:val="bottom"/>
          </w:tcPr>
          <w:p>
            <w:pPr>
              <w:spacing w:after="0"/>
              <w:rPr>
                <w:sz w:val="1"/>
                <w:szCs w:val="1"/>
                <w:color w:val="auto"/>
              </w:rPr>
            </w:pPr>
          </w:p>
        </w:tc>
      </w:tr>
      <w:tr>
        <w:trPr>
          <w:trHeight w:val="211"/>
        </w:trPr>
        <w:tc>
          <w:tcPr>
            <w:tcW w:w="474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9,643</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20,706</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3,757</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29,111</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14,730</w:t>
            </w: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50,250</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38,226</w:t>
            </w:r>
          </w:p>
        </w:tc>
        <w:tc>
          <w:tcPr>
            <w:tcW w:w="0" w:type="dxa"/>
            <w:vAlign w:val="bottom"/>
          </w:tcPr>
          <w:p>
            <w:pPr>
              <w:spacing w:after="0"/>
              <w:rPr>
                <w:sz w:val="1"/>
                <w:szCs w:val="1"/>
                <w:color w:val="auto"/>
              </w:rPr>
            </w:pPr>
          </w:p>
        </w:tc>
      </w:tr>
      <w:tr>
        <w:trPr>
          <w:trHeight w:val="20"/>
        </w:trPr>
        <w:tc>
          <w:tcPr>
            <w:tcW w:w="4740" w:type="dxa"/>
            <w:vAlign w:val="bottom"/>
            <w:tcBorders>
              <w:top w:val="single" w:sz="8" w:color="EAEAEA"/>
              <w:bottom w:val="single" w:sz="8" w:color="EAEAEA"/>
            </w:tcBorders>
            <w:vMerge w:val="restart"/>
          </w:tcPr>
          <w:p>
            <w:pPr>
              <w:ind w:left="20"/>
              <w:spacing w:after="0"/>
              <w:rPr>
                <w:sz w:val="20"/>
                <w:szCs w:val="20"/>
                <w:color w:val="auto"/>
              </w:rPr>
            </w:pPr>
            <w:r>
              <w:rPr>
                <w:rFonts w:ascii="Arial" w:cs="Arial" w:eastAsia="Arial" w:hAnsi="Arial"/>
                <w:sz w:val="16"/>
                <w:szCs w:val="16"/>
                <w:color w:val="auto"/>
              </w:rPr>
              <w:t>Net income per common share:</w:t>
            </w:r>
          </w:p>
        </w:tc>
        <w:tc>
          <w:tcPr>
            <w:tcW w:w="12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EAEAEA"/>
            </w:tcBorders>
            <w:shd w:val="clear" w:color="auto" w:fill="EAEAEA"/>
          </w:tcPr>
          <w:p>
            <w:pPr>
              <w:ind w:left="34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EAEAEA"/>
            </w:tcBorders>
            <w:shd w:val="clear" w:color="auto" w:fill="EAEAEA"/>
          </w:tcPr>
          <w:p>
            <w:pPr>
              <w:spacing w:after="0"/>
              <w:rPr>
                <w:sz w:val="20"/>
                <w:szCs w:val="20"/>
                <w:color w:val="auto"/>
              </w:rPr>
            </w:pP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4740" w:type="dxa"/>
            <w:vAlign w:val="bottom"/>
            <w:tcBorders>
              <w:top w:val="single" w:sz="8" w:color="EAEAEA"/>
              <w:bottom w:val="single" w:sz="8" w:color="EAEAEA"/>
            </w:tcBorders>
            <w:vMerge w:val="restart"/>
          </w:tcPr>
          <w:p>
            <w:pPr>
              <w:ind w:left="340"/>
              <w:spacing w:after="0"/>
              <w:rPr>
                <w:sz w:val="20"/>
                <w:szCs w:val="20"/>
                <w:color w:val="auto"/>
              </w:rPr>
            </w:pPr>
            <w:r>
              <w:rPr>
                <w:rFonts w:ascii="Arial" w:cs="Arial" w:eastAsia="Arial" w:hAnsi="Arial"/>
                <w:sz w:val="16"/>
                <w:szCs w:val="16"/>
                <w:color w:val="auto"/>
              </w:rPr>
              <w:t>Diluted</w:t>
            </w:r>
          </w:p>
        </w:tc>
        <w:tc>
          <w:tcPr>
            <w:tcW w:w="12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4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40" w:type="dxa"/>
            <w:vAlign w:val="bottom"/>
            <w:shd w:val="clear" w:color="auto" w:fill="EAEAEA"/>
          </w:tcPr>
          <w:p>
            <w:pPr>
              <w:ind w:left="20"/>
              <w:spacing w:after="0" w:line="180" w:lineRule="exact"/>
              <w:rPr>
                <w:sz w:val="20"/>
                <w:szCs w:val="20"/>
                <w:color w:val="auto"/>
              </w:rPr>
            </w:pPr>
            <w:r>
              <w:rPr>
                <w:rFonts w:ascii="Arial" w:cs="Arial" w:eastAsia="Arial" w:hAnsi="Arial"/>
                <w:sz w:val="16"/>
                <w:szCs w:val="16"/>
                <w:color w:val="auto"/>
              </w:rPr>
              <w:t>Weighted average common shares outstanding:</w:t>
            </w:r>
          </w:p>
        </w:tc>
        <w:tc>
          <w:tcPr>
            <w:tcW w:w="120" w:type="dxa"/>
            <w:vAlign w:val="bottom"/>
            <w:shd w:val="clear" w:color="auto" w:fill="EAEAEA"/>
          </w:tcPr>
          <w:p>
            <w:pPr>
              <w:spacing w:after="0"/>
              <w:rPr>
                <w:sz w:val="15"/>
                <w:szCs w:val="15"/>
                <w:color w:val="auto"/>
              </w:rPr>
            </w:pPr>
          </w:p>
        </w:tc>
        <w:tc>
          <w:tcPr>
            <w:tcW w:w="132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320" w:type="dxa"/>
            <w:vAlign w:val="bottom"/>
            <w:shd w:val="clear" w:color="auto" w:fill="EAEAEA"/>
          </w:tcPr>
          <w:p>
            <w:pPr>
              <w:spacing w:after="0"/>
              <w:rPr>
                <w:sz w:val="15"/>
                <w:szCs w:val="15"/>
                <w:color w:val="auto"/>
              </w:rPr>
            </w:pPr>
          </w:p>
        </w:tc>
        <w:tc>
          <w:tcPr>
            <w:tcW w:w="1100" w:type="dxa"/>
            <w:vAlign w:val="bottom"/>
            <w:shd w:val="clear" w:color="auto" w:fill="EAEAEA"/>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140" w:type="dxa"/>
            <w:vAlign w:val="bottom"/>
            <w:shd w:val="clear" w:color="auto" w:fill="EAEAEA"/>
          </w:tcPr>
          <w:p>
            <w:pPr>
              <w:spacing w:after="0"/>
              <w:rPr>
                <w:sz w:val="15"/>
                <w:szCs w:val="15"/>
                <w:color w:val="auto"/>
              </w:rPr>
            </w:pPr>
          </w:p>
        </w:tc>
        <w:tc>
          <w:tcPr>
            <w:tcW w:w="126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320" w:type="dxa"/>
            <w:vAlign w:val="bottom"/>
            <w:shd w:val="clear" w:color="auto" w:fill="EAEAEA"/>
          </w:tcPr>
          <w:p>
            <w:pPr>
              <w:spacing w:after="0"/>
              <w:rPr>
                <w:sz w:val="15"/>
                <w:szCs w:val="15"/>
                <w:color w:val="auto"/>
              </w:rPr>
            </w:pPr>
          </w:p>
        </w:tc>
        <w:tc>
          <w:tcPr>
            <w:tcW w:w="110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740" w:type="dxa"/>
            <w:vAlign w:val="bottom"/>
          </w:tcPr>
          <w:p>
            <w:pPr>
              <w:ind w:left="34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41,261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44,406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41,303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44,366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EAEAEA"/>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AEAEA"/>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tcBorders>
              <w:bottom w:val="single" w:sz="8" w:color="EAEAEA"/>
            </w:tcBorders>
            <w:shd w:val="clear" w:color="auto" w:fill="EAEAEA"/>
          </w:tcPr>
          <w:p>
            <w:pPr>
              <w:ind w:left="34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EAEAEA"/>
          </w:tcPr>
          <w:p>
            <w:pPr>
              <w:spacing w:after="0"/>
              <w:rPr>
                <w:sz w:val="19"/>
                <w:szCs w:val="19"/>
                <w:color w:val="auto"/>
              </w:rPr>
            </w:pPr>
          </w:p>
        </w:tc>
        <w:tc>
          <w:tcPr>
            <w:tcW w:w="132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42,221</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spacing w:after="0"/>
              <w:rPr>
                <w:sz w:val="19"/>
                <w:szCs w:val="19"/>
                <w:color w:val="auto"/>
              </w:rPr>
            </w:pPr>
          </w:p>
        </w:tc>
        <w:tc>
          <w:tcPr>
            <w:tcW w:w="1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45,195</w:t>
            </w: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spacing w:after="0"/>
              <w:rPr>
                <w:sz w:val="19"/>
                <w:szCs w:val="19"/>
                <w:color w:val="auto"/>
              </w:rPr>
            </w:pP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42,057</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spacing w:after="0"/>
              <w:rPr>
                <w:sz w:val="19"/>
                <w:szCs w:val="19"/>
                <w:color w:val="auto"/>
              </w:rPr>
            </w:pP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45,264</w:t>
            </w:r>
          </w:p>
        </w:tc>
        <w:tc>
          <w:tcPr>
            <w:tcW w:w="0" w:type="dxa"/>
            <w:vAlign w:val="bottom"/>
          </w:tcPr>
          <w:p>
            <w:pPr>
              <w:spacing w:after="0"/>
              <w:rPr>
                <w:sz w:val="1"/>
                <w:szCs w:val="1"/>
                <w:color w:val="auto"/>
              </w:rPr>
            </w:pPr>
          </w:p>
        </w:tc>
      </w:tr>
      <w:tr>
        <w:trPr>
          <w:trHeight w:val="20"/>
        </w:trPr>
        <w:tc>
          <w:tcPr>
            <w:tcW w:w="4740" w:type="dxa"/>
            <w:vAlign w:val="bottom"/>
            <w:tcBorders>
              <w:top w:val="single" w:sz="8" w:color="EAEAEA"/>
            </w:tcBorders>
          </w:tcPr>
          <w:p>
            <w:pPr>
              <w:spacing w:after="0" w:line="20" w:lineRule="exact"/>
              <w:rPr>
                <w:sz w:val="1"/>
                <w:szCs w:val="1"/>
                <w:color w:val="auto"/>
              </w:rPr>
            </w:pPr>
          </w:p>
        </w:tc>
        <w:tc>
          <w:tcPr>
            <w:tcW w:w="120" w:type="dxa"/>
            <w:vAlign w:val="bottom"/>
            <w:tcBorders>
              <w:top w:val="single" w:sz="8" w:color="EAEAEA"/>
              <w:bottom w:val="single" w:sz="8" w:color="auto"/>
            </w:tcBorders>
          </w:tcPr>
          <w:p>
            <w:pPr>
              <w:spacing w:after="0" w:line="20" w:lineRule="exact"/>
              <w:rPr>
                <w:sz w:val="1"/>
                <w:szCs w:val="1"/>
                <w:color w:val="auto"/>
              </w:rPr>
            </w:pPr>
          </w:p>
        </w:tc>
        <w:tc>
          <w:tcPr>
            <w:tcW w:w="13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78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Six Months Ended September 30,</w:t>
            </w:r>
          </w:p>
        </w:tc>
      </w:tr>
      <w:tr>
        <w:trPr>
          <w:trHeight w:val="205"/>
        </w:trPr>
        <w:tc>
          <w:tcPr>
            <w:tcW w:w="4760" w:type="dxa"/>
            <w:vAlign w:val="bottom"/>
            <w:tcBorders>
              <w:bottom w:val="single" w:sz="8" w:color="EAEAEA"/>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EAEAEA"/>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r>
      <w:tr>
        <w:trPr>
          <w:trHeight w:val="205"/>
        </w:trPr>
        <w:tc>
          <w:tcPr>
            <w:tcW w:w="4760" w:type="dxa"/>
            <w:vAlign w:val="bottom"/>
            <w:shd w:val="clear" w:color="auto" w:fill="EAEAEA"/>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29,111</w:t>
            </w:r>
          </w:p>
        </w:tc>
        <w:tc>
          <w:tcPr>
            <w:tcW w:w="120" w:type="dxa"/>
            <w:vAlign w:val="bottom"/>
            <w:shd w:val="clear" w:color="auto" w:fill="EAEAEA"/>
          </w:tcPr>
          <w:p>
            <w:pPr>
              <w:spacing w:after="0"/>
              <w:rPr>
                <w:sz w:val="17"/>
                <w:szCs w:val="17"/>
                <w:color w:val="auto"/>
              </w:rPr>
            </w:pPr>
          </w:p>
        </w:tc>
        <w:tc>
          <w:tcPr>
            <w:tcW w:w="320" w:type="dxa"/>
            <w:vAlign w:val="bottom"/>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14,730</w:t>
            </w:r>
          </w:p>
        </w:tc>
        <w:tc>
          <w:tcPr>
            <w:tcW w:w="120" w:type="dxa"/>
            <w:vAlign w:val="bottom"/>
            <w:shd w:val="clear" w:color="auto" w:fill="EAEAEA"/>
          </w:tcPr>
          <w:p>
            <w:pPr>
              <w:spacing w:after="0"/>
              <w:rPr>
                <w:sz w:val="17"/>
                <w:szCs w:val="17"/>
                <w:color w:val="auto"/>
              </w:rPr>
            </w:pPr>
          </w:p>
        </w:tc>
        <w:tc>
          <w:tcPr>
            <w:tcW w:w="14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50,250</w:t>
            </w: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38,226</w:t>
            </w:r>
          </w:p>
        </w:tc>
      </w:tr>
      <w:tr>
        <w:trPr>
          <w:trHeight w:val="211"/>
        </w:trPr>
        <w:tc>
          <w:tcPr>
            <w:tcW w:w="476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4760" w:type="dxa"/>
            <w:vAlign w:val="bottom"/>
            <w:shd w:val="clear" w:color="auto" w:fill="EAEAEA"/>
          </w:tcPr>
          <w:p>
            <w:pPr>
              <w:ind w:left="220"/>
              <w:spacing w:after="0"/>
              <w:rPr>
                <w:sz w:val="20"/>
                <w:szCs w:val="20"/>
                <w:color w:val="auto"/>
              </w:rPr>
            </w:pPr>
            <w:r>
              <w:rPr>
                <w:rFonts w:ascii="Arial" w:cs="Arial" w:eastAsia="Arial" w:hAnsi="Arial"/>
                <w:sz w:val="16"/>
                <w:szCs w:val="16"/>
                <w:color w:val="auto"/>
              </w:rPr>
              <w:t>Foreign currency translation adjustment, net of tax</w:t>
            </w:r>
          </w:p>
        </w:tc>
        <w:tc>
          <w:tcPr>
            <w:tcW w:w="120" w:type="dxa"/>
            <w:vAlign w:val="bottom"/>
            <w:tcBorders>
              <w:bottom w:val="single" w:sz="8" w:color="auto"/>
            </w:tcBorders>
            <w:shd w:val="clear" w:color="auto" w:fill="EAEAEA"/>
          </w:tcPr>
          <w:p>
            <w:pPr>
              <w:spacing w:after="0"/>
              <w:rPr>
                <w:sz w:val="18"/>
                <w:szCs w:val="18"/>
                <w:color w:val="auto"/>
              </w:rPr>
            </w:pP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(1,003)</w:t>
            </w:r>
          </w:p>
        </w:tc>
        <w:tc>
          <w:tcPr>
            <w:tcW w:w="12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EAEAEA"/>
          </w:tcPr>
          <w:p>
            <w:pPr>
              <w:spacing w:after="0"/>
              <w:rPr>
                <w:sz w:val="18"/>
                <w:szCs w:val="18"/>
                <w:color w:val="auto"/>
              </w:rPr>
            </w:pPr>
          </w:p>
        </w:tc>
        <w:tc>
          <w:tcPr>
            <w:tcW w:w="14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(2,747)</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518</w:t>
            </w:r>
          </w:p>
        </w:tc>
      </w:tr>
      <w:tr>
        <w:trPr>
          <w:trHeight w:val="204"/>
        </w:trPr>
        <w:tc>
          <w:tcPr>
            <w:tcW w:w="47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47,503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38,744</w:t>
            </w:r>
          </w:p>
        </w:tc>
      </w:tr>
      <w:tr>
        <w:trPr>
          <w:trHeight w:val="21"/>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860" w:type="dxa"/>
            <w:vAlign w:val="bottom"/>
            <w:gridSpan w:val="4"/>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 – In</w:t>
            </w:r>
          </w:p>
        </w:tc>
        <w:tc>
          <w:tcPr>
            <w:tcW w:w="180" w:type="dxa"/>
            <w:vAlign w:val="bottom"/>
          </w:tcPr>
          <w:p>
            <w:pPr>
              <w:spacing w:after="0"/>
              <w:rPr>
                <w:sz w:val="10"/>
                <w:szCs w:val="10"/>
                <w:color w:val="auto"/>
              </w:rPr>
            </w:pP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4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Comprehensive</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94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June 30, 2026</w:t>
            </w:r>
          </w:p>
        </w:tc>
        <w:tc>
          <w:tcPr>
            <w:tcW w:w="8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41,430</w:t>
            </w:r>
          </w:p>
        </w:tc>
        <w:tc>
          <w:tcPr>
            <w:tcW w:w="120" w:type="dxa"/>
            <w:vAlign w:val="bottom"/>
            <w:tcBorders>
              <w:top w:val="single" w:sz="8" w:color="EAEAEA"/>
            </w:tcBorders>
            <w:shd w:val="clear" w:color="auto" w:fill="EAEAEA"/>
          </w:tcPr>
          <w:p>
            <w:pPr>
              <w:spacing w:after="0"/>
              <w:rPr>
                <w:sz w:val="17"/>
                <w:szCs w:val="17"/>
                <w:color w:val="auto"/>
              </w:rPr>
            </w:pPr>
          </w:p>
        </w:tc>
        <w:tc>
          <w:tcPr>
            <w:tcW w:w="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EAEAEA"/>
          </w:tcPr>
          <w:p>
            <w:pPr>
              <w:jc w:val="right"/>
              <w:ind w:right="2"/>
              <w:spacing w:after="0"/>
              <w:rPr>
                <w:sz w:val="20"/>
                <w:szCs w:val="20"/>
                <w:color w:val="auto"/>
              </w:rPr>
            </w:pPr>
            <w:r>
              <w:rPr>
                <w:rFonts w:ascii="Arial" w:cs="Arial" w:eastAsia="Arial" w:hAnsi="Arial"/>
                <w:sz w:val="16"/>
                <w:szCs w:val="16"/>
                <w:color w:val="auto"/>
              </w:rPr>
              <w:t>414</w:t>
            </w:r>
          </w:p>
        </w:tc>
        <w:tc>
          <w:tcPr>
            <w:tcW w:w="10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1,529,999</w:t>
            </w:r>
          </w:p>
        </w:tc>
        <w:tc>
          <w:tcPr>
            <w:tcW w:w="100" w:type="dxa"/>
            <w:vAlign w:val="bottom"/>
            <w:tcBorders>
              <w:top w:val="single" w:sz="8" w:color="EAEAEA"/>
            </w:tcBorders>
            <w:shd w:val="clear" w:color="auto" w:fill="EAEAEA"/>
          </w:tcPr>
          <w:p>
            <w:pPr>
              <w:spacing w:after="0"/>
              <w:rPr>
                <w:sz w:val="17"/>
                <w:szCs w:val="17"/>
                <w:color w:val="auto"/>
              </w:rPr>
            </w:pPr>
          </w:p>
        </w:tc>
        <w:tc>
          <w:tcPr>
            <w:tcW w:w="1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(1,460,227)</w:t>
            </w:r>
          </w:p>
        </w:tc>
        <w:tc>
          <w:tcPr>
            <w:tcW w:w="10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(18,135)</w:t>
            </w:r>
          </w:p>
        </w:tc>
        <w:tc>
          <w:tcPr>
            <w:tcW w:w="100" w:type="dxa"/>
            <w:vAlign w:val="bottom"/>
            <w:tcBorders>
              <w:top w:val="single" w:sz="8" w:color="EAEAEA"/>
            </w:tcBorders>
            <w:shd w:val="clear" w:color="auto" w:fill="EAEAEA"/>
          </w:tcPr>
          <w:p>
            <w:pPr>
              <w:spacing w:after="0"/>
              <w:rPr>
                <w:sz w:val="17"/>
                <w:szCs w:val="17"/>
                <w:color w:val="auto"/>
              </w:rPr>
            </w:pPr>
          </w:p>
        </w:tc>
        <w:tc>
          <w:tcPr>
            <w:tcW w:w="220" w:type="dxa"/>
            <w:vAlign w:val="bottom"/>
            <w:tcBorders>
              <w:top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52,051</w:t>
            </w:r>
          </w:p>
        </w:tc>
        <w:tc>
          <w:tcPr>
            <w:tcW w:w="0" w:type="dxa"/>
            <w:vAlign w:val="bottom"/>
          </w:tcPr>
          <w:p>
            <w:pPr>
              <w:spacing w:after="0"/>
              <w:rPr>
                <w:sz w:val="1"/>
                <w:szCs w:val="1"/>
                <w:color w:val="auto"/>
              </w:rPr>
            </w:pPr>
          </w:p>
        </w:tc>
      </w:tr>
      <w:tr>
        <w:trPr>
          <w:trHeight w:val="211"/>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35,780</w:t>
            </w:r>
          </w:p>
        </w:tc>
        <w:tc>
          <w:tcPr>
            <w:tcW w:w="0" w:type="dxa"/>
            <w:vAlign w:val="bottom"/>
          </w:tcPr>
          <w:p>
            <w:pPr>
              <w:spacing w:after="0"/>
              <w:rPr>
                <w:sz w:val="1"/>
                <w:szCs w:val="1"/>
                <w:color w:val="auto"/>
              </w:rPr>
            </w:pPr>
          </w:p>
        </w:tc>
      </w:tr>
      <w:tr>
        <w:trPr>
          <w:trHeight w:val="160"/>
        </w:trPr>
        <w:tc>
          <w:tcPr>
            <w:tcW w:w="3940" w:type="dxa"/>
            <w:vAlign w:val="bottom"/>
            <w:shd w:val="clear" w:color="auto" w:fill="EAEAEA"/>
          </w:tcPr>
          <w:p>
            <w:pPr>
              <w:ind w:left="340"/>
              <w:spacing w:after="0" w:line="160" w:lineRule="exact"/>
              <w:rPr>
                <w:sz w:val="20"/>
                <w:szCs w:val="20"/>
                <w:color w:val="auto"/>
              </w:rPr>
            </w:pPr>
            <w:r>
              <w:rPr>
                <w:rFonts w:ascii="Arial" w:cs="Arial" w:eastAsia="Arial" w:hAnsi="Arial"/>
                <w:sz w:val="16"/>
                <w:szCs w:val="16"/>
                <w:color w:val="auto"/>
              </w:rPr>
              <w:t>Share issuance related to stock-based</w:t>
            </w:r>
          </w:p>
        </w:tc>
        <w:tc>
          <w:tcPr>
            <w:tcW w:w="840" w:type="dxa"/>
            <w:vAlign w:val="bottom"/>
            <w:shd w:val="clear" w:color="auto" w:fill="EAEAEA"/>
          </w:tcPr>
          <w:p>
            <w:pPr>
              <w:jc w:val="right"/>
              <w:spacing w:after="0" w:line="160" w:lineRule="exact"/>
              <w:rPr>
                <w:sz w:val="20"/>
                <w:szCs w:val="20"/>
                <w:color w:val="auto"/>
              </w:rPr>
            </w:pPr>
            <w:r>
              <w:rPr>
                <w:rFonts w:ascii="Arial" w:cs="Arial" w:eastAsia="Arial" w:hAnsi="Arial"/>
                <w:sz w:val="16"/>
                <w:szCs w:val="16"/>
                <w:color w:val="auto"/>
              </w:rPr>
              <w:t>270</w:t>
            </w:r>
          </w:p>
        </w:tc>
        <w:tc>
          <w:tcPr>
            <w:tcW w:w="12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760" w:type="dxa"/>
            <w:vAlign w:val="bottom"/>
            <w:shd w:val="clear" w:color="auto" w:fill="EAEAEA"/>
          </w:tcPr>
          <w:p>
            <w:pPr>
              <w:jc w:val="right"/>
              <w:ind w:right="2"/>
              <w:spacing w:after="0" w:line="160" w:lineRule="exact"/>
              <w:rPr>
                <w:sz w:val="20"/>
                <w:szCs w:val="20"/>
                <w:color w:val="auto"/>
              </w:rPr>
            </w:pPr>
            <w:r>
              <w:rPr>
                <w:rFonts w:ascii="Arial" w:cs="Arial" w:eastAsia="Arial" w:hAnsi="Arial"/>
                <w:sz w:val="16"/>
                <w:szCs w:val="16"/>
                <w:color w:val="auto"/>
              </w:rPr>
              <w:t>3</w:t>
            </w:r>
          </w:p>
        </w:tc>
        <w:tc>
          <w:tcPr>
            <w:tcW w:w="10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980" w:type="dxa"/>
            <w:vAlign w:val="bottom"/>
            <w:shd w:val="clear" w:color="auto" w:fill="EAEAEA"/>
          </w:tcPr>
          <w:p>
            <w:pPr>
              <w:jc w:val="right"/>
              <w:spacing w:after="0" w:line="160" w:lineRule="exact"/>
              <w:rPr>
                <w:sz w:val="20"/>
                <w:szCs w:val="20"/>
                <w:color w:val="auto"/>
              </w:rPr>
            </w:pPr>
            <w:r>
              <w:rPr>
                <w:rFonts w:ascii="Arial" w:cs="Arial" w:eastAsia="Arial" w:hAnsi="Arial"/>
                <w:sz w:val="16"/>
                <w:szCs w:val="16"/>
                <w:color w:val="auto"/>
              </w:rPr>
              <w:t>6,584</w:t>
            </w:r>
          </w:p>
        </w:tc>
        <w:tc>
          <w:tcPr>
            <w:tcW w:w="10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12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220" w:type="dxa"/>
            <w:vAlign w:val="bottom"/>
            <w:shd w:val="clear" w:color="auto" w:fill="EAEAEA"/>
          </w:tcPr>
          <w:p>
            <w:pPr>
              <w:spacing w:after="0"/>
              <w:rPr>
                <w:sz w:val="13"/>
                <w:szCs w:val="13"/>
                <w:color w:val="auto"/>
              </w:rPr>
            </w:pPr>
          </w:p>
        </w:tc>
        <w:tc>
          <w:tcPr>
            <w:tcW w:w="800" w:type="dxa"/>
            <w:vAlign w:val="bottom"/>
            <w:shd w:val="clear" w:color="auto" w:fill="EAEAEA"/>
          </w:tcPr>
          <w:p>
            <w:pPr>
              <w:jc w:val="right"/>
              <w:spacing w:after="0" w:line="160" w:lineRule="exact"/>
              <w:rPr>
                <w:sz w:val="20"/>
                <w:szCs w:val="20"/>
                <w:color w:val="auto"/>
              </w:rPr>
            </w:pPr>
            <w:r>
              <w:rPr>
                <w:rFonts w:ascii="Arial" w:cs="Arial" w:eastAsia="Arial" w:hAnsi="Arial"/>
                <w:sz w:val="16"/>
                <w:szCs w:val="16"/>
                <w:color w:val="auto"/>
              </w:rPr>
              <w:t>6,587</w:t>
            </w:r>
          </w:p>
        </w:tc>
        <w:tc>
          <w:tcPr>
            <w:tcW w:w="0" w:type="dxa"/>
            <w:vAlign w:val="bottom"/>
          </w:tcPr>
          <w:p>
            <w:pPr>
              <w:spacing w:after="0"/>
              <w:rPr>
                <w:sz w:val="1"/>
                <w:szCs w:val="1"/>
                <w:color w:val="auto"/>
              </w:rPr>
            </w:pPr>
          </w:p>
        </w:tc>
      </w:tr>
      <w:tr>
        <w:trPr>
          <w:trHeight w:val="212"/>
        </w:trPr>
        <w:tc>
          <w:tcPr>
            <w:tcW w:w="39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2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(109,992)</w:t>
            </w:r>
          </w:p>
        </w:tc>
        <w:tc>
          <w:tcPr>
            <w:tcW w:w="0" w:type="dxa"/>
            <w:vAlign w:val="bottom"/>
          </w:tcPr>
          <w:p>
            <w:pPr>
              <w:spacing w:after="0"/>
              <w:rPr>
                <w:sz w:val="1"/>
                <w:szCs w:val="1"/>
                <w:color w:val="auto"/>
              </w:rPr>
            </w:pPr>
          </w:p>
        </w:tc>
      </w:tr>
      <w:tr>
        <w:trPr>
          <w:trHeight w:val="213"/>
        </w:trPr>
        <w:tc>
          <w:tcPr>
            <w:tcW w:w="39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200" w:type="dxa"/>
            <w:vAlign w:val="bottom"/>
            <w:shd w:val="clear" w:color="auto" w:fill="EAEAEA"/>
          </w:tcPr>
          <w:p>
            <w:pPr>
              <w:jc w:val="right"/>
              <w:ind w:right="4"/>
              <w:spacing w:after="0"/>
              <w:rPr>
                <w:sz w:val="20"/>
                <w:szCs w:val="20"/>
                <w:color w:val="auto"/>
              </w:rPr>
            </w:pPr>
            <w:r>
              <w:rPr>
                <w:rFonts w:ascii="Arial" w:cs="Arial" w:eastAsia="Arial" w:hAnsi="Arial"/>
                <w:sz w:val="16"/>
                <w:szCs w:val="16"/>
                <w:color w:val="auto"/>
              </w:rPr>
              <w:t>29,111</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29,111</w:t>
            </w:r>
          </w:p>
        </w:tc>
        <w:tc>
          <w:tcPr>
            <w:tcW w:w="0" w:type="dxa"/>
            <w:vAlign w:val="bottom"/>
          </w:tcPr>
          <w:p>
            <w:pPr>
              <w:spacing w:after="0"/>
              <w:rPr>
                <w:sz w:val="1"/>
                <w:szCs w:val="1"/>
                <w:color w:val="auto"/>
              </w:rPr>
            </w:pPr>
          </w:p>
        </w:tc>
      </w:tr>
      <w:tr>
        <w:trPr>
          <w:trHeight w:val="211"/>
        </w:trPr>
        <w:tc>
          <w:tcPr>
            <w:tcW w:w="3940" w:type="dxa"/>
            <w:vAlign w:val="bottom"/>
            <w:tcBorders>
              <w:bottom w:val="single" w:sz="8" w:color="EAEAEA"/>
            </w:tcBorders>
          </w:tcPr>
          <w:p>
            <w:pPr>
              <w:ind w:left="34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EA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September 30, 2026</w:t>
            </w: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40,892</w:t>
            </w: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EAEAEA"/>
          </w:tcPr>
          <w:p>
            <w:pPr>
              <w:jc w:val="right"/>
              <w:ind w:right="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1,564,238</w:t>
            </w:r>
          </w:p>
        </w:tc>
        <w:tc>
          <w:tcPr>
            <w:tcW w:w="10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(1,532,975)</w:t>
            </w: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(19,138)</w:t>
            </w:r>
          </w:p>
        </w:tc>
        <w:tc>
          <w:tcPr>
            <w:tcW w:w="10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12,534</w:t>
            </w:r>
          </w:p>
        </w:tc>
        <w:tc>
          <w:tcPr>
            <w:tcW w:w="0" w:type="dxa"/>
            <w:vAlign w:val="bottom"/>
          </w:tcPr>
          <w:p>
            <w:pPr>
              <w:spacing w:after="0"/>
              <w:rPr>
                <w:sz w:val="1"/>
                <w:szCs w:val="1"/>
                <w:color w:val="auto"/>
              </w:rPr>
            </w:pPr>
          </w:p>
        </w:tc>
      </w:tr>
      <w:tr>
        <w:trPr>
          <w:trHeight w:val="20"/>
        </w:trPr>
        <w:tc>
          <w:tcPr>
            <w:tcW w:w="3940" w:type="dxa"/>
            <w:vAlign w:val="bottom"/>
            <w:tcBorders>
              <w:top w:val="single" w:sz="8" w:color="EAEAEA"/>
            </w:tcBorders>
          </w:tcPr>
          <w:p>
            <w:pPr>
              <w:spacing w:after="0" w:line="20" w:lineRule="exact"/>
              <w:rPr>
                <w:sz w:val="1"/>
                <w:szCs w:val="1"/>
                <w:color w:val="auto"/>
              </w:rPr>
            </w:pPr>
          </w:p>
        </w:tc>
        <w:tc>
          <w:tcPr>
            <w:tcW w:w="8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7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9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12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34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80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960" w:type="dxa"/>
            <w:vAlign w:val="bottom"/>
            <w:gridSpan w:val="5"/>
          </w:tcPr>
          <w:p>
            <w:pPr>
              <w:jc w:val="right"/>
              <w:ind w:right="520"/>
              <w:spacing w:after="0" w:line="155"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260"/>
              <w:spacing w:after="0" w:line="133" w:lineRule="exact"/>
              <w:rPr>
                <w:sz w:val="20"/>
                <w:szCs w:val="20"/>
                <w:color w:val="auto"/>
              </w:rPr>
            </w:pPr>
            <w:r>
              <w:rPr>
                <w:rFonts w:ascii="Arial" w:cs="Arial" w:eastAsia="Arial" w:hAnsi="Arial"/>
                <w:sz w:val="14"/>
                <w:szCs w:val="14"/>
                <w:b w:val="1"/>
                <w:bCs w:val="1"/>
                <w:color w:val="auto"/>
              </w:rPr>
              <w:t>Paid – In</w:t>
            </w: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440" w:type="dxa"/>
            <w:vAlign w:val="bottom"/>
            <w:gridSpan w:val="2"/>
            <w:vMerge w:val="restart"/>
          </w:tcPr>
          <w:p>
            <w:pPr>
              <w:jc w:val="center"/>
              <w:ind w:right="260"/>
              <w:spacing w:after="0" w:line="133"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9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94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March 31, 2026</w:t>
            </w:r>
          </w:p>
        </w:tc>
        <w:tc>
          <w:tcPr>
            <w:tcW w:w="8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41,255</w:t>
            </w:r>
          </w:p>
        </w:tc>
        <w:tc>
          <w:tcPr>
            <w:tcW w:w="120" w:type="dxa"/>
            <w:vAlign w:val="bottom"/>
            <w:tcBorders>
              <w:top w:val="single" w:sz="8" w:color="EAEAEA"/>
            </w:tcBorders>
            <w:shd w:val="clear" w:color="auto" w:fill="EAEAEA"/>
          </w:tcPr>
          <w:p>
            <w:pPr>
              <w:spacing w:after="0"/>
              <w:rPr>
                <w:sz w:val="17"/>
                <w:szCs w:val="17"/>
                <w:color w:val="auto"/>
              </w:rPr>
            </w:pPr>
          </w:p>
        </w:tc>
        <w:tc>
          <w:tcPr>
            <w:tcW w:w="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EAEAEA"/>
          </w:tcPr>
          <w:p>
            <w:pPr>
              <w:jc w:val="right"/>
              <w:ind w:right="2"/>
              <w:spacing w:after="0"/>
              <w:rPr>
                <w:sz w:val="20"/>
                <w:szCs w:val="20"/>
                <w:color w:val="auto"/>
              </w:rPr>
            </w:pPr>
            <w:r>
              <w:rPr>
                <w:rFonts w:ascii="Arial" w:cs="Arial" w:eastAsia="Arial" w:hAnsi="Arial"/>
                <w:sz w:val="16"/>
                <w:szCs w:val="16"/>
                <w:color w:val="auto"/>
              </w:rPr>
              <w:t>412</w:t>
            </w:r>
          </w:p>
        </w:tc>
        <w:tc>
          <w:tcPr>
            <w:tcW w:w="10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1,495,597</w:t>
            </w:r>
          </w:p>
        </w:tc>
        <w:tc>
          <w:tcPr>
            <w:tcW w:w="100" w:type="dxa"/>
            <w:vAlign w:val="bottom"/>
            <w:tcBorders>
              <w:top w:val="single" w:sz="8" w:color="EAEAEA"/>
            </w:tcBorders>
            <w:shd w:val="clear" w:color="auto" w:fill="EAEAEA"/>
          </w:tcPr>
          <w:p>
            <w:pPr>
              <w:spacing w:after="0"/>
              <w:rPr>
                <w:sz w:val="17"/>
                <w:szCs w:val="17"/>
                <w:color w:val="auto"/>
              </w:rPr>
            </w:pPr>
          </w:p>
        </w:tc>
        <w:tc>
          <w:tcPr>
            <w:tcW w:w="1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(1,472,124)</w:t>
            </w:r>
          </w:p>
        </w:tc>
        <w:tc>
          <w:tcPr>
            <w:tcW w:w="10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(16,391)</w:t>
            </w:r>
          </w:p>
        </w:tc>
        <w:tc>
          <w:tcPr>
            <w:tcW w:w="100" w:type="dxa"/>
            <w:vAlign w:val="bottom"/>
            <w:tcBorders>
              <w:top w:val="single" w:sz="8" w:color="EAEAEA"/>
            </w:tcBorders>
            <w:shd w:val="clear" w:color="auto" w:fill="EAEAEA"/>
          </w:tcPr>
          <w:p>
            <w:pPr>
              <w:spacing w:after="0"/>
              <w:rPr>
                <w:sz w:val="17"/>
                <w:szCs w:val="17"/>
                <w:color w:val="auto"/>
              </w:rPr>
            </w:pPr>
          </w:p>
        </w:tc>
        <w:tc>
          <w:tcPr>
            <w:tcW w:w="220" w:type="dxa"/>
            <w:vAlign w:val="bottom"/>
            <w:tcBorders>
              <w:top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7,494</w:t>
            </w:r>
          </w:p>
        </w:tc>
        <w:tc>
          <w:tcPr>
            <w:tcW w:w="0" w:type="dxa"/>
            <w:vAlign w:val="bottom"/>
          </w:tcPr>
          <w:p>
            <w:pPr>
              <w:spacing w:after="0"/>
              <w:rPr>
                <w:sz w:val="1"/>
                <w:szCs w:val="1"/>
                <w:color w:val="auto"/>
              </w:rPr>
            </w:pPr>
          </w:p>
        </w:tc>
      </w:tr>
      <w:tr>
        <w:trPr>
          <w:trHeight w:val="211"/>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71,070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71,070</w:t>
            </w:r>
          </w:p>
        </w:tc>
        <w:tc>
          <w:tcPr>
            <w:tcW w:w="0" w:type="dxa"/>
            <w:vAlign w:val="bottom"/>
          </w:tcPr>
          <w:p>
            <w:pPr>
              <w:spacing w:after="0"/>
              <w:rPr>
                <w:sz w:val="1"/>
                <w:szCs w:val="1"/>
                <w:color w:val="auto"/>
              </w:rPr>
            </w:pPr>
          </w:p>
        </w:tc>
      </w:tr>
      <w:tr>
        <w:trPr>
          <w:trHeight w:val="160"/>
        </w:trPr>
        <w:tc>
          <w:tcPr>
            <w:tcW w:w="3940" w:type="dxa"/>
            <w:vAlign w:val="bottom"/>
            <w:shd w:val="clear" w:color="auto" w:fill="EAEAEA"/>
          </w:tcPr>
          <w:p>
            <w:pPr>
              <w:ind w:left="340"/>
              <w:spacing w:after="0" w:line="160" w:lineRule="exact"/>
              <w:rPr>
                <w:sz w:val="20"/>
                <w:szCs w:val="20"/>
                <w:color w:val="auto"/>
              </w:rPr>
            </w:pPr>
            <w:r>
              <w:rPr>
                <w:rFonts w:ascii="Arial" w:cs="Arial" w:eastAsia="Arial" w:hAnsi="Arial"/>
                <w:sz w:val="16"/>
                <w:szCs w:val="16"/>
                <w:color w:val="auto"/>
              </w:rPr>
              <w:t>Share issuance related to stock-based</w:t>
            </w:r>
          </w:p>
        </w:tc>
        <w:tc>
          <w:tcPr>
            <w:tcW w:w="840" w:type="dxa"/>
            <w:vAlign w:val="bottom"/>
            <w:shd w:val="clear" w:color="auto" w:fill="EAEAEA"/>
          </w:tcPr>
          <w:p>
            <w:pPr>
              <w:jc w:val="right"/>
              <w:spacing w:after="0" w:line="160" w:lineRule="exact"/>
              <w:rPr>
                <w:sz w:val="20"/>
                <w:szCs w:val="20"/>
                <w:color w:val="auto"/>
              </w:rPr>
            </w:pPr>
            <w:r>
              <w:rPr>
                <w:rFonts w:ascii="Arial" w:cs="Arial" w:eastAsia="Arial" w:hAnsi="Arial"/>
                <w:sz w:val="16"/>
                <w:szCs w:val="16"/>
                <w:color w:val="auto"/>
              </w:rPr>
              <w:t>543</w:t>
            </w:r>
          </w:p>
        </w:tc>
        <w:tc>
          <w:tcPr>
            <w:tcW w:w="12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760" w:type="dxa"/>
            <w:vAlign w:val="bottom"/>
            <w:shd w:val="clear" w:color="auto" w:fill="EAEAEA"/>
          </w:tcPr>
          <w:p>
            <w:pPr>
              <w:jc w:val="right"/>
              <w:ind w:right="2"/>
              <w:spacing w:after="0" w:line="160" w:lineRule="exact"/>
              <w:rPr>
                <w:sz w:val="20"/>
                <w:szCs w:val="20"/>
                <w:color w:val="auto"/>
              </w:rPr>
            </w:pPr>
            <w:r>
              <w:rPr>
                <w:rFonts w:ascii="Arial" w:cs="Arial" w:eastAsia="Arial" w:hAnsi="Arial"/>
                <w:sz w:val="16"/>
                <w:szCs w:val="16"/>
                <w:color w:val="auto"/>
              </w:rPr>
              <w:t>6</w:t>
            </w:r>
          </w:p>
        </w:tc>
        <w:tc>
          <w:tcPr>
            <w:tcW w:w="10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980" w:type="dxa"/>
            <w:vAlign w:val="bottom"/>
            <w:shd w:val="clear" w:color="auto" w:fill="EAEAEA"/>
          </w:tcPr>
          <w:p>
            <w:pPr>
              <w:jc w:val="right"/>
              <w:spacing w:after="0" w:line="160" w:lineRule="exact"/>
              <w:rPr>
                <w:sz w:val="20"/>
                <w:szCs w:val="20"/>
                <w:color w:val="auto"/>
              </w:rPr>
            </w:pPr>
            <w:r>
              <w:rPr>
                <w:rFonts w:ascii="Arial" w:cs="Arial" w:eastAsia="Arial" w:hAnsi="Arial"/>
                <w:sz w:val="16"/>
                <w:szCs w:val="16"/>
                <w:color w:val="auto"/>
              </w:rPr>
              <w:t>6,584</w:t>
            </w:r>
          </w:p>
        </w:tc>
        <w:tc>
          <w:tcPr>
            <w:tcW w:w="10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120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c>
          <w:tcPr>
            <w:tcW w:w="100" w:type="dxa"/>
            <w:vAlign w:val="bottom"/>
            <w:shd w:val="clear" w:color="auto" w:fill="EAEAEA"/>
          </w:tcPr>
          <w:p>
            <w:pPr>
              <w:spacing w:after="0"/>
              <w:rPr>
                <w:sz w:val="13"/>
                <w:szCs w:val="13"/>
                <w:color w:val="auto"/>
              </w:rPr>
            </w:pPr>
          </w:p>
        </w:tc>
        <w:tc>
          <w:tcPr>
            <w:tcW w:w="220" w:type="dxa"/>
            <w:vAlign w:val="bottom"/>
            <w:shd w:val="clear" w:color="auto" w:fill="EAEAEA"/>
          </w:tcPr>
          <w:p>
            <w:pPr>
              <w:spacing w:after="0"/>
              <w:rPr>
                <w:sz w:val="13"/>
                <w:szCs w:val="13"/>
                <w:color w:val="auto"/>
              </w:rPr>
            </w:pPr>
          </w:p>
        </w:tc>
        <w:tc>
          <w:tcPr>
            <w:tcW w:w="800" w:type="dxa"/>
            <w:vAlign w:val="bottom"/>
            <w:shd w:val="clear" w:color="auto" w:fill="EAEAEA"/>
          </w:tcPr>
          <w:p>
            <w:pPr>
              <w:jc w:val="right"/>
              <w:spacing w:after="0" w:line="160" w:lineRule="exact"/>
              <w:rPr>
                <w:sz w:val="20"/>
                <w:szCs w:val="20"/>
                <w:color w:val="auto"/>
              </w:rPr>
            </w:pPr>
            <w:r>
              <w:rPr>
                <w:rFonts w:ascii="Arial" w:cs="Arial" w:eastAsia="Arial" w:hAnsi="Arial"/>
                <w:sz w:val="16"/>
                <w:szCs w:val="16"/>
                <w:color w:val="auto"/>
              </w:rPr>
              <w:t>6,590</w:t>
            </w:r>
          </w:p>
        </w:tc>
        <w:tc>
          <w:tcPr>
            <w:tcW w:w="0" w:type="dxa"/>
            <w:vAlign w:val="bottom"/>
          </w:tcPr>
          <w:p>
            <w:pPr>
              <w:spacing w:after="0"/>
              <w:rPr>
                <w:sz w:val="1"/>
                <w:szCs w:val="1"/>
                <w:color w:val="auto"/>
              </w:rPr>
            </w:pPr>
          </w:p>
        </w:tc>
      </w:tr>
      <w:tr>
        <w:trPr>
          <w:trHeight w:val="212"/>
        </w:trPr>
        <w:tc>
          <w:tcPr>
            <w:tcW w:w="39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20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(120,123)</w:t>
            </w:r>
          </w:p>
        </w:tc>
        <w:tc>
          <w:tcPr>
            <w:tcW w:w="0" w:type="dxa"/>
            <w:vAlign w:val="bottom"/>
          </w:tcPr>
          <w:p>
            <w:pPr>
              <w:spacing w:after="0"/>
              <w:rPr>
                <w:sz w:val="1"/>
                <w:szCs w:val="1"/>
                <w:color w:val="auto"/>
              </w:rPr>
            </w:pPr>
          </w:p>
        </w:tc>
      </w:tr>
      <w:tr>
        <w:trPr>
          <w:trHeight w:val="213"/>
        </w:trPr>
        <w:tc>
          <w:tcPr>
            <w:tcW w:w="3940" w:type="dxa"/>
            <w:vAlign w:val="bottom"/>
            <w:shd w:val="clear" w:color="auto" w:fill="EAEAEA"/>
          </w:tcPr>
          <w:p>
            <w:pPr>
              <w:ind w:left="34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76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9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180" w:type="dxa"/>
            <w:vAlign w:val="bottom"/>
            <w:shd w:val="clear" w:color="auto" w:fill="EAEAEA"/>
          </w:tcPr>
          <w:p>
            <w:pPr>
              <w:spacing w:after="0"/>
              <w:rPr>
                <w:sz w:val="18"/>
                <w:szCs w:val="18"/>
                <w:color w:val="auto"/>
              </w:rPr>
            </w:pPr>
          </w:p>
        </w:tc>
        <w:tc>
          <w:tcPr>
            <w:tcW w:w="1200" w:type="dxa"/>
            <w:vAlign w:val="bottom"/>
            <w:shd w:val="clear" w:color="auto" w:fill="EAEAEA"/>
          </w:tcPr>
          <w:p>
            <w:pPr>
              <w:jc w:val="right"/>
              <w:ind w:right="4"/>
              <w:spacing w:after="0"/>
              <w:rPr>
                <w:sz w:val="20"/>
                <w:szCs w:val="20"/>
                <w:color w:val="auto"/>
              </w:rPr>
            </w:pPr>
            <w:r>
              <w:rPr>
                <w:rFonts w:ascii="Arial" w:cs="Arial" w:eastAsia="Arial" w:hAnsi="Arial"/>
                <w:sz w:val="16"/>
                <w:szCs w:val="16"/>
                <w:color w:val="auto"/>
              </w:rPr>
              <w:t>50,250</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34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50,250</w:t>
            </w:r>
          </w:p>
        </w:tc>
        <w:tc>
          <w:tcPr>
            <w:tcW w:w="0" w:type="dxa"/>
            <w:vAlign w:val="bottom"/>
          </w:tcPr>
          <w:p>
            <w:pPr>
              <w:spacing w:after="0"/>
              <w:rPr>
                <w:sz w:val="1"/>
                <w:szCs w:val="1"/>
                <w:color w:val="auto"/>
              </w:rPr>
            </w:pPr>
          </w:p>
        </w:tc>
      </w:tr>
      <w:tr>
        <w:trPr>
          <w:trHeight w:val="211"/>
        </w:trPr>
        <w:tc>
          <w:tcPr>
            <w:tcW w:w="3940" w:type="dxa"/>
            <w:vAlign w:val="bottom"/>
            <w:tcBorders>
              <w:bottom w:val="single" w:sz="8" w:color="EAEAEA"/>
            </w:tcBorders>
          </w:tcPr>
          <w:p>
            <w:pPr>
              <w:ind w:left="34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w:t>
            </w:r>
          </w:p>
        </w:tc>
        <w:tc>
          <w:tcPr>
            <w:tcW w:w="100" w:type="dxa"/>
            <w:vAlign w:val="bottom"/>
            <w:tcBorders>
              <w:bottom w:val="single" w:sz="8" w:color="EA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September 30, 2026</w:t>
            </w:r>
          </w:p>
        </w:tc>
        <w:tc>
          <w:tcPr>
            <w:tcW w:w="8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40,892</w:t>
            </w:r>
          </w:p>
        </w:tc>
        <w:tc>
          <w:tcPr>
            <w:tcW w:w="12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EAEAEA"/>
          </w:tcPr>
          <w:p>
            <w:pPr>
              <w:jc w:val="right"/>
              <w:ind w:right="2"/>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1,564,238</w:t>
            </w:r>
          </w:p>
        </w:tc>
        <w:tc>
          <w:tcPr>
            <w:tcW w:w="100" w:type="dxa"/>
            <w:vAlign w:val="bottom"/>
            <w:tcBorders>
              <w:bottom w:val="single" w:sz="8" w:color="EAEAEA"/>
            </w:tcBorders>
            <w:shd w:val="clear" w:color="auto" w:fill="EAEAEA"/>
          </w:tcPr>
          <w:p>
            <w:pPr>
              <w:spacing w:after="0"/>
              <w:rPr>
                <w:sz w:val="19"/>
                <w:szCs w:val="19"/>
                <w:color w:val="auto"/>
              </w:rPr>
            </w:pP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(1,532,975)</w:t>
            </w: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(19,138)</w:t>
            </w:r>
          </w:p>
        </w:tc>
        <w:tc>
          <w:tcPr>
            <w:tcW w:w="10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12,534</w:t>
            </w:r>
          </w:p>
        </w:tc>
        <w:tc>
          <w:tcPr>
            <w:tcW w:w="0" w:type="dxa"/>
            <w:vAlign w:val="bottom"/>
          </w:tcPr>
          <w:p>
            <w:pPr>
              <w:spacing w:after="0"/>
              <w:rPr>
                <w:sz w:val="1"/>
                <w:szCs w:val="1"/>
                <w:color w:val="auto"/>
              </w:rPr>
            </w:pPr>
          </w:p>
        </w:tc>
      </w:tr>
      <w:tr>
        <w:trPr>
          <w:trHeight w:val="20"/>
        </w:trPr>
        <w:tc>
          <w:tcPr>
            <w:tcW w:w="3940" w:type="dxa"/>
            <w:vAlign w:val="bottom"/>
            <w:tcBorders>
              <w:top w:val="single" w:sz="8" w:color="EAEAEA"/>
            </w:tcBorders>
          </w:tcPr>
          <w:p>
            <w:pPr>
              <w:spacing w:after="0" w:line="20" w:lineRule="exact"/>
              <w:rPr>
                <w:sz w:val="1"/>
                <w:szCs w:val="1"/>
                <w:color w:val="auto"/>
              </w:rPr>
            </w:pPr>
          </w:p>
        </w:tc>
        <w:tc>
          <w:tcPr>
            <w:tcW w:w="8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7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9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12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34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80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9"/>
              </w:rPr>
              <w:t>Common Stock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tcBorders>
              <w:bottom w:val="single" w:sz="8" w:color="auto"/>
            </w:tcBorders>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 In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Comprehensive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4020" w:type="dxa"/>
            <w:vAlign w:val="bottom"/>
            <w:tcBorders>
              <w:top w:val="single" w:sz="8" w:color="EAEAEA"/>
            </w:tcBorders>
            <w:gridSpan w:val="2"/>
            <w:shd w:val="clear" w:color="auto" w:fill="EAEAEA"/>
          </w:tcPr>
          <w:p>
            <w:pPr>
              <w:ind w:left="20"/>
              <w:spacing w:after="0"/>
              <w:rPr>
                <w:sz w:val="20"/>
                <w:szCs w:val="20"/>
                <w:color w:val="auto"/>
              </w:rPr>
            </w:pPr>
            <w:r>
              <w:rPr>
                <w:rFonts w:ascii="Arial" w:cs="Arial" w:eastAsia="Arial" w:hAnsi="Arial"/>
                <w:sz w:val="16"/>
                <w:szCs w:val="16"/>
                <w:color w:val="auto"/>
              </w:rPr>
              <w:t>Balance as of June 30, 2025</w:t>
            </w:r>
          </w:p>
        </w:tc>
        <w:tc>
          <w:tcPr>
            <w:tcW w:w="820" w:type="dxa"/>
            <w:vAlign w:val="bottom"/>
            <w:tcBorders>
              <w:top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44,509</w:t>
            </w:r>
          </w:p>
        </w:tc>
        <w:tc>
          <w:tcPr>
            <w:tcW w:w="20" w:type="dxa"/>
            <w:vAlign w:val="bottom"/>
            <w:tcBorders>
              <w:top w:val="single" w:sz="8" w:color="EAEAEA"/>
            </w:tcBorders>
            <w:shd w:val="clear" w:color="auto" w:fill="EAEAEA"/>
          </w:tcPr>
          <w:p>
            <w:pPr>
              <w:spacing w:after="0"/>
              <w:rPr>
                <w:sz w:val="17"/>
                <w:szCs w:val="17"/>
                <w:color w:val="auto"/>
              </w:rPr>
            </w:pPr>
          </w:p>
        </w:tc>
        <w:tc>
          <w:tcPr>
            <w:tcW w:w="80" w:type="dxa"/>
            <w:vAlign w:val="bottom"/>
            <w:tcBorders>
              <w:top w:val="single" w:sz="8" w:color="EAEAEA"/>
            </w:tcBorders>
            <w:shd w:val="clear" w:color="auto" w:fill="EAEAEA"/>
          </w:tcPr>
          <w:p>
            <w:pPr>
              <w:spacing w:after="0"/>
              <w:rPr>
                <w:sz w:val="17"/>
                <w:szCs w:val="17"/>
                <w:color w:val="auto"/>
              </w:rPr>
            </w:pPr>
          </w:p>
        </w:tc>
        <w:tc>
          <w:tcPr>
            <w:tcW w:w="1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445</w:t>
            </w:r>
          </w:p>
        </w:tc>
        <w:tc>
          <w:tcPr>
            <w:tcW w:w="80" w:type="dxa"/>
            <w:vAlign w:val="bottom"/>
            <w:tcBorders>
              <w:top w:val="single" w:sz="8" w:color="auto"/>
            </w:tcBorders>
            <w:shd w:val="clear" w:color="auto" w:fill="EAEAEA"/>
          </w:tcPr>
          <w:p>
            <w:pPr>
              <w:spacing w:after="0"/>
              <w:rPr>
                <w:sz w:val="17"/>
                <w:szCs w:val="17"/>
                <w:color w:val="auto"/>
              </w:rPr>
            </w:pPr>
          </w:p>
        </w:tc>
        <w:tc>
          <w:tcPr>
            <w:tcW w:w="40" w:type="dxa"/>
            <w:vAlign w:val="bottom"/>
            <w:tcBorders>
              <w:top w:val="single" w:sz="8" w:color="EAEAEA"/>
            </w:tcBorders>
            <w:shd w:val="clear" w:color="auto" w:fill="EAEAEA"/>
          </w:tcPr>
          <w:p>
            <w:pPr>
              <w:spacing w:after="0"/>
              <w:rPr>
                <w:sz w:val="17"/>
                <w:szCs w:val="17"/>
                <w:color w:val="auto"/>
              </w:rPr>
            </w:pPr>
          </w:p>
        </w:tc>
        <w:tc>
          <w:tcPr>
            <w:tcW w:w="60" w:type="dxa"/>
            <w:vAlign w:val="bottom"/>
            <w:tcBorders>
              <w:top w:val="single" w:sz="8" w:color="EAEAEA"/>
            </w:tcBorders>
            <w:shd w:val="clear" w:color="auto" w:fill="EAEAEA"/>
          </w:tcPr>
          <w:p>
            <w:pPr>
              <w:spacing w:after="0"/>
              <w:rPr>
                <w:sz w:val="17"/>
                <w:szCs w:val="17"/>
                <w:color w:val="auto"/>
              </w:rPr>
            </w:pPr>
          </w:p>
        </w:tc>
        <w:tc>
          <w:tcPr>
            <w:tcW w:w="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1,503,817</w:t>
            </w:r>
          </w:p>
        </w:tc>
        <w:tc>
          <w:tcPr>
            <w:tcW w:w="40" w:type="dxa"/>
            <w:vAlign w:val="bottom"/>
            <w:tcBorders>
              <w:top w:val="single" w:sz="8" w:color="auto"/>
            </w:tcBorders>
            <w:shd w:val="clear" w:color="auto" w:fill="EAEAEA"/>
          </w:tcPr>
          <w:p>
            <w:pPr>
              <w:spacing w:after="0"/>
              <w:rPr>
                <w:sz w:val="17"/>
                <w:szCs w:val="17"/>
                <w:color w:val="auto"/>
              </w:rPr>
            </w:pPr>
          </w:p>
        </w:tc>
        <w:tc>
          <w:tcPr>
            <w:tcW w:w="60" w:type="dxa"/>
            <w:vAlign w:val="bottom"/>
            <w:tcBorders>
              <w:top w:val="single" w:sz="8" w:color="EAEAEA"/>
            </w:tcBorders>
            <w:shd w:val="clear" w:color="auto" w:fill="EAEAEA"/>
          </w:tcPr>
          <w:p>
            <w:pPr>
              <w:spacing w:after="0"/>
              <w:rPr>
                <w:sz w:val="17"/>
                <w:szCs w:val="17"/>
                <w:color w:val="auto"/>
              </w:rPr>
            </w:pPr>
          </w:p>
        </w:tc>
        <w:tc>
          <w:tcPr>
            <w:tcW w:w="6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(1,124,876)</w:t>
            </w:r>
          </w:p>
        </w:tc>
        <w:tc>
          <w:tcPr>
            <w:tcW w:w="40" w:type="dxa"/>
            <w:vAlign w:val="bottom"/>
            <w:tcBorders>
              <w:top w:val="single" w:sz="8" w:color="auto"/>
            </w:tcBorders>
            <w:shd w:val="clear" w:color="auto" w:fill="EAEAEA"/>
          </w:tcPr>
          <w:p>
            <w:pPr>
              <w:spacing w:after="0"/>
              <w:rPr>
                <w:sz w:val="17"/>
                <w:szCs w:val="17"/>
                <w:color w:val="auto"/>
              </w:rPr>
            </w:pPr>
          </w:p>
        </w:tc>
        <w:tc>
          <w:tcPr>
            <w:tcW w:w="80" w:type="dxa"/>
            <w:vAlign w:val="bottom"/>
            <w:tcBorders>
              <w:top w:val="single" w:sz="8" w:color="EAEAEA"/>
            </w:tcBorders>
            <w:shd w:val="clear" w:color="auto" w:fill="EAEAEA"/>
          </w:tcPr>
          <w:p>
            <w:pPr>
              <w:spacing w:after="0"/>
              <w:rPr>
                <w:sz w:val="17"/>
                <w:szCs w:val="17"/>
                <w:color w:val="auto"/>
              </w:rPr>
            </w:pPr>
          </w:p>
        </w:tc>
        <w:tc>
          <w:tcPr>
            <w:tcW w:w="20" w:type="dxa"/>
            <w:vAlign w:val="bottom"/>
            <w:tcBorders>
              <w:top w:val="single" w:sz="8" w:color="EAEAEA"/>
            </w:tcBorders>
            <w:shd w:val="clear" w:color="auto" w:fill="EAEAEA"/>
          </w:tcPr>
          <w:p>
            <w:pPr>
              <w:spacing w:after="0"/>
              <w:rPr>
                <w:sz w:val="17"/>
                <w:szCs w:val="17"/>
                <w:color w:val="auto"/>
              </w:rPr>
            </w:pPr>
          </w:p>
        </w:tc>
        <w:tc>
          <w:tcPr>
            <w:tcW w:w="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(14,647)</w:t>
            </w:r>
          </w:p>
        </w:tc>
        <w:tc>
          <w:tcPr>
            <w:tcW w:w="100" w:type="dxa"/>
            <w:vAlign w:val="bottom"/>
            <w:tcBorders>
              <w:top w:val="single" w:sz="8" w:color="EAEAEA"/>
            </w:tcBorders>
            <w:shd w:val="clear" w:color="auto" w:fill="EAEAEA"/>
          </w:tcPr>
          <w:p>
            <w:pPr>
              <w:spacing w:after="0"/>
              <w:rPr>
                <w:sz w:val="17"/>
                <w:szCs w:val="17"/>
                <w:color w:val="auto"/>
              </w:rPr>
            </w:pPr>
          </w:p>
        </w:tc>
        <w:tc>
          <w:tcPr>
            <w:tcW w:w="20" w:type="dxa"/>
            <w:vAlign w:val="bottom"/>
            <w:tcBorders>
              <w:top w:val="single" w:sz="8" w:color="EAEAEA"/>
            </w:tcBorders>
            <w:shd w:val="clear" w:color="auto" w:fill="EAEAEA"/>
          </w:tcPr>
          <w:p>
            <w:pPr>
              <w:spacing w:after="0"/>
              <w:rPr>
                <w:sz w:val="17"/>
                <w:szCs w:val="17"/>
                <w:color w:val="auto"/>
              </w:rPr>
            </w:pPr>
          </w:p>
        </w:tc>
        <w:tc>
          <w:tcPr>
            <w:tcW w:w="200" w:type="dxa"/>
            <w:vAlign w:val="bottom"/>
            <w:tcBorders>
              <w:top w:val="single" w:sz="8" w:color="auto"/>
            </w:tcBorders>
            <w:shd w:val="clear" w:color="auto" w:fill="EAEAEA"/>
          </w:tcPr>
          <w:p>
            <w:pPr>
              <w:jc w:val="right"/>
              <w:ind w:right="23"/>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364,739</w:t>
            </w:r>
          </w:p>
        </w:tc>
        <w:tc>
          <w:tcPr>
            <w:tcW w:w="0" w:type="dxa"/>
            <w:vAlign w:val="bottom"/>
          </w:tcPr>
          <w:p>
            <w:pPr>
              <w:spacing w:after="0"/>
              <w:rPr>
                <w:sz w:val="1"/>
                <w:szCs w:val="1"/>
                <w:color w:val="auto"/>
              </w:rPr>
            </w:pPr>
          </w:p>
        </w:tc>
      </w:tr>
      <w:tr>
        <w:trPr>
          <w:trHeight w:val="211"/>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Stock-based compensation</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32,224</w:t>
            </w:r>
          </w:p>
        </w:tc>
        <w:tc>
          <w:tcPr>
            <w:tcW w:w="0" w:type="dxa"/>
            <w:vAlign w:val="bottom"/>
          </w:tcPr>
          <w:p>
            <w:pPr>
              <w:spacing w:after="0"/>
              <w:rPr>
                <w:sz w:val="1"/>
                <w:szCs w:val="1"/>
                <w:color w:val="auto"/>
              </w:rPr>
            </w:pPr>
          </w:p>
        </w:tc>
      </w:tr>
      <w:tr>
        <w:trPr>
          <w:trHeight w:val="213"/>
        </w:trPr>
        <w:tc>
          <w:tcPr>
            <w:tcW w:w="4020" w:type="dxa"/>
            <w:vAlign w:val="bottom"/>
            <w:gridSpan w:val="2"/>
            <w:shd w:val="clear" w:color="auto" w:fill="EAEAEA"/>
          </w:tcPr>
          <w:p>
            <w:pPr>
              <w:ind w:left="340"/>
              <w:spacing w:after="0"/>
              <w:rPr>
                <w:sz w:val="20"/>
                <w:szCs w:val="20"/>
                <w:color w:val="auto"/>
              </w:rPr>
            </w:pPr>
            <w:r>
              <w:rPr>
                <w:rFonts w:ascii="Arial" w:cs="Arial" w:eastAsia="Arial" w:hAnsi="Arial"/>
                <w:sz w:val="16"/>
                <w:szCs w:val="16"/>
                <w:color w:val="auto"/>
              </w:rPr>
              <w:t>Purchase of capped calls, net of tax</w:t>
            </w:r>
          </w:p>
        </w:tc>
        <w:tc>
          <w:tcPr>
            <w:tcW w:w="7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20"/>
              <w:spacing w:after="0"/>
              <w:rPr>
                <w:sz w:val="20"/>
                <w:szCs w:val="20"/>
                <w:color w:val="auto"/>
              </w:rPr>
            </w:pPr>
            <w:r>
              <w:rPr>
                <w:rFonts w:ascii="Arial" w:cs="Arial" w:eastAsia="Arial" w:hAnsi="Arial"/>
                <w:sz w:val="16"/>
                <w:szCs w:val="16"/>
                <w:color w:val="auto"/>
              </w:rPr>
              <w:t>(76,087)</w:t>
            </w:r>
          </w:p>
        </w:tc>
        <w:tc>
          <w:tcPr>
            <w:tcW w:w="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(76,087)</w:t>
            </w:r>
          </w:p>
        </w:tc>
        <w:tc>
          <w:tcPr>
            <w:tcW w:w="0" w:type="dxa"/>
            <w:vAlign w:val="bottom"/>
          </w:tcPr>
          <w:p>
            <w:pPr>
              <w:spacing w:after="0"/>
              <w:rPr>
                <w:sz w:val="1"/>
                <w:szCs w:val="1"/>
                <w:color w:val="auto"/>
              </w:rPr>
            </w:pPr>
          </w:p>
        </w:tc>
      </w:tr>
      <w:tr>
        <w:trPr>
          <w:trHeight w:val="159"/>
        </w:trPr>
        <w:tc>
          <w:tcPr>
            <w:tcW w:w="4020" w:type="dxa"/>
            <w:vAlign w:val="bottom"/>
            <w:gridSpan w:val="2"/>
          </w:tcPr>
          <w:p>
            <w:pPr>
              <w:ind w:left="340"/>
              <w:spacing w:after="0" w:line="159" w:lineRule="exact"/>
              <w:rPr>
                <w:sz w:val="20"/>
                <w:szCs w:val="20"/>
                <w:color w:val="auto"/>
              </w:rPr>
            </w:pPr>
            <w:r>
              <w:rPr>
                <w:rFonts w:ascii="Arial" w:cs="Arial" w:eastAsia="Arial" w:hAnsi="Arial"/>
                <w:sz w:val="16"/>
                <w:szCs w:val="16"/>
                <w:color w:val="auto"/>
              </w:rPr>
              <w:t>Share issuance related to stock-based</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6"/>
                <w:szCs w:val="16"/>
                <w:color w:val="auto"/>
              </w:rPr>
              <w:t>279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6"/>
                <w:szCs w:val="16"/>
                <w:color w:val="auto"/>
              </w:rPr>
              <w:t>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6"/>
                <w:szCs w:val="16"/>
                <w:color w:val="auto"/>
              </w:rPr>
              <w:t>6,974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1"/>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compensation</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shd w:val="clear" w:color="auto" w:fill="EAEAEA"/>
          </w:tcPr>
          <w:p>
            <w:pPr>
              <w:ind w:left="340"/>
              <w:spacing w:after="0"/>
              <w:rPr>
                <w:sz w:val="20"/>
                <w:szCs w:val="20"/>
                <w:color w:val="auto"/>
              </w:rPr>
            </w:pPr>
            <w:r>
              <w:rPr>
                <w:rFonts w:ascii="Arial" w:cs="Arial" w:eastAsia="Arial" w:hAnsi="Arial"/>
                <w:sz w:val="16"/>
                <w:szCs w:val="16"/>
                <w:color w:val="auto"/>
              </w:rPr>
              <w:t>Repurchase of common stock</w:t>
            </w:r>
          </w:p>
        </w:tc>
        <w:tc>
          <w:tcPr>
            <w:tcW w:w="820" w:type="dxa"/>
            <w:vAlign w:val="bottom"/>
            <w:gridSpan w:val="2"/>
            <w:shd w:val="clear" w:color="auto" w:fill="EAEAEA"/>
          </w:tcPr>
          <w:p>
            <w:pPr>
              <w:jc w:val="right"/>
              <w:ind w:right="20"/>
              <w:spacing w:after="0"/>
              <w:rPr>
                <w:sz w:val="20"/>
                <w:szCs w:val="20"/>
                <w:color w:val="auto"/>
              </w:rPr>
            </w:pPr>
            <w:r>
              <w:rPr>
                <w:rFonts w:ascii="Arial" w:cs="Arial" w:eastAsia="Arial" w:hAnsi="Arial"/>
                <w:sz w:val="16"/>
                <w:szCs w:val="16"/>
                <w:color w:val="auto"/>
              </w:rPr>
              <w:t>(737)</w:t>
            </w: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780" w:type="dxa"/>
            <w:vAlign w:val="bottom"/>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(7)</w:t>
            </w: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20"/>
              <w:spacing w:after="0"/>
              <w:rPr>
                <w:sz w:val="20"/>
                <w:szCs w:val="20"/>
                <w:color w:val="auto"/>
              </w:rPr>
            </w:pPr>
            <w:r>
              <w:rPr>
                <w:rFonts w:ascii="Arial" w:cs="Arial" w:eastAsia="Arial" w:hAnsi="Arial"/>
                <w:sz w:val="16"/>
                <w:szCs w:val="16"/>
                <w:color w:val="auto"/>
              </w:rPr>
              <w:t>(7,199)</w:t>
            </w:r>
          </w:p>
        </w:tc>
        <w:tc>
          <w:tcPr>
            <w:tcW w:w="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20" w:type="dxa"/>
            <w:vAlign w:val="bottom"/>
            <w:gridSpan w:val="2"/>
            <w:shd w:val="clear" w:color="auto" w:fill="EAEAEA"/>
          </w:tcPr>
          <w:p>
            <w:pPr>
              <w:jc w:val="right"/>
              <w:ind w:right="40"/>
              <w:spacing w:after="0"/>
              <w:rPr>
                <w:sz w:val="20"/>
                <w:szCs w:val="20"/>
                <w:color w:val="auto"/>
              </w:rPr>
            </w:pPr>
            <w:r>
              <w:rPr>
                <w:rFonts w:ascii="Arial" w:cs="Arial" w:eastAsia="Arial" w:hAnsi="Arial"/>
                <w:sz w:val="16"/>
                <w:szCs w:val="16"/>
                <w:color w:val="auto"/>
              </w:rPr>
              <w:t>(124,448)</w:t>
            </w: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(131,654)</w:t>
            </w:r>
          </w:p>
        </w:tc>
        <w:tc>
          <w:tcPr>
            <w:tcW w:w="0" w:type="dxa"/>
            <w:vAlign w:val="bottom"/>
          </w:tcPr>
          <w:p>
            <w:pPr>
              <w:spacing w:after="0"/>
              <w:rPr>
                <w:sz w:val="1"/>
                <w:szCs w:val="1"/>
                <w:color w:val="auto"/>
              </w:rPr>
            </w:pPr>
          </w:p>
        </w:tc>
      </w:tr>
      <w:tr>
        <w:trPr>
          <w:trHeight w:val="211"/>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14,730</w:t>
            </w:r>
          </w:p>
        </w:tc>
        <w:tc>
          <w:tcPr>
            <w:tcW w:w="0" w:type="dxa"/>
            <w:vAlign w:val="bottom"/>
          </w:tcPr>
          <w:p>
            <w:pPr>
              <w:spacing w:after="0"/>
              <w:rPr>
                <w:sz w:val="1"/>
                <w:szCs w:val="1"/>
                <w:color w:val="auto"/>
              </w:rPr>
            </w:pPr>
          </w:p>
        </w:tc>
      </w:tr>
      <w:tr>
        <w:trPr>
          <w:trHeight w:val="213"/>
        </w:trPr>
        <w:tc>
          <w:tcPr>
            <w:tcW w:w="4020" w:type="dxa"/>
            <w:vAlign w:val="bottom"/>
            <w:gridSpan w:val="2"/>
            <w:shd w:val="clear" w:color="auto" w:fill="EAEAEA"/>
          </w:tcPr>
          <w:p>
            <w:pPr>
              <w:ind w:left="340"/>
              <w:spacing w:after="0"/>
              <w:rPr>
                <w:sz w:val="20"/>
                <w:szCs w:val="20"/>
                <w:color w:val="auto"/>
              </w:rPr>
            </w:pPr>
            <w:r>
              <w:rPr>
                <w:rFonts w:ascii="Arial" w:cs="Arial" w:eastAsia="Arial" w:hAnsi="Arial"/>
                <w:sz w:val="16"/>
                <w:szCs w:val="16"/>
                <w:color w:val="auto"/>
              </w:rPr>
              <w:t>Other comprehensive loss</w:t>
            </w:r>
          </w:p>
        </w:tc>
        <w:tc>
          <w:tcPr>
            <w:tcW w:w="740" w:type="dxa"/>
            <w:vAlign w:val="bottom"/>
            <w:tcBorders>
              <w:bottom w:val="single" w:sz="8" w:color="auto"/>
            </w:tcBorders>
            <w:shd w:val="clear" w:color="auto" w:fill="EAEAEA"/>
          </w:tcPr>
          <w:p>
            <w:pPr>
              <w:spacing w:after="0"/>
              <w:rPr>
                <w:sz w:val="18"/>
                <w:szCs w:val="18"/>
                <w:color w:val="auto"/>
              </w:rPr>
            </w:pPr>
          </w:p>
        </w:tc>
        <w:tc>
          <w:tcPr>
            <w:tcW w:w="80" w:type="dxa"/>
            <w:vAlign w:val="bottom"/>
            <w:tcBorders>
              <w:bottom w:val="single" w:sz="8" w:color="auto"/>
            </w:tcBorders>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20" w:type="dxa"/>
            <w:vAlign w:val="bottom"/>
            <w:tcBorders>
              <w:bottom w:val="single" w:sz="8" w:color="auto"/>
            </w:tcBorders>
            <w:shd w:val="clear" w:color="auto" w:fill="EAEAEA"/>
          </w:tcPr>
          <w:p>
            <w:pPr>
              <w:spacing w:after="0"/>
              <w:rPr>
                <w:sz w:val="18"/>
                <w:szCs w:val="18"/>
                <w:color w:val="auto"/>
              </w:rPr>
            </w:pPr>
          </w:p>
        </w:tc>
        <w:tc>
          <w:tcPr>
            <w:tcW w:w="700" w:type="dxa"/>
            <w:vAlign w:val="bottom"/>
            <w:tcBorders>
              <w:bottom w:val="single" w:sz="8" w:color="auto"/>
            </w:tcBorders>
            <w:shd w:val="clear" w:color="auto" w:fill="EAEAEA"/>
          </w:tcPr>
          <w:p>
            <w:pPr>
              <w:spacing w:after="0"/>
              <w:rPr>
                <w:sz w:val="18"/>
                <w:szCs w:val="18"/>
                <w:color w:val="auto"/>
              </w:rPr>
            </w:pPr>
          </w:p>
        </w:tc>
        <w:tc>
          <w:tcPr>
            <w:tcW w:w="80" w:type="dxa"/>
            <w:vAlign w:val="bottom"/>
            <w:tcBorders>
              <w:bottom w:val="single" w:sz="8" w:color="auto"/>
            </w:tcBorders>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tcBorders>
              <w:bottom w:val="single" w:sz="8" w:color="auto"/>
            </w:tcBorders>
            <w:shd w:val="clear" w:color="auto" w:fill="EAEAEA"/>
          </w:tcPr>
          <w:p>
            <w:pPr>
              <w:spacing w:after="0"/>
              <w:rPr>
                <w:sz w:val="18"/>
                <w:szCs w:val="18"/>
                <w:color w:val="auto"/>
              </w:rPr>
            </w:pPr>
          </w:p>
        </w:tc>
        <w:tc>
          <w:tcPr>
            <w:tcW w:w="940" w:type="dxa"/>
            <w:vAlign w:val="bottom"/>
            <w:tcBorders>
              <w:bottom w:val="single" w:sz="8" w:color="auto"/>
            </w:tcBorders>
            <w:shd w:val="clear" w:color="auto" w:fill="EAEAEA"/>
          </w:tcPr>
          <w:p>
            <w:pPr>
              <w:spacing w:after="0"/>
              <w:rPr>
                <w:sz w:val="18"/>
                <w:szCs w:val="18"/>
                <w:color w:val="auto"/>
              </w:rPr>
            </w:pPr>
          </w:p>
        </w:tc>
        <w:tc>
          <w:tcPr>
            <w:tcW w:w="40" w:type="dxa"/>
            <w:vAlign w:val="bottom"/>
            <w:tcBorders>
              <w:bottom w:val="single" w:sz="8" w:color="auto"/>
            </w:tcBorders>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tcBorders>
              <w:bottom w:val="single" w:sz="8" w:color="auto"/>
            </w:tcBorders>
            <w:shd w:val="clear" w:color="auto" w:fill="EAEAEA"/>
          </w:tcPr>
          <w:p>
            <w:pPr>
              <w:spacing w:after="0"/>
              <w:rPr>
                <w:sz w:val="18"/>
                <w:szCs w:val="18"/>
                <w:color w:val="auto"/>
              </w:rPr>
            </w:pPr>
          </w:p>
        </w:tc>
        <w:tc>
          <w:tcPr>
            <w:tcW w:w="1180" w:type="dxa"/>
            <w:vAlign w:val="bottom"/>
            <w:tcBorders>
              <w:bottom w:val="single" w:sz="8" w:color="auto"/>
            </w:tcBorders>
            <w:shd w:val="clear" w:color="auto" w:fill="EAEAEA"/>
          </w:tcPr>
          <w:p>
            <w:pPr>
              <w:spacing w:after="0"/>
              <w:rPr>
                <w:sz w:val="18"/>
                <w:szCs w:val="18"/>
                <w:color w:val="auto"/>
              </w:rPr>
            </w:pPr>
          </w:p>
        </w:tc>
        <w:tc>
          <w:tcPr>
            <w:tcW w:w="40" w:type="dxa"/>
            <w:vAlign w:val="bottom"/>
            <w:tcBorders>
              <w:bottom w:val="single" w:sz="8" w:color="auto"/>
            </w:tcBorders>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tcBorders>
              <w:bottom w:val="single" w:sz="8" w:color="auto"/>
            </w:tcBorders>
            <w:shd w:val="clear" w:color="auto" w:fill="EAEAEA"/>
          </w:tcPr>
          <w:p>
            <w:pPr>
              <w:spacing w:after="0"/>
              <w:rPr>
                <w:sz w:val="18"/>
                <w:szCs w:val="18"/>
                <w:color w:val="auto"/>
              </w:rPr>
            </w:pPr>
          </w:p>
        </w:tc>
        <w:tc>
          <w:tcPr>
            <w:tcW w:w="1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0" w:type="dxa"/>
            <w:vAlign w:val="bottom"/>
            <w:tcBorders>
              <w:bottom w:val="single" w:sz="8" w:color="auto"/>
            </w:tcBorders>
            <w:shd w:val="clear" w:color="auto" w:fill="EAEAEA"/>
          </w:tcPr>
          <w:p>
            <w:pPr>
              <w:spacing w:after="0"/>
              <w:rPr>
                <w:sz w:val="18"/>
                <w:szCs w:val="18"/>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4"/>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Balance as of September 30, 2025</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44,051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1,459,729</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(1,234,594)</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210,460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6"/>
            <w:vMerge w:val="restart"/>
          </w:tcPr>
          <w:p>
            <w:pPr>
              <w:jc w:val="right"/>
              <w:ind w:right="302"/>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6"/>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Paid – In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Comprehensive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6"/>
                <w:szCs w:val="16"/>
                <w:color w:val="auto"/>
              </w:rPr>
            </w:pPr>
          </w:p>
        </w:tc>
        <w:tc>
          <w:tcPr>
            <w:tcW w:w="80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94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Balance as of March 31, 2025</w:t>
            </w:r>
          </w:p>
        </w:tc>
        <w:tc>
          <w:tcPr>
            <w:tcW w:w="80" w:type="dxa"/>
            <w:vAlign w:val="bottom"/>
            <w:tcBorders>
              <w:top w:val="single" w:sz="8" w:color="auto"/>
            </w:tcBorders>
            <w:shd w:val="clear" w:color="auto" w:fill="EAEAEA"/>
          </w:tcPr>
          <w:p>
            <w:pPr>
              <w:spacing w:after="0"/>
              <w:rPr>
                <w:sz w:val="17"/>
                <w:szCs w:val="17"/>
                <w:color w:val="auto"/>
              </w:rPr>
            </w:pPr>
          </w:p>
        </w:tc>
        <w:tc>
          <w:tcPr>
            <w:tcW w:w="7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44,104</w:t>
            </w:r>
          </w:p>
        </w:tc>
        <w:tc>
          <w:tcPr>
            <w:tcW w:w="80" w:type="dxa"/>
            <w:vAlign w:val="bottom"/>
            <w:tcBorders>
              <w:top w:val="single" w:sz="8" w:color="EAEAEA"/>
            </w:tcBorders>
            <w:shd w:val="clear" w:color="auto" w:fill="EAEAEA"/>
          </w:tcPr>
          <w:p>
            <w:pPr>
              <w:spacing w:after="0"/>
              <w:rPr>
                <w:sz w:val="17"/>
                <w:szCs w:val="17"/>
                <w:color w:val="auto"/>
              </w:rPr>
            </w:pPr>
          </w:p>
        </w:tc>
        <w:tc>
          <w:tcPr>
            <w:tcW w:w="20" w:type="dxa"/>
            <w:vAlign w:val="bottom"/>
            <w:tcBorders>
              <w:top w:val="single" w:sz="8" w:color="EAEAEA"/>
            </w:tcBorders>
            <w:shd w:val="clear" w:color="auto" w:fill="EAEAEA"/>
          </w:tcPr>
          <w:p>
            <w:pPr>
              <w:spacing w:after="0"/>
              <w:rPr>
                <w:sz w:val="17"/>
                <w:szCs w:val="17"/>
                <w:color w:val="auto"/>
              </w:rPr>
            </w:pPr>
          </w:p>
        </w:tc>
        <w:tc>
          <w:tcPr>
            <w:tcW w:w="200" w:type="dxa"/>
            <w:vAlign w:val="bottom"/>
            <w:tcBorders>
              <w:top w:val="single" w:sz="8" w:color="auto"/>
            </w:tcBorders>
            <w:gridSpan w:val="2"/>
            <w:shd w:val="clear" w:color="auto" w:fill="EAEAEA"/>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441</w:t>
            </w:r>
          </w:p>
        </w:tc>
        <w:tc>
          <w:tcPr>
            <w:tcW w:w="80" w:type="dxa"/>
            <w:vAlign w:val="bottom"/>
            <w:tcBorders>
              <w:top w:val="single" w:sz="8" w:color="EAEAEA"/>
            </w:tcBorders>
            <w:shd w:val="clear" w:color="auto" w:fill="EAEAEA"/>
          </w:tcPr>
          <w:p>
            <w:pPr>
              <w:spacing w:after="0"/>
              <w:rPr>
                <w:sz w:val="17"/>
                <w:szCs w:val="17"/>
                <w:color w:val="auto"/>
              </w:rPr>
            </w:pPr>
          </w:p>
        </w:tc>
        <w:tc>
          <w:tcPr>
            <w:tcW w:w="40" w:type="dxa"/>
            <w:vAlign w:val="bottom"/>
            <w:tcBorders>
              <w:top w:val="single" w:sz="8" w:color="EAEAEA"/>
            </w:tcBorders>
            <w:shd w:val="clear" w:color="auto" w:fill="EAEAEA"/>
          </w:tcPr>
          <w:p>
            <w:pPr>
              <w:spacing w:after="0"/>
              <w:rPr>
                <w:sz w:val="17"/>
                <w:szCs w:val="17"/>
                <w:color w:val="auto"/>
              </w:rPr>
            </w:pPr>
          </w:p>
        </w:tc>
        <w:tc>
          <w:tcPr>
            <w:tcW w:w="200" w:type="dxa"/>
            <w:vAlign w:val="bottom"/>
            <w:tcBorders>
              <w:top w:val="single" w:sz="8" w:color="auto"/>
            </w:tcBorders>
            <w:gridSpan w:val="2"/>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1,474,377</w:t>
            </w:r>
          </w:p>
        </w:tc>
        <w:tc>
          <w:tcPr>
            <w:tcW w:w="40" w:type="dxa"/>
            <w:vAlign w:val="bottom"/>
            <w:tcBorders>
              <w:top w:val="single" w:sz="8" w:color="EAEAEA"/>
            </w:tcBorders>
            <w:shd w:val="clear" w:color="auto" w:fill="EAEAEA"/>
          </w:tcPr>
          <w:p>
            <w:pPr>
              <w:spacing w:after="0"/>
              <w:rPr>
                <w:sz w:val="17"/>
                <w:szCs w:val="17"/>
                <w:color w:val="auto"/>
              </w:rPr>
            </w:pPr>
          </w:p>
        </w:tc>
        <w:tc>
          <w:tcPr>
            <w:tcW w:w="60" w:type="dxa"/>
            <w:vAlign w:val="bottom"/>
            <w:tcBorders>
              <w:top w:val="single" w:sz="8" w:color="EAEAEA"/>
            </w:tcBorders>
            <w:shd w:val="clear" w:color="auto" w:fill="EAEAEA"/>
          </w:tcPr>
          <w:p>
            <w:pPr>
              <w:spacing w:after="0"/>
              <w:rPr>
                <w:sz w:val="17"/>
                <w:szCs w:val="17"/>
                <w:color w:val="auto"/>
              </w:rPr>
            </w:pPr>
          </w:p>
        </w:tc>
        <w:tc>
          <w:tcPr>
            <w:tcW w:w="220" w:type="dxa"/>
            <w:vAlign w:val="bottom"/>
            <w:tcBorders>
              <w:top w:val="single" w:sz="8" w:color="auto"/>
            </w:tcBorders>
            <w:gridSpan w:val="2"/>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(1,134,063)</w:t>
            </w:r>
          </w:p>
        </w:tc>
        <w:tc>
          <w:tcPr>
            <w:tcW w:w="40" w:type="dxa"/>
            <w:vAlign w:val="bottom"/>
            <w:tcBorders>
              <w:top w:val="single" w:sz="8" w:color="EAEAEA"/>
            </w:tcBorders>
            <w:shd w:val="clear" w:color="auto" w:fill="EAEAEA"/>
          </w:tcPr>
          <w:p>
            <w:pPr>
              <w:spacing w:after="0"/>
              <w:rPr>
                <w:sz w:val="17"/>
                <w:szCs w:val="17"/>
                <w:color w:val="auto"/>
              </w:rPr>
            </w:pPr>
          </w:p>
        </w:tc>
        <w:tc>
          <w:tcPr>
            <w:tcW w:w="80" w:type="dxa"/>
            <w:vAlign w:val="bottom"/>
            <w:tcBorders>
              <w:top w:val="single" w:sz="8" w:color="EAEAEA"/>
            </w:tcBorders>
            <w:shd w:val="clear" w:color="auto" w:fill="EAEAEA"/>
          </w:tcPr>
          <w:p>
            <w:pPr>
              <w:spacing w:after="0"/>
              <w:rPr>
                <w:sz w:val="17"/>
                <w:szCs w:val="17"/>
                <w:color w:val="auto"/>
              </w:rPr>
            </w:pPr>
          </w:p>
        </w:tc>
        <w:tc>
          <w:tcPr>
            <w:tcW w:w="160" w:type="dxa"/>
            <w:vAlign w:val="bottom"/>
            <w:tcBorders>
              <w:top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(15,633)</w:t>
            </w:r>
          </w:p>
        </w:tc>
        <w:tc>
          <w:tcPr>
            <w:tcW w:w="100" w:type="dxa"/>
            <w:vAlign w:val="bottom"/>
            <w:tcBorders>
              <w:top w:val="single" w:sz="8" w:color="EAEAEA"/>
            </w:tcBorders>
            <w:shd w:val="clear" w:color="auto" w:fill="EAEAEA"/>
          </w:tcPr>
          <w:p>
            <w:pPr>
              <w:spacing w:after="0"/>
              <w:rPr>
                <w:sz w:val="17"/>
                <w:szCs w:val="17"/>
                <w:color w:val="auto"/>
              </w:rPr>
            </w:pPr>
          </w:p>
        </w:tc>
        <w:tc>
          <w:tcPr>
            <w:tcW w:w="20" w:type="dxa"/>
            <w:vAlign w:val="bottom"/>
            <w:tcBorders>
              <w:top w:val="single" w:sz="8" w:color="auto"/>
            </w:tcBorders>
            <w:shd w:val="clear" w:color="auto" w:fill="EAEAEA"/>
          </w:tcPr>
          <w:p>
            <w:pPr>
              <w:spacing w:after="0"/>
              <w:rPr>
                <w:sz w:val="17"/>
                <w:szCs w:val="17"/>
                <w:color w:val="auto"/>
              </w:rPr>
            </w:pPr>
          </w:p>
        </w:tc>
        <w:tc>
          <w:tcPr>
            <w:tcW w:w="200" w:type="dxa"/>
            <w:vAlign w:val="bottom"/>
            <w:tcBorders>
              <w:top w:val="single" w:sz="8" w:color="auto"/>
            </w:tcBorders>
            <w:shd w:val="clear" w:color="auto" w:fill="EAEAEA"/>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325,122</w:t>
            </w:r>
          </w:p>
        </w:tc>
        <w:tc>
          <w:tcPr>
            <w:tcW w:w="0" w:type="dxa"/>
            <w:vAlign w:val="bottom"/>
          </w:tcPr>
          <w:p>
            <w:pPr>
              <w:spacing w:after="0"/>
              <w:rPr>
                <w:sz w:val="1"/>
                <w:szCs w:val="1"/>
                <w:color w:val="auto"/>
              </w:rPr>
            </w:pPr>
          </w:p>
        </w:tc>
      </w:tr>
      <w:tr>
        <w:trPr>
          <w:trHeight w:val="211"/>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Stock-based compensation</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62,404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62,404</w:t>
            </w:r>
          </w:p>
        </w:tc>
        <w:tc>
          <w:tcPr>
            <w:tcW w:w="0" w:type="dxa"/>
            <w:vAlign w:val="bottom"/>
          </w:tcPr>
          <w:p>
            <w:pPr>
              <w:spacing w:after="0"/>
              <w:rPr>
                <w:sz w:val="1"/>
                <w:szCs w:val="1"/>
                <w:color w:val="auto"/>
              </w:rPr>
            </w:pPr>
          </w:p>
        </w:tc>
      </w:tr>
      <w:tr>
        <w:trPr>
          <w:trHeight w:val="213"/>
        </w:trPr>
        <w:tc>
          <w:tcPr>
            <w:tcW w:w="4020" w:type="dxa"/>
            <w:vAlign w:val="bottom"/>
            <w:gridSpan w:val="2"/>
            <w:shd w:val="clear" w:color="auto" w:fill="EAEAEA"/>
          </w:tcPr>
          <w:p>
            <w:pPr>
              <w:ind w:left="340"/>
              <w:spacing w:after="0"/>
              <w:rPr>
                <w:sz w:val="20"/>
                <w:szCs w:val="20"/>
                <w:color w:val="auto"/>
              </w:rPr>
            </w:pPr>
            <w:r>
              <w:rPr>
                <w:rFonts w:ascii="Arial" w:cs="Arial" w:eastAsia="Arial" w:hAnsi="Arial"/>
                <w:sz w:val="16"/>
                <w:szCs w:val="16"/>
                <w:color w:val="auto"/>
              </w:rPr>
              <w:t>Purchase of capped calls, net of tax</w:t>
            </w:r>
          </w:p>
        </w:tc>
        <w:tc>
          <w:tcPr>
            <w:tcW w:w="7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(76,087)</w:t>
            </w: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(76,087)</w:t>
            </w:r>
          </w:p>
        </w:tc>
        <w:tc>
          <w:tcPr>
            <w:tcW w:w="0" w:type="dxa"/>
            <w:vAlign w:val="bottom"/>
          </w:tcPr>
          <w:p>
            <w:pPr>
              <w:spacing w:after="0"/>
              <w:rPr>
                <w:sz w:val="1"/>
                <w:szCs w:val="1"/>
                <w:color w:val="auto"/>
              </w:rPr>
            </w:pPr>
          </w:p>
        </w:tc>
      </w:tr>
      <w:tr>
        <w:trPr>
          <w:trHeight w:val="159"/>
        </w:trPr>
        <w:tc>
          <w:tcPr>
            <w:tcW w:w="4020" w:type="dxa"/>
            <w:vAlign w:val="bottom"/>
            <w:gridSpan w:val="2"/>
          </w:tcPr>
          <w:p>
            <w:pPr>
              <w:ind w:left="340"/>
              <w:spacing w:after="0" w:line="159" w:lineRule="exact"/>
              <w:rPr>
                <w:sz w:val="20"/>
                <w:szCs w:val="20"/>
                <w:color w:val="auto"/>
              </w:rPr>
            </w:pPr>
            <w:r>
              <w:rPr>
                <w:rFonts w:ascii="Arial" w:cs="Arial" w:eastAsia="Arial" w:hAnsi="Arial"/>
                <w:sz w:val="16"/>
                <w:szCs w:val="16"/>
                <w:color w:val="auto"/>
              </w:rPr>
              <w:t>Share issuance related to stock-based</w:t>
            </w:r>
          </w:p>
        </w:tc>
        <w:tc>
          <w:tcPr>
            <w:tcW w:w="740" w:type="dxa"/>
            <w:vAlign w:val="bottom"/>
          </w:tcPr>
          <w:p>
            <w:pPr>
              <w:jc w:val="right"/>
              <w:spacing w:after="0" w:line="159" w:lineRule="exact"/>
              <w:rPr>
                <w:sz w:val="20"/>
                <w:szCs w:val="20"/>
                <w:color w:val="auto"/>
              </w:rPr>
            </w:pPr>
            <w:r>
              <w:rPr>
                <w:rFonts w:ascii="Arial" w:cs="Arial" w:eastAsia="Arial" w:hAnsi="Arial"/>
                <w:sz w:val="16"/>
                <w:szCs w:val="16"/>
                <w:color w:val="auto"/>
              </w:rPr>
              <w:t>766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6"/>
                <w:szCs w:val="16"/>
                <w:color w:val="auto"/>
              </w:rPr>
              <w:t>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
              <w:spacing w:after="0" w:line="159" w:lineRule="exact"/>
              <w:rPr>
                <w:sz w:val="20"/>
                <w:szCs w:val="20"/>
                <w:color w:val="auto"/>
              </w:rPr>
            </w:pPr>
            <w:r>
              <w:rPr>
                <w:rFonts w:ascii="Arial" w:cs="Arial" w:eastAsia="Arial" w:hAnsi="Arial"/>
                <w:sz w:val="16"/>
                <w:szCs w:val="16"/>
                <w:color w:val="auto"/>
              </w:rPr>
              <w:t>6,974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6"/>
                <w:szCs w:val="16"/>
                <w:color w:val="auto"/>
              </w:rPr>
              <w:t>6,981</w:t>
            </w:r>
          </w:p>
        </w:tc>
        <w:tc>
          <w:tcPr>
            <w:tcW w:w="0" w:type="dxa"/>
            <w:vAlign w:val="bottom"/>
          </w:tcPr>
          <w:p>
            <w:pPr>
              <w:spacing w:after="0"/>
              <w:rPr>
                <w:sz w:val="1"/>
                <w:szCs w:val="1"/>
                <w:color w:val="auto"/>
              </w:rPr>
            </w:pPr>
          </w:p>
        </w:tc>
      </w:tr>
      <w:tr>
        <w:trPr>
          <w:trHeight w:val="211"/>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compensation</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shd w:val="clear" w:color="auto" w:fill="EAEAEA"/>
          </w:tcPr>
          <w:p>
            <w:pPr>
              <w:ind w:left="340"/>
              <w:spacing w:after="0"/>
              <w:rPr>
                <w:sz w:val="20"/>
                <w:szCs w:val="20"/>
                <w:color w:val="auto"/>
              </w:rPr>
            </w:pPr>
            <w:r>
              <w:rPr>
                <w:rFonts w:ascii="Arial" w:cs="Arial" w:eastAsia="Arial" w:hAnsi="Arial"/>
                <w:sz w:val="16"/>
                <w:szCs w:val="16"/>
                <w:color w:val="auto"/>
              </w:rPr>
              <w:t>Repurchase of common stock</w:t>
            </w:r>
          </w:p>
        </w:tc>
        <w:tc>
          <w:tcPr>
            <w:tcW w:w="7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(819)</w:t>
            </w: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(7,939)</w:t>
            </w: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(138,757)</w:t>
            </w:r>
          </w:p>
        </w:tc>
        <w:tc>
          <w:tcPr>
            <w:tcW w:w="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(146,704)</w:t>
            </w:r>
          </w:p>
        </w:tc>
        <w:tc>
          <w:tcPr>
            <w:tcW w:w="0" w:type="dxa"/>
            <w:vAlign w:val="bottom"/>
          </w:tcPr>
          <w:p>
            <w:pPr>
              <w:spacing w:after="0"/>
              <w:rPr>
                <w:sz w:val="1"/>
                <w:szCs w:val="1"/>
                <w:color w:val="auto"/>
              </w:rPr>
            </w:pPr>
          </w:p>
        </w:tc>
      </w:tr>
      <w:tr>
        <w:trPr>
          <w:trHeight w:val="211"/>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38,226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38,226</w:t>
            </w:r>
          </w:p>
        </w:tc>
        <w:tc>
          <w:tcPr>
            <w:tcW w:w="0" w:type="dxa"/>
            <w:vAlign w:val="bottom"/>
          </w:tcPr>
          <w:p>
            <w:pPr>
              <w:spacing w:after="0"/>
              <w:rPr>
                <w:sz w:val="1"/>
                <w:szCs w:val="1"/>
                <w:color w:val="auto"/>
              </w:rPr>
            </w:pPr>
          </w:p>
        </w:tc>
      </w:tr>
      <w:tr>
        <w:trPr>
          <w:trHeight w:val="213"/>
        </w:trPr>
        <w:tc>
          <w:tcPr>
            <w:tcW w:w="4020" w:type="dxa"/>
            <w:vAlign w:val="bottom"/>
            <w:gridSpan w:val="2"/>
            <w:shd w:val="clear" w:color="auto" w:fill="EAEAEA"/>
          </w:tcPr>
          <w:p>
            <w:pPr>
              <w:ind w:left="340"/>
              <w:spacing w:after="0"/>
              <w:rPr>
                <w:sz w:val="20"/>
                <w:szCs w:val="20"/>
                <w:color w:val="auto"/>
              </w:rPr>
            </w:pPr>
            <w:r>
              <w:rPr>
                <w:rFonts w:ascii="Arial" w:cs="Arial" w:eastAsia="Arial" w:hAnsi="Arial"/>
                <w:sz w:val="16"/>
                <w:szCs w:val="16"/>
                <w:color w:val="auto"/>
              </w:rPr>
              <w:t>Other comprehensive income</w:t>
            </w:r>
          </w:p>
        </w:tc>
        <w:tc>
          <w:tcPr>
            <w:tcW w:w="7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120" w:type="dxa"/>
            <w:vAlign w:val="bottom"/>
            <w:shd w:val="clear" w:color="auto" w:fill="EAEAEA"/>
          </w:tcPr>
          <w:p>
            <w:pPr>
              <w:spacing w:after="0"/>
              <w:rPr>
                <w:sz w:val="18"/>
                <w:szCs w:val="18"/>
                <w:color w:val="auto"/>
              </w:rPr>
            </w:pPr>
          </w:p>
        </w:tc>
        <w:tc>
          <w:tcPr>
            <w:tcW w:w="70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94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6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40" w:type="dxa"/>
            <w:vAlign w:val="bottom"/>
            <w:shd w:val="clear" w:color="auto" w:fill="EAEAEA"/>
          </w:tcPr>
          <w:p>
            <w:pPr>
              <w:spacing w:after="0"/>
              <w:rPr>
                <w:sz w:val="18"/>
                <w:szCs w:val="18"/>
                <w:color w:val="auto"/>
              </w:rPr>
            </w:pPr>
          </w:p>
        </w:tc>
        <w:tc>
          <w:tcPr>
            <w:tcW w:w="8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140" w:type="dxa"/>
            <w:vAlign w:val="bottom"/>
            <w:shd w:val="clear" w:color="auto" w:fill="EAEAEA"/>
          </w:tcPr>
          <w:p>
            <w:pPr>
              <w:spacing w:after="0"/>
              <w:rPr>
                <w:sz w:val="18"/>
                <w:szCs w:val="18"/>
                <w:color w:val="auto"/>
              </w:rPr>
            </w:pPr>
          </w:p>
        </w:tc>
        <w:tc>
          <w:tcPr>
            <w:tcW w:w="1320" w:type="dxa"/>
            <w:vAlign w:val="bottom"/>
            <w:shd w:val="clear" w:color="auto" w:fill="EAEAEA"/>
          </w:tcPr>
          <w:p>
            <w:pPr>
              <w:jc w:val="right"/>
              <w:ind w:right="6"/>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EAEAEA"/>
          </w:tcPr>
          <w:p>
            <w:pPr>
              <w:spacing w:after="0"/>
              <w:rPr>
                <w:sz w:val="18"/>
                <w:szCs w:val="18"/>
                <w:color w:val="auto"/>
              </w:rPr>
            </w:pPr>
          </w:p>
        </w:tc>
        <w:tc>
          <w:tcPr>
            <w:tcW w:w="2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8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4"/>
        </w:trPr>
        <w:tc>
          <w:tcPr>
            <w:tcW w:w="3940" w:type="dxa"/>
            <w:vAlign w:val="bottom"/>
          </w:tcPr>
          <w:p>
            <w:pPr>
              <w:ind w:left="20"/>
              <w:spacing w:after="0"/>
              <w:rPr>
                <w:sz w:val="20"/>
                <w:szCs w:val="20"/>
                <w:color w:val="auto"/>
              </w:rPr>
            </w:pPr>
            <w:r>
              <w:rPr>
                <w:rFonts w:ascii="Arial" w:cs="Arial" w:eastAsia="Arial" w:hAnsi="Arial"/>
                <w:sz w:val="16"/>
                <w:szCs w:val="16"/>
                <w:color w:val="auto"/>
              </w:rPr>
              <w:t>Balance as of September 30, 2025</w:t>
            </w: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1,459,729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(1,234,594)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(15,115)</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210,460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p>
      <w:pPr>
        <w:jc w:val="center"/>
        <w:ind w:left="7800"/>
        <w:spacing w:after="0"/>
        <w:rPr>
          <w:sz w:val="20"/>
          <w:szCs w:val="20"/>
          <w:color w:val="auto"/>
        </w:rPr>
      </w:pPr>
      <w:r>
        <w:rPr>
          <w:rFonts w:ascii="Arial" w:cs="Arial" w:eastAsia="Arial" w:hAnsi="Arial"/>
          <w:sz w:val="16"/>
          <w:szCs w:val="16"/>
          <w:b w:val="1"/>
          <w:bCs w:val="1"/>
          <w:color w:val="auto"/>
        </w:rPr>
        <w:t>Six Months Ended September</w:t>
      </w:r>
    </w:p>
    <w:p>
      <w:pPr>
        <w:jc w:val="center"/>
        <w:ind w:left="7800"/>
        <w:spacing w:after="0"/>
        <w:rPr>
          <w:sz w:val="20"/>
          <w:szCs w:val="20"/>
          <w:color w:val="auto"/>
        </w:rPr>
      </w:pPr>
      <w:r>
        <w:rPr>
          <w:rFonts w:ascii="Arial" w:cs="Arial" w:eastAsia="Arial" w:hAnsi="Arial"/>
          <w:sz w:val="16"/>
          <w:szCs w:val="16"/>
          <w:b w:val="1"/>
          <w:bCs w:val="1"/>
          <w:color w:val="auto"/>
        </w:rPr>
        <w:t>30,</w:t>
      </w:r>
    </w:p>
    <w:p>
      <w:pPr>
        <w:spacing w:after="0" w:line="13" w:lineRule="exact"/>
        <w:rPr>
          <w:sz w:val="20"/>
          <w:szCs w:val="20"/>
          <w:color w:val="auto"/>
        </w:rPr>
      </w:pPr>
    </w:p>
    <w:tbl>
      <w:tblPr>
        <w:tblLayout w:type="fixed"/>
        <w:tblInd w:w="540" w:type="dxa"/>
        <w:tblCellMar>
          <w:top w:w="0" w:type="dxa"/>
          <w:left w:w="0" w:type="dxa"/>
          <w:bottom w:w="0" w:type="dxa"/>
          <w:right w:w="0" w:type="dxa"/>
        </w:tblCellMar>
      </w:tblPr>
      <w:tr>
        <w:trPr>
          <w:trHeight w:val="205"/>
        </w:trPr>
        <w:tc>
          <w:tcPr>
            <w:tcW w:w="7820" w:type="dxa"/>
            <w:vAlign w:val="bottom"/>
            <w:tcBorders>
              <w:bottom w:val="single" w:sz="8" w:color="EAEAEA"/>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2025</w:t>
            </w:r>
          </w:p>
        </w:tc>
      </w:tr>
      <w:tr>
        <w:trPr>
          <w:trHeight w:val="192"/>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240" w:type="dxa"/>
            <w:vAlign w:val="bottom"/>
            <w:shd w:val="clear" w:color="auto" w:fill="EAEAEA"/>
          </w:tcPr>
          <w:p>
            <w:pPr>
              <w:spacing w:after="0"/>
              <w:rPr>
                <w:sz w:val="16"/>
                <w:szCs w:val="16"/>
                <w:color w:val="auto"/>
              </w:rPr>
            </w:pPr>
          </w:p>
        </w:tc>
        <w:tc>
          <w:tcPr>
            <w:tcW w:w="900" w:type="dxa"/>
            <w:vAlign w:val="bottom"/>
            <w:shd w:val="clear" w:color="auto" w:fill="EAEAEA"/>
          </w:tcPr>
          <w:p>
            <w:pPr>
              <w:spacing w:after="0"/>
              <w:rPr>
                <w:sz w:val="16"/>
                <w:szCs w:val="16"/>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50,250</w:t>
            </w:r>
          </w:p>
        </w:tc>
        <w:tc>
          <w:tcPr>
            <w:tcW w:w="1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38,226</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r>
      <w:tr>
        <w:trPr>
          <w:trHeight w:val="211"/>
        </w:trPr>
        <w:tc>
          <w:tcPr>
            <w:tcW w:w="78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5,179</w:t>
            </w:r>
          </w:p>
        </w:tc>
      </w:tr>
      <w:tr>
        <w:trPr>
          <w:trHeight w:val="213"/>
        </w:trPr>
        <w:tc>
          <w:tcPr>
            <w:tcW w:w="7820" w:type="dxa"/>
            <w:vAlign w:val="bottom"/>
            <w:shd w:val="clear" w:color="auto" w:fill="EAEAEA"/>
          </w:tcPr>
          <w:p>
            <w:pPr>
              <w:ind w:left="34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2,330</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494</w:t>
            </w:r>
          </w:p>
        </w:tc>
      </w:tr>
      <w:tr>
        <w:trPr>
          <w:trHeight w:val="211"/>
        </w:trPr>
        <w:tc>
          <w:tcPr>
            <w:tcW w:w="7820" w:type="dxa"/>
            <w:vAlign w:val="bottom"/>
          </w:tcPr>
          <w:p>
            <w:pPr>
              <w:ind w:left="340"/>
              <w:spacing w:after="0"/>
              <w:rPr>
                <w:sz w:val="20"/>
                <w:szCs w:val="20"/>
                <w:color w:val="auto"/>
              </w:rPr>
            </w:pPr>
            <w:r>
              <w:rPr>
                <w:rFonts w:ascii="Arial" w:cs="Arial" w:eastAsia="Arial" w:hAnsi="Arial"/>
                <w:sz w:val="16"/>
                <w:szCs w:val="16"/>
                <w:color w:val="auto"/>
              </w:rPr>
              <w:t>Amortization of deferred commissions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22,210</w:t>
            </w:r>
          </w:p>
        </w:tc>
      </w:tr>
      <w:tr>
        <w:trPr>
          <w:trHeight w:val="213"/>
        </w:trPr>
        <w:tc>
          <w:tcPr>
            <w:tcW w:w="7820" w:type="dxa"/>
            <w:vAlign w:val="bottom"/>
            <w:shd w:val="clear" w:color="auto" w:fill="EAEAEA"/>
          </w:tcPr>
          <w:p>
            <w:pPr>
              <w:ind w:left="340"/>
              <w:spacing w:after="0"/>
              <w:rPr>
                <w:sz w:val="20"/>
                <w:szCs w:val="20"/>
                <w:color w:val="auto"/>
              </w:rPr>
            </w:pPr>
            <w:r>
              <w:rPr>
                <w:rFonts w:ascii="Arial" w:cs="Arial" w:eastAsia="Arial" w:hAnsi="Arial"/>
                <w:sz w:val="16"/>
                <w:szCs w:val="16"/>
                <w:color w:val="auto"/>
              </w:rPr>
              <w:t>Noncash stock-based compensation</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71,070</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62,404</w:t>
            </w:r>
          </w:p>
        </w:tc>
      </w:tr>
      <w:tr>
        <w:trPr>
          <w:trHeight w:val="211"/>
        </w:trPr>
        <w:tc>
          <w:tcPr>
            <w:tcW w:w="7820" w:type="dxa"/>
            <w:vAlign w:val="bottom"/>
          </w:tcPr>
          <w:p>
            <w:pPr>
              <w:ind w:left="340"/>
              <w:spacing w:after="0"/>
              <w:rPr>
                <w:sz w:val="20"/>
                <w:szCs w:val="20"/>
                <w:color w:val="auto"/>
              </w:rPr>
            </w:pPr>
            <w:r>
              <w:rPr>
                <w:rFonts w:ascii="Arial" w:cs="Arial" w:eastAsia="Arial" w:hAnsi="Arial"/>
                <w:sz w:val="16"/>
                <w:szCs w:val="16"/>
                <w:color w:val="auto"/>
              </w:rPr>
              <w:t>Noncash operating lease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3,410</w:t>
            </w:r>
          </w:p>
        </w:tc>
      </w:tr>
      <w:tr>
        <w:trPr>
          <w:trHeight w:val="213"/>
        </w:trPr>
        <w:tc>
          <w:tcPr>
            <w:tcW w:w="7820" w:type="dxa"/>
            <w:vAlign w:val="bottom"/>
            <w:shd w:val="clear" w:color="auto" w:fill="EAEAEA"/>
          </w:tcPr>
          <w:p>
            <w:pPr>
              <w:ind w:left="340"/>
              <w:spacing w:after="0"/>
              <w:rPr>
                <w:sz w:val="20"/>
                <w:szCs w:val="20"/>
                <w:color w:val="auto"/>
              </w:rPr>
            </w:pPr>
            <w:r>
              <w:rPr>
                <w:rFonts w:ascii="Arial" w:cs="Arial" w:eastAsia="Arial" w:hAnsi="Arial"/>
                <w:sz w:val="16"/>
                <w:szCs w:val="16"/>
                <w:color w:val="auto"/>
              </w:rPr>
              <w:t>Noncash change in fair value of contingent consideration</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(545)</w:t>
            </w:r>
          </w:p>
        </w:tc>
      </w:tr>
      <w:tr>
        <w:trPr>
          <w:trHeight w:val="211"/>
        </w:trPr>
        <w:tc>
          <w:tcPr>
            <w:tcW w:w="7820" w:type="dxa"/>
            <w:vAlign w:val="bottom"/>
          </w:tcPr>
          <w:p>
            <w:pPr>
              <w:ind w:left="340"/>
              <w:spacing w:after="0"/>
              <w:rPr>
                <w:sz w:val="20"/>
                <w:szCs w:val="20"/>
                <w:color w:val="auto"/>
              </w:rPr>
            </w:pPr>
            <w:r>
              <w:rPr>
                <w:rFonts w:ascii="Arial" w:cs="Arial" w:eastAsia="Arial" w:hAnsi="Arial"/>
                <w:sz w:val="16"/>
                <w:szCs w:val="16"/>
                <w:color w:val="auto"/>
              </w:rPr>
              <w:t>Noncash adjustment on headquarters sale leaseback</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13"/>
        </w:trPr>
        <w:tc>
          <w:tcPr>
            <w:tcW w:w="7820" w:type="dxa"/>
            <w:vAlign w:val="bottom"/>
            <w:shd w:val="clear" w:color="auto" w:fill="EAEAEA"/>
          </w:tcPr>
          <w:p>
            <w:pPr>
              <w:ind w:left="3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7,206</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9,576</w:t>
            </w:r>
          </w:p>
        </w:tc>
      </w:tr>
      <w:tr>
        <w:trPr>
          <w:trHeight w:val="211"/>
        </w:trPr>
        <w:tc>
          <w:tcPr>
            <w:tcW w:w="7820" w:type="dxa"/>
            <w:vAlign w:val="bottom"/>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7820" w:type="dxa"/>
            <w:vAlign w:val="bottom"/>
            <w:shd w:val="clear" w:color="auto" w:fill="EAEAEA"/>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r>
      <w:tr>
        <w:trPr>
          <w:trHeight w:val="211"/>
        </w:trPr>
        <w:tc>
          <w:tcPr>
            <w:tcW w:w="7820" w:type="dxa"/>
            <w:vAlign w:val="bottom"/>
          </w:tcPr>
          <w:p>
            <w:pPr>
              <w:ind w:left="640"/>
              <w:spacing w:after="0"/>
              <w:rPr>
                <w:sz w:val="20"/>
                <w:szCs w:val="20"/>
                <w:color w:val="auto"/>
              </w:rPr>
            </w:pPr>
            <w:r>
              <w:rPr>
                <w:rFonts w:ascii="Arial" w:cs="Arial" w:eastAsia="Arial" w:hAnsi="Arial"/>
                <w:sz w:val="16"/>
                <w:szCs w:val="16"/>
                <w:color w:val="auto"/>
              </w:rPr>
              <w:t>Trade accounts receivable,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24,006</w:t>
            </w:r>
          </w:p>
        </w:tc>
      </w:tr>
      <w:tr>
        <w:trPr>
          <w:trHeight w:val="213"/>
        </w:trPr>
        <w:tc>
          <w:tcPr>
            <w:tcW w:w="7820" w:type="dxa"/>
            <w:vAlign w:val="bottom"/>
            <w:shd w:val="clear" w:color="auto" w:fill="EAEAEA"/>
          </w:tcPr>
          <w:p>
            <w:pPr>
              <w:ind w:left="640"/>
              <w:spacing w:after="0"/>
              <w:rPr>
                <w:sz w:val="20"/>
                <w:szCs w:val="20"/>
                <w:color w:val="auto"/>
              </w:rPr>
            </w:pPr>
            <w:r>
              <w:rPr>
                <w:rFonts w:ascii="Arial" w:cs="Arial" w:eastAsia="Arial" w:hAnsi="Arial"/>
                <w:sz w:val="16"/>
                <w:szCs w:val="16"/>
                <w:color w:val="auto"/>
              </w:rPr>
              <w:t>Other current assets and Other assets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(28,471)</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(5,903)</w:t>
            </w:r>
          </w:p>
        </w:tc>
      </w:tr>
      <w:tr>
        <w:trPr>
          <w:trHeight w:val="211"/>
        </w:trPr>
        <w:tc>
          <w:tcPr>
            <w:tcW w:w="7820" w:type="dxa"/>
            <w:vAlign w:val="bottom"/>
          </w:tcPr>
          <w:p>
            <w:pPr>
              <w:ind w:left="640"/>
              <w:spacing w:after="0"/>
              <w:rPr>
                <w:sz w:val="20"/>
                <w:szCs w:val="20"/>
                <w:color w:val="auto"/>
              </w:rPr>
            </w:pPr>
            <w:r>
              <w:rPr>
                <w:rFonts w:ascii="Arial" w:cs="Arial" w:eastAsia="Arial" w:hAnsi="Arial"/>
                <w:sz w:val="16"/>
                <w:szCs w:val="16"/>
                <w:color w:val="auto"/>
              </w:rPr>
              <w:t>Deferred commissions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(28,784)</w:t>
            </w:r>
          </w:p>
        </w:tc>
      </w:tr>
      <w:tr>
        <w:trPr>
          <w:trHeight w:val="213"/>
        </w:trPr>
        <w:tc>
          <w:tcPr>
            <w:tcW w:w="7820" w:type="dxa"/>
            <w:vAlign w:val="bottom"/>
            <w:shd w:val="clear" w:color="auto" w:fill="EAEAEA"/>
          </w:tcPr>
          <w:p>
            <w:pPr>
              <w:ind w:left="6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(88)</w:t>
            </w:r>
          </w:p>
        </w:tc>
      </w:tr>
      <w:tr>
        <w:trPr>
          <w:trHeight w:val="211"/>
        </w:trPr>
        <w:tc>
          <w:tcPr>
            <w:tcW w:w="7820" w:type="dxa"/>
            <w:vAlign w:val="bottom"/>
          </w:tcPr>
          <w:p>
            <w:pPr>
              <w:ind w:left="64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(45,230)</w:t>
            </w:r>
          </w:p>
        </w:tc>
      </w:tr>
      <w:tr>
        <w:trPr>
          <w:trHeight w:val="213"/>
        </w:trPr>
        <w:tc>
          <w:tcPr>
            <w:tcW w:w="7820" w:type="dxa"/>
            <w:vAlign w:val="bottom"/>
            <w:shd w:val="clear" w:color="auto" w:fill="EAEAEA"/>
          </w:tcPr>
          <w:p>
            <w:pPr>
              <w:ind w:left="64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(3,214)</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(3,647)</w:t>
            </w:r>
          </w:p>
        </w:tc>
      </w:tr>
      <w:tr>
        <w:trPr>
          <w:trHeight w:val="211"/>
        </w:trPr>
        <w:tc>
          <w:tcPr>
            <w:tcW w:w="7820" w:type="dxa"/>
            <w:vAlign w:val="bottom"/>
          </w:tcPr>
          <w:p>
            <w:pPr>
              <w:ind w:left="6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27,953</w:t>
            </w:r>
          </w:p>
        </w:tc>
      </w:tr>
      <w:tr>
        <w:trPr>
          <w:trHeight w:val="213"/>
        </w:trPr>
        <w:tc>
          <w:tcPr>
            <w:tcW w:w="7820" w:type="dxa"/>
            <w:vAlign w:val="bottom"/>
            <w:shd w:val="clear" w:color="auto" w:fill="EAEAEA"/>
          </w:tcPr>
          <w:p>
            <w:pPr>
              <w:ind w:left="6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EAEAEA"/>
          </w:tcPr>
          <w:p>
            <w:pPr>
              <w:spacing w:after="0"/>
              <w:rPr>
                <w:sz w:val="18"/>
                <w:szCs w:val="18"/>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EAEAEA"/>
          </w:tcPr>
          <w:p>
            <w:pPr>
              <w:spacing w:after="0"/>
              <w:rPr>
                <w:sz w:val="18"/>
                <w:szCs w:val="18"/>
                <w:color w:val="auto"/>
              </w:rPr>
            </w:pPr>
          </w:p>
        </w:tc>
        <w:tc>
          <w:tcPr>
            <w:tcW w:w="240" w:type="dxa"/>
            <w:vAlign w:val="bottom"/>
            <w:tcBorders>
              <w:bottom w:val="single" w:sz="8" w:color="auto"/>
            </w:tcBorders>
            <w:shd w:val="clear" w:color="auto" w:fill="EAEAEA"/>
          </w:tcPr>
          <w:p>
            <w:pPr>
              <w:spacing w:after="0"/>
              <w:rPr>
                <w:sz w:val="18"/>
                <w:szCs w:val="18"/>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(1,107)</w:t>
            </w: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126,468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108,450</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(5,066)</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Purchase of investments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(8,039)</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(6,626)</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sale of headquarters, net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34,849</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Business combination, net of cash acquired</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(26,015)</w:t>
            </w: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(12,540)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(2,858)</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spacing w:after="0"/>
              <w:rPr>
                <w:sz w:val="18"/>
                <w:szCs w:val="18"/>
                <w:color w:val="auto"/>
              </w:rPr>
            </w:pP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(146,073)</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240" w:type="dxa"/>
            <w:vAlign w:val="bottom"/>
            <w:shd w:val="clear" w:color="auto" w:fill="EAEAEA"/>
          </w:tcPr>
          <w:p>
            <w:pPr>
              <w:spacing w:after="0"/>
              <w:rPr>
                <w:sz w:val="18"/>
                <w:szCs w:val="18"/>
                <w:color w:val="auto"/>
              </w:rPr>
            </w:pP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6,585</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6,974</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issuance of convertible notes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900,000</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Purchase of capped calls</w:t>
            </w:r>
          </w:p>
        </w:tc>
        <w:tc>
          <w:tcPr>
            <w:tcW w:w="240" w:type="dxa"/>
            <w:vAlign w:val="bottom"/>
            <w:shd w:val="clear" w:color="auto" w:fill="EAEAEA"/>
          </w:tcPr>
          <w:p>
            <w:pPr>
              <w:spacing w:after="0"/>
              <w:rPr>
                <w:sz w:val="18"/>
                <w:szCs w:val="18"/>
                <w:color w:val="auto"/>
              </w:rPr>
            </w:pPr>
          </w:p>
        </w:tc>
        <w:tc>
          <w:tcPr>
            <w:tcW w:w="980" w:type="dxa"/>
            <w:vAlign w:val="bottom"/>
            <w:gridSpan w:val="2"/>
            <w:shd w:val="clear" w:color="auto" w:fill="EAEAEA"/>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AEAEA"/>
          </w:tcPr>
          <w:p>
            <w:pPr>
              <w:spacing w:after="0"/>
              <w:rPr>
                <w:sz w:val="18"/>
                <w:szCs w:val="18"/>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(99,630)</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(22,242)</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EAEAEA"/>
          </w:tcPr>
          <w:p>
            <w:pPr>
              <w:spacing w:after="0"/>
              <w:rPr>
                <w:sz w:val="18"/>
                <w:szCs w:val="18"/>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EAEAEA"/>
          </w:tcPr>
          <w:p>
            <w:pPr>
              <w:spacing w:after="0"/>
              <w:rPr>
                <w:sz w:val="18"/>
                <w:szCs w:val="18"/>
                <w:color w:val="auto"/>
              </w:rPr>
            </w:pPr>
          </w:p>
        </w:tc>
        <w:tc>
          <w:tcPr>
            <w:tcW w:w="240" w:type="dxa"/>
            <w:vAlign w:val="bottom"/>
            <w:tcBorders>
              <w:bottom w:val="single" w:sz="8" w:color="auto"/>
            </w:tcBorders>
            <w:shd w:val="clear" w:color="auto" w:fill="EAEAEA"/>
          </w:tcPr>
          <w:p>
            <w:pPr>
              <w:spacing w:after="0"/>
              <w:rPr>
                <w:sz w:val="18"/>
                <w:szCs w:val="18"/>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w:t>
            </w: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(111,475)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638,999</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EAEAEA"/>
          </w:tcPr>
          <w:p>
            <w:pPr>
              <w:spacing w:after="0"/>
              <w:rPr>
                <w:sz w:val="18"/>
                <w:szCs w:val="18"/>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(5,190)</w:t>
            </w:r>
          </w:p>
        </w:tc>
        <w:tc>
          <w:tcPr>
            <w:tcW w:w="100" w:type="dxa"/>
            <w:vAlign w:val="bottom"/>
            <w:shd w:val="clear" w:color="auto" w:fill="EAEAEA"/>
          </w:tcPr>
          <w:p>
            <w:pPr>
              <w:spacing w:after="0"/>
              <w:rPr>
                <w:sz w:val="18"/>
                <w:szCs w:val="18"/>
                <w:color w:val="auto"/>
              </w:rPr>
            </w:pPr>
          </w:p>
        </w:tc>
        <w:tc>
          <w:tcPr>
            <w:tcW w:w="240" w:type="dxa"/>
            <w:vAlign w:val="bottom"/>
            <w:tcBorders>
              <w:bottom w:val="single" w:sz="8" w:color="auto"/>
            </w:tcBorders>
            <w:shd w:val="clear" w:color="auto" w:fill="EAEAEA"/>
          </w:tcPr>
          <w:p>
            <w:pPr>
              <w:spacing w:after="0"/>
              <w:rPr>
                <w:sz w:val="18"/>
                <w:szCs w:val="18"/>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16,861</w:t>
            </w: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761,452</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EAEAEA"/>
          </w:tcPr>
          <w:p>
            <w:pPr>
              <w:spacing w:after="0"/>
              <w:rPr>
                <w:sz w:val="18"/>
                <w:szCs w:val="18"/>
                <w:color w:val="auto"/>
              </w:rPr>
            </w:pPr>
          </w:p>
        </w:tc>
        <w:tc>
          <w:tcPr>
            <w:tcW w:w="8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899,987</w:t>
            </w:r>
          </w:p>
        </w:tc>
        <w:tc>
          <w:tcPr>
            <w:tcW w:w="100" w:type="dxa"/>
            <w:vAlign w:val="bottom"/>
            <w:shd w:val="clear" w:color="auto" w:fill="EAEAEA"/>
          </w:tcPr>
          <w:p>
            <w:pPr>
              <w:spacing w:after="0"/>
              <w:rPr>
                <w:sz w:val="18"/>
                <w:szCs w:val="18"/>
                <w:color w:val="auto"/>
              </w:rPr>
            </w:pPr>
          </w:p>
        </w:tc>
        <w:tc>
          <w:tcPr>
            <w:tcW w:w="240" w:type="dxa"/>
            <w:vAlign w:val="bottom"/>
            <w:tcBorders>
              <w:bottom w:val="single" w:sz="8" w:color="auto"/>
            </w:tcBorders>
            <w:shd w:val="clear" w:color="auto" w:fill="EAEAEA"/>
          </w:tcPr>
          <w:p>
            <w:pPr>
              <w:spacing w:after="0"/>
              <w:rPr>
                <w:sz w:val="18"/>
                <w:szCs w:val="18"/>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302,103</w:t>
            </w: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897,250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1,063,555</w:t>
            </w:r>
          </w:p>
        </w:tc>
      </w:tr>
      <w:tr>
        <w:trPr>
          <w:trHeight w:val="20"/>
        </w:trPr>
        <w:tc>
          <w:tcPr>
            <w:tcW w:w="782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0"/>
        </w:trPr>
        <w:tc>
          <w:tcPr>
            <w:tcW w:w="7820" w:type="dxa"/>
            <w:vAlign w:val="bottom"/>
            <w:shd w:val="clear" w:color="auto" w:fill="EAEAEA"/>
          </w:tcPr>
          <w:p>
            <w:pPr>
              <w:spacing w:after="0"/>
              <w:rPr>
                <w:sz w:val="15"/>
                <w:szCs w:val="15"/>
                <w:color w:val="auto"/>
              </w:rPr>
            </w:pPr>
          </w:p>
        </w:tc>
        <w:tc>
          <w:tcPr>
            <w:tcW w:w="240" w:type="dxa"/>
            <w:vAlign w:val="bottom"/>
            <w:shd w:val="clear" w:color="auto" w:fill="EAEAEA"/>
          </w:tcPr>
          <w:p>
            <w:pPr>
              <w:spacing w:after="0"/>
              <w:rPr>
                <w:sz w:val="15"/>
                <w:szCs w:val="15"/>
                <w:color w:val="auto"/>
              </w:rPr>
            </w:pPr>
          </w:p>
        </w:tc>
        <w:tc>
          <w:tcPr>
            <w:tcW w:w="88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240" w:type="dxa"/>
            <w:vAlign w:val="bottom"/>
            <w:shd w:val="clear" w:color="auto" w:fill="EAEAEA"/>
          </w:tcPr>
          <w:p>
            <w:pPr>
              <w:spacing w:after="0"/>
              <w:rPr>
                <w:sz w:val="15"/>
                <w:szCs w:val="15"/>
                <w:color w:val="auto"/>
              </w:rPr>
            </w:pPr>
          </w:p>
        </w:tc>
        <w:tc>
          <w:tcPr>
            <w:tcW w:w="900" w:type="dxa"/>
            <w:vAlign w:val="bottom"/>
            <w:shd w:val="clear" w:color="auto" w:fill="EAEAEA"/>
          </w:tcPr>
          <w:p>
            <w:pPr>
              <w:spacing w:after="0"/>
              <w:rPr>
                <w:sz w:val="15"/>
                <w:szCs w:val="15"/>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240" w:type="dxa"/>
            <w:vAlign w:val="bottom"/>
            <w:shd w:val="clear" w:color="auto" w:fill="EAEAEA"/>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5,194</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22,165</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color w:val="auto"/>
              </w:rPr>
              <w:t>Debt issuance costs accrued but not paid, included in accrued liabilities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984</w:t>
            </w:r>
          </w:p>
        </w:tc>
      </w:tr>
      <w:tr>
        <w:trPr>
          <w:trHeight w:val="213"/>
        </w:trPr>
        <w:tc>
          <w:tcPr>
            <w:tcW w:w="7820" w:type="dxa"/>
            <w:vAlign w:val="bottom"/>
            <w:shd w:val="clear" w:color="auto" w:fill="EAEAEA"/>
          </w:tcPr>
          <w:p>
            <w:pPr>
              <w:ind w:left="20"/>
              <w:spacing w:after="0"/>
              <w:rPr>
                <w:sz w:val="20"/>
                <w:szCs w:val="20"/>
                <w:color w:val="auto"/>
              </w:rPr>
            </w:pPr>
            <w:r>
              <w:rPr>
                <w:rFonts w:ascii="Arial" w:cs="Arial" w:eastAsia="Arial" w:hAnsi="Arial"/>
                <w:sz w:val="16"/>
                <w:szCs w:val="16"/>
                <w:color w:val="auto"/>
              </w:rPr>
              <w:t>Share repurchases accrued but not paid, included in accrued liabilities</w:t>
            </w:r>
          </w:p>
        </w:tc>
        <w:tc>
          <w:tcPr>
            <w:tcW w:w="240" w:type="dxa"/>
            <w:vAlign w:val="bottom"/>
            <w:shd w:val="clear" w:color="auto" w:fill="EAEAEA"/>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EAEAEA"/>
          </w:tcPr>
          <w:p>
            <w:pPr>
              <w:spacing w:after="0"/>
              <w:rPr>
                <w:sz w:val="18"/>
                <w:szCs w:val="18"/>
                <w:color w:val="auto"/>
              </w:rPr>
            </w:pPr>
          </w:p>
        </w:tc>
        <w:tc>
          <w:tcPr>
            <w:tcW w:w="24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auto"/>
              </w:rPr>
              <w:t>$</w:t>
            </w: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r>
    </w:tbl>
    <w:p>
      <w:pPr>
        <w:spacing w:after="0" w:line="14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31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hanging="334"/>
        <w:spacing w:after="0"/>
        <w:tabs>
          <w:tab w:leader="none" w:pos="340" w:val="left"/>
        </w:tabs>
        <w:numPr>
          <w:ilvl w:val="0"/>
          <w:numId w:val="2"/>
        </w:numPr>
        <w:rPr>
          <w:rFonts w:ascii="Arial" w:cs="Arial" w:eastAsia="Arial" w:hAnsi="Arial"/>
          <w:sz w:val="18"/>
          <w:szCs w:val="18"/>
          <w:b w:val="1"/>
          <w:bCs w:val="1"/>
          <w:color w:val="844896"/>
        </w:rPr>
      </w:pPr>
      <w:r>
        <w:rPr>
          <w:rFonts w:ascii="Arial" w:cs="Arial" w:eastAsia="Arial" w:hAnsi="Arial"/>
          <w:sz w:val="18"/>
          <w:szCs w:val="18"/>
          <w:b w:val="1"/>
          <w:bCs w:val="1"/>
          <w:color w:val="844896"/>
        </w:rPr>
        <w:t>Basis of Presentation</w:t>
      </w:r>
    </w:p>
    <w:p>
      <w:pPr>
        <w:spacing w:after="0" w:line="166"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Commvault Systems, Inc. and its subsidiaries ("Commvault," "we," "us," "our," or the "Company") is a provider of cyber resiliency solutions designed to help the enterprise protect, secure, and recover their data, applications, and identity systems in a world of increasing cyber threats and attacks. Commvault’s offerings provide cyber resilience, including data protection, cyber recovery, data security, and governance, aiming to enable customers' continuous business. Our offerings are delivered through self-managed software, software-as-a-service ("SaaS"), integrated appliances, or managed by partners. Customers use our Commvault Cloud platform to help protect themselves from threats like ransomware and recover their data efficiently.</w:t>
      </w:r>
    </w:p>
    <w:p>
      <w:pPr>
        <w:spacing w:after="0" w:line="132"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17"/>
          <w:szCs w:val="17"/>
          <w:color w:val="auto"/>
        </w:rPr>
        <w:t>The consolidated financial statements of Commvault as of September 30, 2026 and for the three and six months ended September 30, 2026 and 2025 are unaudited, and in the opinion of management, include all adjustments (consisting only of normal recurring adjustments) necessary for a fair presentation of the results for the interim periods. Accordingly, they do not include all the information and footnotes required by U.S. generally accepted accounting principles ("GAAP") for complete financial statements and should be read in conjunction with the financial statements and notes in our Annual Report on Form 10-K for the fiscal year ended March 31, 2026. The results reported in these consolidated financial statements should not necessarily be taken as indicative of results that may be expected for the entire fiscal year.</w:t>
      </w:r>
    </w:p>
    <w:p>
      <w:pPr>
        <w:spacing w:after="0" w:line="116"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preparation of consolidated financial statements and related disclosures in conformity with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amounts of assets and liabilities reported in our consolidated balance sheets and the amounts of revenues and expenses reported for each of the periods presented are affected by estimates and assumptions, which are used for, but not limited to, the accounting for revenue recognition, income taxes and related reserves, deferred commissions, goodwill, and purchased intangible assets. Actual results could differ from those estimates.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 of Prior Year Balances</w:t>
      </w:r>
    </w:p>
    <w:p>
      <w:pPr>
        <w:spacing w:after="0" w:line="164"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Beginning in fiscal 2027, Customer support revenue has been further disaggregated between support associated with term-based software license arrangements ("Term-based support") and support associated with perpetual software license arrangements ("Perpetual support"). In addition, Term-based support revenue is now presented within Subscription revenue, together with Term-based license and SaaS revenues. These reclassifications have no impact on the amount of total revenues, net income, or the underlying revenue recognition for these arrangements.</w:t>
      </w:r>
    </w:p>
    <w:p>
      <w:pPr>
        <w:spacing w:after="0" w:line="12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addition, amortization of debt issuance costs, which was previously included within depreciation and amortization on the Consolidated Statements of Cash Flows, is now presented separately, and the noncash change in fair value of equity securities, which was previously presented separately, is now included within other as an adjustment to reconcile net income to net cash provided by operating activities. These reclassifications have no impact on the amount of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0"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844896"/>
        </w:rPr>
      </w:pPr>
      <w:r>
        <w:rPr>
          <w:rFonts w:ascii="Arial" w:cs="Arial" w:eastAsia="Arial" w:hAnsi="Arial"/>
          <w:sz w:val="18"/>
          <w:szCs w:val="18"/>
          <w:b w:val="1"/>
          <w:bCs w:val="1"/>
          <w:color w:val="844896"/>
        </w:rPr>
        <w:t>Summary of Significant Accounting Policies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There have been no changes to our significant accounting policies described in our Annual Report on Form 10-K for the fiscal year ended March 31, 2026 that have had a material effect on our consolidated financial statements.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and Recently Issued Accounting Standards</w:t>
      </w:r>
    </w:p>
    <w:p>
      <w:pPr>
        <w:spacing w:after="0" w:line="16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There were no recently adopted accounting standards that had a material effect on our consolidated financial statements and accompanying disclosures. The table below outlines recently issued accounting standards not yet adopted that could have an impact on the consolidated financial statements upon adoption.</w:t>
      </w:r>
    </w:p>
    <w:p>
      <w:pPr>
        <w:spacing w:after="0" w:line="223" w:lineRule="exact"/>
        <w:rPr>
          <w:sz w:val="20"/>
          <w:szCs w:val="20"/>
          <w:color w:val="auto"/>
        </w:rPr>
      </w:pPr>
    </w:p>
    <w:p>
      <w:pPr>
        <w:ind w:left="740"/>
        <w:spacing w:after="0"/>
        <w:tabs>
          <w:tab w:leader="none" w:pos="3460" w:val="left"/>
          <w:tab w:leader="none" w:pos="6300" w:val="left"/>
          <w:tab w:leader="none" w:pos="8120" w:val="left"/>
        </w:tabs>
        <w:rPr>
          <w:sz w:val="20"/>
          <w:szCs w:val="20"/>
          <w:color w:val="auto"/>
        </w:rPr>
      </w:pPr>
      <w:r>
        <w:rPr>
          <w:rFonts w:ascii="Arial" w:cs="Arial" w:eastAsia="Arial" w:hAnsi="Arial"/>
          <w:sz w:val="18"/>
          <w:szCs w:val="18"/>
          <w:b w:val="1"/>
          <w:bCs w:val="1"/>
          <w:color w:val="auto"/>
        </w:rPr>
        <w:t>Standard</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7"/>
          <w:szCs w:val="17"/>
          <w:b w:val="1"/>
          <w:bCs w:val="1"/>
          <w:color w:val="auto"/>
        </w:rPr>
        <w:t>Effect on the Consolidated Financial</w:t>
      </w:r>
    </w:p>
    <w:p>
      <w:pPr>
        <w:jc w:val="center"/>
        <w:ind w:left="8080"/>
        <w:spacing w:after="0" w:line="199" w:lineRule="auto"/>
        <w:rPr>
          <w:sz w:val="20"/>
          <w:szCs w:val="20"/>
          <w:color w:val="auto"/>
        </w:rPr>
      </w:pPr>
      <w:r>
        <w:rPr>
          <w:rFonts w:ascii="Arial" w:cs="Arial" w:eastAsia="Arial" w:hAnsi="Arial"/>
          <w:sz w:val="18"/>
          <w:szCs w:val="18"/>
          <w:b w:val="1"/>
          <w:bCs w:val="1"/>
          <w:color w:val="auto"/>
        </w:rPr>
        <w:t>Statements (or Other Significant</w:t>
      </w:r>
    </w:p>
    <w:p>
      <w:pPr>
        <w:spacing w:after="0" w:line="1"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Accounting Standards</w:t>
      </w:r>
    </w:p>
    <w:p>
      <w:pPr>
        <w:ind w:left="20"/>
        <w:spacing w:after="0" w:line="216" w:lineRule="auto"/>
        <w:rPr>
          <w:sz w:val="20"/>
          <w:szCs w:val="20"/>
          <w:color w:val="auto"/>
        </w:rPr>
      </w:pPr>
      <w:r>
        <w:rPr>
          <w:rFonts w:ascii="Arial" w:cs="Arial" w:eastAsia="Arial" w:hAnsi="Arial"/>
          <w:sz w:val="17"/>
          <w:szCs w:val="17"/>
          <w:color w:val="auto"/>
        </w:rPr>
        <w:t>Update No. 2024-03 (Subtopic 220-40): Disaggregation of Income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3420" w:type="dxa"/>
            <w:vAlign w:val="bottom"/>
          </w:tcPr>
          <w:p>
            <w:pPr>
              <w:spacing w:after="0" w:line="201" w:lineRule="exact"/>
              <w:rPr>
                <w:sz w:val="20"/>
                <w:szCs w:val="20"/>
                <w:color w:val="auto"/>
              </w:rPr>
            </w:pPr>
            <w:r>
              <w:rPr>
                <w:rFonts w:ascii="Arial" w:cs="Arial" w:eastAsia="Arial" w:hAnsi="Arial"/>
                <w:sz w:val="18"/>
                <w:szCs w:val="18"/>
                <w:color w:val="auto"/>
              </w:rPr>
              <w:t>In November 2024, the Financial</w:t>
            </w:r>
          </w:p>
        </w:tc>
        <w:tc>
          <w:tcPr>
            <w:tcW w:w="546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7"/>
              </w:rPr>
              <w:t>This standard will be effective We are currently evaluating the impact</w:t>
            </w:r>
          </w:p>
        </w:tc>
      </w:tr>
      <w:tr>
        <w:trPr>
          <w:trHeight w:val="176"/>
        </w:trPr>
        <w:tc>
          <w:tcPr>
            <w:tcW w:w="3420" w:type="dxa"/>
            <w:vAlign w:val="bottom"/>
          </w:tcPr>
          <w:p>
            <w:pPr>
              <w:spacing w:after="0" w:line="176" w:lineRule="exact"/>
              <w:rPr>
                <w:sz w:val="20"/>
                <w:szCs w:val="20"/>
                <w:color w:val="auto"/>
              </w:rPr>
            </w:pPr>
            <w:r>
              <w:rPr>
                <w:rFonts w:ascii="Arial" w:cs="Arial" w:eastAsia="Arial" w:hAnsi="Arial"/>
                <w:sz w:val="18"/>
                <w:szCs w:val="18"/>
                <w:color w:val="auto"/>
              </w:rPr>
              <w:t>Accounting Standards Board issued a new</w:t>
            </w:r>
          </w:p>
        </w:tc>
        <w:tc>
          <w:tcPr>
            <w:tcW w:w="2340" w:type="dxa"/>
            <w:vAlign w:val="bottom"/>
          </w:tcPr>
          <w:p>
            <w:pPr>
              <w:ind w:left="80"/>
              <w:spacing w:after="0" w:line="176" w:lineRule="exact"/>
              <w:rPr>
                <w:sz w:val="20"/>
                <w:szCs w:val="20"/>
                <w:color w:val="auto"/>
              </w:rPr>
            </w:pPr>
            <w:r>
              <w:rPr>
                <w:rFonts w:ascii="Arial" w:cs="Arial" w:eastAsia="Arial" w:hAnsi="Arial"/>
                <w:sz w:val="18"/>
                <w:szCs w:val="18"/>
                <w:color w:val="auto"/>
              </w:rPr>
              <w:t>for us for our annual period</w:t>
            </w:r>
          </w:p>
        </w:tc>
        <w:tc>
          <w:tcPr>
            <w:tcW w:w="3120" w:type="dxa"/>
            <w:vAlign w:val="bottom"/>
          </w:tcPr>
          <w:p>
            <w:pPr>
              <w:ind w:left="100"/>
              <w:spacing w:after="0" w:line="176" w:lineRule="exact"/>
              <w:rPr>
                <w:sz w:val="20"/>
                <w:szCs w:val="20"/>
                <w:color w:val="auto"/>
              </w:rPr>
            </w:pPr>
            <w:r>
              <w:rPr>
                <w:rFonts w:ascii="Arial" w:cs="Arial" w:eastAsia="Arial" w:hAnsi="Arial"/>
                <w:sz w:val="18"/>
                <w:szCs w:val="18"/>
                <w:color w:val="auto"/>
              </w:rPr>
              <w:t>of this standard on our consolidated</w:t>
            </w:r>
          </w:p>
        </w:tc>
      </w:tr>
      <w:tr>
        <w:trPr>
          <w:trHeight w:val="172"/>
        </w:trPr>
        <w:tc>
          <w:tcPr>
            <w:tcW w:w="3420" w:type="dxa"/>
            <w:vAlign w:val="bottom"/>
          </w:tcPr>
          <w:p>
            <w:pPr>
              <w:spacing w:after="0" w:line="172" w:lineRule="exact"/>
              <w:rPr>
                <w:sz w:val="20"/>
                <w:szCs w:val="20"/>
                <w:color w:val="auto"/>
              </w:rPr>
            </w:pPr>
            <w:r>
              <w:rPr>
                <w:rFonts w:ascii="Arial" w:cs="Arial" w:eastAsia="Arial" w:hAnsi="Arial"/>
                <w:sz w:val="18"/>
                <w:szCs w:val="18"/>
                <w:color w:val="auto"/>
              </w:rPr>
              <w:t>standard to improve income statement</w:t>
            </w:r>
          </w:p>
        </w:tc>
        <w:tc>
          <w:tcPr>
            <w:tcW w:w="2340" w:type="dxa"/>
            <w:vAlign w:val="bottom"/>
          </w:tcPr>
          <w:p>
            <w:pPr>
              <w:ind w:left="80"/>
              <w:spacing w:after="0" w:line="172" w:lineRule="exact"/>
              <w:rPr>
                <w:sz w:val="20"/>
                <w:szCs w:val="20"/>
                <w:color w:val="auto"/>
              </w:rPr>
            </w:pPr>
            <w:r>
              <w:rPr>
                <w:rFonts w:ascii="Arial" w:cs="Arial" w:eastAsia="Arial" w:hAnsi="Arial"/>
                <w:sz w:val="18"/>
                <w:szCs w:val="18"/>
                <w:color w:val="auto"/>
              </w:rPr>
              <w:t>beginning April 1, 2027 and</w:t>
            </w:r>
          </w:p>
        </w:tc>
        <w:tc>
          <w:tcPr>
            <w:tcW w:w="3120" w:type="dxa"/>
            <w:vAlign w:val="bottom"/>
          </w:tcPr>
          <w:p>
            <w:pPr>
              <w:ind w:left="100"/>
              <w:spacing w:after="0" w:line="172" w:lineRule="exact"/>
              <w:rPr>
                <w:sz w:val="20"/>
                <w:szCs w:val="20"/>
                <w:color w:val="auto"/>
              </w:rPr>
            </w:pPr>
            <w:r>
              <w:rPr>
                <w:rFonts w:ascii="Arial" w:cs="Arial" w:eastAsia="Arial" w:hAnsi="Arial"/>
                <w:sz w:val="18"/>
                <w:szCs w:val="18"/>
                <w:color w:val="auto"/>
              </w:rPr>
              <w:t>financial statements and disclosures.</w:t>
            </w:r>
          </w:p>
        </w:tc>
      </w:tr>
      <w:tr>
        <w:trPr>
          <w:trHeight w:val="182"/>
        </w:trPr>
        <w:tc>
          <w:tcPr>
            <w:tcW w:w="5760" w:type="dxa"/>
            <w:vAlign w:val="bottom"/>
            <w:gridSpan w:val="2"/>
          </w:tcPr>
          <w:p>
            <w:pPr>
              <w:spacing w:after="0" w:line="182" w:lineRule="exact"/>
              <w:rPr>
                <w:sz w:val="20"/>
                <w:szCs w:val="20"/>
                <w:color w:val="auto"/>
              </w:rPr>
            </w:pPr>
            <w:r>
              <w:rPr>
                <w:rFonts w:ascii="Arial" w:cs="Arial" w:eastAsia="Arial" w:hAnsi="Arial"/>
                <w:sz w:val="18"/>
                <w:szCs w:val="18"/>
                <w:color w:val="auto"/>
              </w:rPr>
              <w:t>expense disclosures. The standard requires interim periods beginning</w:t>
            </w:r>
          </w:p>
        </w:tc>
        <w:tc>
          <w:tcPr>
            <w:tcW w:w="3120" w:type="dxa"/>
            <w:vAlign w:val="bottom"/>
          </w:tcPr>
          <w:p>
            <w:pPr>
              <w:spacing w:after="0"/>
              <w:rPr>
                <w:sz w:val="15"/>
                <w:szCs w:val="15"/>
                <w:color w:val="auto"/>
              </w:rPr>
            </w:pPr>
          </w:p>
        </w:tc>
      </w:tr>
      <w:tr>
        <w:trPr>
          <w:trHeight w:val="176"/>
        </w:trPr>
        <w:tc>
          <w:tcPr>
            <w:tcW w:w="3420" w:type="dxa"/>
            <w:vAlign w:val="bottom"/>
          </w:tcPr>
          <w:p>
            <w:pPr>
              <w:spacing w:after="0" w:line="176" w:lineRule="exact"/>
              <w:rPr>
                <w:sz w:val="20"/>
                <w:szCs w:val="20"/>
                <w:color w:val="auto"/>
              </w:rPr>
            </w:pPr>
            <w:r>
              <w:rPr>
                <w:rFonts w:ascii="Arial" w:cs="Arial" w:eastAsia="Arial" w:hAnsi="Arial"/>
                <w:sz w:val="18"/>
                <w:szCs w:val="18"/>
                <w:color w:val="auto"/>
              </w:rPr>
              <w:t>greater disaggregated information on</w:t>
            </w:r>
          </w:p>
        </w:tc>
        <w:tc>
          <w:tcPr>
            <w:tcW w:w="2340" w:type="dxa"/>
            <w:vAlign w:val="bottom"/>
          </w:tcPr>
          <w:p>
            <w:pPr>
              <w:ind w:left="80"/>
              <w:spacing w:after="0" w:line="176" w:lineRule="exact"/>
              <w:rPr>
                <w:sz w:val="20"/>
                <w:szCs w:val="20"/>
                <w:color w:val="auto"/>
              </w:rPr>
            </w:pPr>
            <w:r>
              <w:rPr>
                <w:rFonts w:ascii="Arial" w:cs="Arial" w:eastAsia="Arial" w:hAnsi="Arial"/>
                <w:sz w:val="18"/>
                <w:szCs w:val="18"/>
                <w:color w:val="auto"/>
              </w:rPr>
              <w:t>April 1, 2028, with early</w:t>
            </w:r>
          </w:p>
        </w:tc>
        <w:tc>
          <w:tcPr>
            <w:tcW w:w="3120" w:type="dxa"/>
            <w:vAlign w:val="bottom"/>
          </w:tcPr>
          <w:p>
            <w:pPr>
              <w:spacing w:after="0"/>
              <w:rPr>
                <w:sz w:val="15"/>
                <w:szCs w:val="15"/>
                <w:color w:val="auto"/>
              </w:rPr>
            </w:pPr>
          </w:p>
        </w:tc>
      </w:tr>
      <w:tr>
        <w:trPr>
          <w:trHeight w:val="172"/>
        </w:trPr>
        <w:tc>
          <w:tcPr>
            <w:tcW w:w="3420" w:type="dxa"/>
            <w:vAlign w:val="bottom"/>
          </w:tcPr>
          <w:p>
            <w:pPr>
              <w:spacing w:after="0" w:line="172" w:lineRule="exact"/>
              <w:rPr>
                <w:sz w:val="20"/>
                <w:szCs w:val="20"/>
                <w:color w:val="auto"/>
              </w:rPr>
            </w:pPr>
            <w:r>
              <w:rPr>
                <w:rFonts w:ascii="Arial" w:cs="Arial" w:eastAsia="Arial" w:hAnsi="Arial"/>
                <w:sz w:val="18"/>
                <w:szCs w:val="18"/>
                <w:color w:val="auto"/>
              </w:rPr>
              <w:t>certain expense captions, as well as</w:t>
            </w:r>
          </w:p>
        </w:tc>
        <w:tc>
          <w:tcPr>
            <w:tcW w:w="2340" w:type="dxa"/>
            <w:vAlign w:val="bottom"/>
          </w:tcPr>
          <w:p>
            <w:pPr>
              <w:ind w:left="80"/>
              <w:spacing w:after="0" w:line="172" w:lineRule="exact"/>
              <w:rPr>
                <w:sz w:val="20"/>
                <w:szCs w:val="20"/>
                <w:color w:val="auto"/>
              </w:rPr>
            </w:pPr>
            <w:r>
              <w:rPr>
                <w:rFonts w:ascii="Arial" w:cs="Arial" w:eastAsia="Arial" w:hAnsi="Arial"/>
                <w:sz w:val="18"/>
                <w:szCs w:val="18"/>
                <w:color w:val="auto"/>
              </w:rPr>
              <w:t>adoption permitted.</w:t>
            </w:r>
          </w:p>
        </w:tc>
        <w:tc>
          <w:tcPr>
            <w:tcW w:w="3120" w:type="dxa"/>
            <w:vAlign w:val="bottom"/>
          </w:tcPr>
          <w:p>
            <w:pPr>
              <w:spacing w:after="0"/>
              <w:rPr>
                <w:sz w:val="14"/>
                <w:szCs w:val="14"/>
                <w:color w:val="auto"/>
              </w:rPr>
            </w:pPr>
          </w:p>
        </w:tc>
      </w:tr>
      <w:tr>
        <w:trPr>
          <w:trHeight w:val="232"/>
        </w:trPr>
        <w:tc>
          <w:tcPr>
            <w:tcW w:w="3420" w:type="dxa"/>
            <w:vAlign w:val="bottom"/>
          </w:tcPr>
          <w:p>
            <w:pPr>
              <w:spacing w:after="0"/>
              <w:rPr>
                <w:sz w:val="20"/>
                <w:szCs w:val="20"/>
                <w:color w:val="auto"/>
              </w:rPr>
            </w:pPr>
            <w:r>
              <w:rPr>
                <w:rFonts w:ascii="Arial" w:cs="Arial" w:eastAsia="Arial" w:hAnsi="Arial"/>
                <w:sz w:val="18"/>
                <w:szCs w:val="18"/>
                <w:color w:val="auto"/>
              </w:rPr>
              <w:t>disclosures about selling expenses.</w:t>
            </w:r>
          </w:p>
        </w:tc>
        <w:tc>
          <w:tcPr>
            <w:tcW w:w="234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040" w:space="200"/>
            <w:col w:w="9000"/>
          </w:cols>
          <w:pgMar w:left="320" w:top="121" w:right="339" w:bottom="1440" w:gutter="0" w:footer="0" w:header="0"/>
          <w:type w:val="continuous"/>
        </w:sectPr>
      </w:pP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historically been minimal.</w:t>
      </w:r>
    </w:p>
    <w:p>
      <w:pPr>
        <w:spacing w:after="0" w:line="11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rely significantly on our value-added resellers, systems integrators, and corporate resellers, which we collectively refer to as resellers, for the marketing and distribution of our products and services. Further, we have non-exclusive distribution agreements with certain partners who enable a more efficient and effective distribution channel for our solutions by managing our resellers and leveraging their own industry experience.</w:t>
      </w:r>
    </w:p>
    <w:p>
      <w:pPr>
        <w:spacing w:after="0" w:line="127" w:lineRule="exact"/>
        <w:rPr>
          <w:sz w:val="20"/>
          <w:szCs w:val="20"/>
          <w:color w:val="auto"/>
        </w:rPr>
      </w:pPr>
    </w:p>
    <w:p>
      <w:pPr>
        <w:jc w:val="both"/>
        <w:ind w:firstLine="636"/>
        <w:spacing w:after="0" w:line="282" w:lineRule="auto"/>
        <w:rPr>
          <w:sz w:val="20"/>
          <w:szCs w:val="20"/>
          <w:color w:val="auto"/>
        </w:rPr>
      </w:pPr>
      <w:r>
        <w:rPr>
          <w:rFonts w:ascii="Arial" w:cs="Arial" w:eastAsia="Arial" w:hAnsi="Arial"/>
          <w:sz w:val="17"/>
          <w:szCs w:val="17"/>
          <w:color w:val="auto"/>
        </w:rPr>
        <w:t>Partner A accounted for approximately 30% and 31% of our total revenues for the three months ended September 30, 2026 and 2025, respectively, and 31% and 32% of our total revenues for the six months ended September 30, 2026 and 2025, respectively. In addition, Partner A represented approximately 19% and 29% of our total accounts receivable as of September 30, 2026 and March 31, 2026, respectively.</w:t>
      </w:r>
    </w:p>
    <w:p>
      <w:pPr>
        <w:spacing w:after="0" w:line="106"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Partner B accounted for approximately 12% of our total revenues for both the three and six months ended September 30, 2026 and 2025. In addition, Partner B represented approximately 12% of our total accounts receivable as of September 30, 2026. Total accounts receivable as of March 31, 2026 for Partner B were less than 10%.</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0" w:lineRule="exact"/>
        <w:rPr>
          <w:sz w:val="20"/>
          <w:szCs w:val="20"/>
          <w:color w:val="auto"/>
        </w:rPr>
      </w:pPr>
    </w:p>
    <w:p>
      <w:pPr>
        <w:ind w:left="340" w:hanging="334"/>
        <w:spacing w:after="0"/>
        <w:tabs>
          <w:tab w:leader="none" w:pos="340" w:val="left"/>
        </w:tabs>
        <w:numPr>
          <w:ilvl w:val="0"/>
          <w:numId w:val="4"/>
        </w:numPr>
        <w:rPr>
          <w:rFonts w:ascii="Arial" w:cs="Arial" w:eastAsia="Arial" w:hAnsi="Arial"/>
          <w:sz w:val="18"/>
          <w:szCs w:val="18"/>
          <w:b w:val="1"/>
          <w:bCs w:val="1"/>
          <w:color w:val="844896"/>
        </w:rPr>
      </w:pPr>
      <w:r>
        <w:rPr>
          <w:rFonts w:ascii="Arial" w:cs="Arial" w:eastAsia="Arial" w:hAnsi="Arial"/>
          <w:sz w:val="18"/>
          <w:szCs w:val="18"/>
          <w:b w:val="1"/>
          <w:bCs w:val="1"/>
          <w:color w:val="844896"/>
        </w:rPr>
        <w:t>Revenue</w:t>
      </w:r>
    </w:p>
    <w:p>
      <w:pPr>
        <w:spacing w:after="0" w:line="166"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We generate revenues through subscription arrangements, which include term-based software licenses, term-based support, and SaaS, as well as perpetual software licenses, perpetual support, and other services.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Term-based License</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Term-based license includes revenue from the license portion of time-based subscription arrangements which are deployed on-premise. The revenue from these licenses is typically recognized when the software is delivered or made available for download.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Term-based Support</w:t>
      </w:r>
    </w:p>
    <w:p>
      <w:pPr>
        <w:spacing w:after="0" w:line="16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Term-based support includes revenues associated with support contracts tied to our term-based software products. Term-based support includes software updates on a when-and-if-available basis, telephone support, integrated web-based support, and other premium support offerings, including enterprise support. We sell our term-based support contracts as a percentage of net software purchases. Term-based support revenue is recognized ratably over the contract term, which is typically one to three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Software-as-a-service ("SaaS")</w:t>
      </w:r>
    </w:p>
    <w:p>
      <w:pPr>
        <w:spacing w:after="0" w:line="16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SaaS includes revenue from time-based subscription arrangements which are delivered through hosted cloud solutions. SaaS revenue is recognized ratably over the contract term, typically one to three years, beginning on the date that the service is made available to the customer. Revenue from usage- or consumption-based arrangements is generally recognized as the services are consumed.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License</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Perpetual license includes revenue from the sale of perpetual software licenses. Perpetual software license revenue is typically recognized when the software is delivered or made available for download.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Perpetual Support</w:t>
      </w:r>
    </w:p>
    <w:p>
      <w:pPr>
        <w:spacing w:after="0" w:line="16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Perpetual support includes revenues associated with support contracts tied to our perpetual software products. Perpetual support includes software updates on a when-and-if-available basis, telephone support, and integrated web-based support. We sell our perpetual support contracts as a percentage of net software purchases. Perpetual support revenue is recognized ratably over the contract term, which is typically one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6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Other services consist primarily of revenue related to professional service offerings, including consultation, assessment and design, installation services, and customer education. Revenues related to other services can vary period over period based on the timing services are delivered and are typically recognized as the services are performed.</w:t>
      </w:r>
    </w:p>
    <w:p>
      <w:pPr>
        <w:spacing w:after="0" w:line="122"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do not customize our software licenses (both term-based and perpetual) and installation services are not required. Software licenses are delivered before related services are provided and are functional without professional services, updates, or technical support. We have concluded that our software licenses (both term-based and perpetual) are functional intellectual property that is distinct, as the user can benefit from the software on its own. Revenues for both term-based and perpetual licenses are typically recognized when the software is delivered or made available for download as this is the point the user of the software can direct the use of and obtain substantially all the remaining benefits from the functional intellectual property. We do not recognize software revenue related to the renewal of term-based software licenses earlier than the beginning of the new subscription period.</w:t>
      </w:r>
    </w:p>
    <w:p>
      <w:pPr>
        <w:spacing w:after="0" w:line="13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also offer software that integrates with appliances and addresses a wide range of business needs and use cases, ranging from support for remote or branch offices with limited IT staff up to large corporate data centers. These appliances are almost exclusively sold through a software-only model in which we sell software to a third party, which assembles an integrated appliance that is sold to end user customers. As a result, the revenues and costs associated with hardware are usually not included in our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Performance Obligation</w:t>
            </w:r>
          </w:p>
        </w:tc>
        <w:tc>
          <w:tcPr>
            <w:tcW w:w="340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When Performance Obligation</w:t>
            </w:r>
          </w:p>
        </w:tc>
        <w:tc>
          <w:tcPr>
            <w:tcW w:w="2460" w:type="dxa"/>
            <w:vAlign w:val="bottom"/>
          </w:tcPr>
          <w:p>
            <w:pPr>
              <w:jc w:val="center"/>
              <w:ind w:left="101"/>
              <w:spacing w:after="0"/>
              <w:rPr>
                <w:sz w:val="20"/>
                <w:szCs w:val="20"/>
                <w:color w:val="auto"/>
              </w:rPr>
            </w:pPr>
            <w:r>
              <w:rPr>
                <w:rFonts w:ascii="Arial" w:cs="Arial" w:eastAsia="Arial" w:hAnsi="Arial"/>
                <w:sz w:val="16"/>
                <w:szCs w:val="16"/>
                <w:b w:val="1"/>
                <w:bCs w:val="1"/>
                <w:color w:val="auto"/>
                <w:w w:val="99"/>
              </w:rPr>
              <w:t>When Payment is</w:t>
            </w:r>
          </w:p>
        </w:tc>
        <w:tc>
          <w:tcPr>
            <w:tcW w:w="2920" w:type="dxa"/>
            <w:vAlign w:val="bottom"/>
          </w:tcPr>
          <w:p>
            <w:pPr>
              <w:jc w:val="center"/>
              <w:ind w:left="41"/>
              <w:spacing w:after="0"/>
              <w:rPr>
                <w:sz w:val="20"/>
                <w:szCs w:val="20"/>
                <w:color w:val="auto"/>
              </w:rPr>
            </w:pPr>
            <w:r>
              <w:rPr>
                <w:rFonts w:ascii="Arial" w:cs="Arial" w:eastAsia="Arial" w:hAnsi="Arial"/>
                <w:sz w:val="16"/>
                <w:szCs w:val="16"/>
                <w:b w:val="1"/>
                <w:bCs w:val="1"/>
                <w:color w:val="auto"/>
                <w:w w:val="99"/>
              </w:rPr>
              <w:t>How Standalone Selling</w:t>
            </w:r>
          </w:p>
        </w:tc>
        <w:tc>
          <w:tcPr>
            <w:tcW w:w="0" w:type="dxa"/>
            <w:vAlign w:val="bottom"/>
          </w:tcPr>
          <w:p>
            <w:pPr>
              <w:spacing w:after="0"/>
              <w:rPr>
                <w:sz w:val="1"/>
                <w:szCs w:val="1"/>
                <w:color w:val="auto"/>
              </w:rPr>
            </w:pPr>
          </w:p>
        </w:tc>
      </w:tr>
      <w:tr>
        <w:trPr>
          <w:trHeight w:val="212"/>
        </w:trPr>
        <w:tc>
          <w:tcPr>
            <w:tcW w:w="2420" w:type="dxa"/>
            <w:vAlign w:val="bottom"/>
            <w:tcBorders>
              <w:bottom w:val="single" w:sz="8" w:color="auto"/>
            </w:tcBorders>
            <w:vMerge w:val="continue"/>
          </w:tcPr>
          <w:p>
            <w:pPr>
              <w:spacing w:after="0"/>
              <w:rPr>
                <w:sz w:val="18"/>
                <w:szCs w:val="18"/>
                <w:color w:val="auto"/>
              </w:rPr>
            </w:pPr>
          </w:p>
        </w:tc>
        <w:tc>
          <w:tcPr>
            <w:tcW w:w="34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9"/>
              </w:rPr>
              <w:t>is Typically Satisfied</w:t>
            </w:r>
          </w:p>
        </w:tc>
        <w:tc>
          <w:tcPr>
            <w:tcW w:w="246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b w:val="1"/>
                <w:bCs w:val="1"/>
                <w:color w:val="auto"/>
                <w:w w:val="98"/>
              </w:rPr>
              <w:t>Typically Due</w:t>
            </w:r>
          </w:p>
        </w:tc>
        <w:tc>
          <w:tcPr>
            <w:tcW w:w="292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b w:val="1"/>
                <w:bCs w:val="1"/>
                <w:color w:val="auto"/>
                <w:w w:val="98"/>
              </w:rPr>
              <w:t>Price is Typically Estimated</w:t>
            </w:r>
          </w:p>
        </w:tc>
        <w:tc>
          <w:tcPr>
            <w:tcW w:w="0" w:type="dxa"/>
            <w:vAlign w:val="bottom"/>
          </w:tcPr>
          <w:p>
            <w:pPr>
              <w:spacing w:after="0"/>
              <w:rPr>
                <w:sz w:val="1"/>
                <w:szCs w:val="1"/>
                <w:color w:val="auto"/>
              </w:rPr>
            </w:pPr>
          </w:p>
        </w:tc>
      </w:tr>
      <w:tr>
        <w:trPr>
          <w:trHeight w:val="205"/>
        </w:trPr>
        <w:tc>
          <w:tcPr>
            <w:tcW w:w="2420" w:type="dxa"/>
            <w:vAlign w:val="bottom"/>
            <w:shd w:val="clear" w:color="auto" w:fill="EAEAEA"/>
          </w:tcPr>
          <w:p>
            <w:pPr>
              <w:ind w:left="20"/>
              <w:spacing w:after="0"/>
              <w:rPr>
                <w:sz w:val="20"/>
                <w:szCs w:val="20"/>
                <w:color w:val="auto"/>
              </w:rPr>
            </w:pPr>
            <w:r>
              <w:rPr>
                <w:rFonts w:ascii="Arial" w:cs="Arial" w:eastAsia="Arial" w:hAnsi="Arial"/>
                <w:sz w:val="16"/>
                <w:szCs w:val="16"/>
                <w:b w:val="1"/>
                <w:bCs w:val="1"/>
                <w:i w:val="1"/>
                <w:iCs w:val="1"/>
                <w:color w:val="auto"/>
              </w:rPr>
              <w:t>Subscription</w:t>
            </w:r>
          </w:p>
        </w:tc>
        <w:tc>
          <w:tcPr>
            <w:tcW w:w="3400" w:type="dxa"/>
            <w:vAlign w:val="bottom"/>
            <w:shd w:val="clear" w:color="auto" w:fill="EAEAEA"/>
          </w:tcPr>
          <w:p>
            <w:pPr>
              <w:spacing w:after="0"/>
              <w:rPr>
                <w:sz w:val="17"/>
                <w:szCs w:val="17"/>
                <w:color w:val="auto"/>
              </w:rPr>
            </w:pPr>
          </w:p>
        </w:tc>
        <w:tc>
          <w:tcPr>
            <w:tcW w:w="2460" w:type="dxa"/>
            <w:vAlign w:val="bottom"/>
            <w:shd w:val="clear" w:color="auto" w:fill="EAEAEA"/>
          </w:tcPr>
          <w:p>
            <w:pPr>
              <w:spacing w:after="0"/>
              <w:rPr>
                <w:sz w:val="17"/>
                <w:szCs w:val="17"/>
                <w:color w:val="auto"/>
              </w:rPr>
            </w:pPr>
          </w:p>
        </w:tc>
        <w:tc>
          <w:tcPr>
            <w:tcW w:w="292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160" w:right="60"/>
        <w:spacing w:after="0"/>
        <w:rPr>
          <w:sz w:val="20"/>
          <w:szCs w:val="20"/>
          <w:color w:val="auto"/>
        </w:rPr>
      </w:pPr>
      <w:r>
        <w:rPr>
          <w:rFonts w:ascii="Arial" w:cs="Arial" w:eastAsia="Arial" w:hAnsi="Arial"/>
          <w:sz w:val="16"/>
          <w:szCs w:val="16"/>
          <w:color w:val="auto"/>
        </w:rPr>
        <w:t>Term-based software licenses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Term-based support</w:t>
      </w:r>
    </w:p>
    <w:p>
      <w:pPr>
        <w:spacing w:after="0" w:line="187" w:lineRule="exact"/>
        <w:rPr>
          <w:sz w:val="20"/>
          <w:szCs w:val="20"/>
          <w:color w:val="auto"/>
        </w:rPr>
      </w:pPr>
    </w:p>
    <w:p>
      <w:pPr>
        <w:ind w:left="160"/>
        <w:spacing w:after="0" w:line="241" w:lineRule="auto"/>
        <w:rPr>
          <w:sz w:val="20"/>
          <w:szCs w:val="20"/>
          <w:color w:val="auto"/>
        </w:rPr>
      </w:pPr>
      <w:r>
        <w:rPr>
          <w:rFonts w:ascii="Arial" w:cs="Arial" w:eastAsia="Arial" w:hAnsi="Arial"/>
          <w:sz w:val="16"/>
          <w:szCs w:val="16"/>
          <w:color w:val="auto"/>
        </w:rPr>
        <w:t>Software-as-a-service (SaaS)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Perpetual License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3760" w:type="dxa"/>
            <w:vAlign w:val="bottom"/>
          </w:tcPr>
          <w:p>
            <w:pPr>
              <w:spacing w:after="0" w:line="159" w:lineRule="exact"/>
              <w:rPr>
                <w:sz w:val="20"/>
                <w:szCs w:val="20"/>
                <w:color w:val="auto"/>
              </w:rPr>
            </w:pPr>
            <w:r>
              <w:rPr>
                <w:rFonts w:ascii="Arial" w:cs="Arial" w:eastAsia="Arial" w:hAnsi="Arial"/>
                <w:sz w:val="16"/>
                <w:szCs w:val="16"/>
                <w:color w:val="auto"/>
              </w:rPr>
              <w:t>Upon delivery or made available for download (point</w:t>
            </w:r>
          </w:p>
        </w:tc>
        <w:tc>
          <w:tcPr>
            <w:tcW w:w="500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Within 90 days of shipment except Residual approach</w:t>
            </w:r>
          </w:p>
        </w:tc>
      </w:tr>
      <w:tr>
        <w:trPr>
          <w:trHeight w:val="159"/>
        </w:trPr>
        <w:tc>
          <w:tcPr>
            <w:tcW w:w="3760" w:type="dxa"/>
            <w:vAlign w:val="bottom"/>
          </w:tcPr>
          <w:p>
            <w:pPr>
              <w:spacing w:after="0" w:line="159" w:lineRule="exact"/>
              <w:rPr>
                <w:sz w:val="20"/>
                <w:szCs w:val="20"/>
                <w:color w:val="auto"/>
              </w:rPr>
            </w:pPr>
            <w:r>
              <w:rPr>
                <w:rFonts w:ascii="Arial" w:cs="Arial" w:eastAsia="Arial" w:hAnsi="Arial"/>
                <w:sz w:val="16"/>
                <w:szCs w:val="16"/>
                <w:color w:val="auto"/>
              </w:rPr>
              <w:t>in time)</w:t>
            </w:r>
          </w:p>
        </w:tc>
        <w:tc>
          <w:tcPr>
            <w:tcW w:w="2480" w:type="dxa"/>
            <w:vAlign w:val="bottom"/>
          </w:tcPr>
          <w:p>
            <w:pPr>
              <w:ind w:left="20"/>
              <w:spacing w:after="0" w:line="159" w:lineRule="exact"/>
              <w:rPr>
                <w:sz w:val="20"/>
                <w:szCs w:val="20"/>
                <w:color w:val="auto"/>
              </w:rPr>
            </w:pPr>
            <w:r>
              <w:rPr>
                <w:rFonts w:ascii="Arial" w:cs="Arial" w:eastAsia="Arial" w:hAnsi="Arial"/>
                <w:sz w:val="16"/>
                <w:szCs w:val="16"/>
                <w:color w:val="auto"/>
              </w:rPr>
              <w:t>for certain subscription licenses</w:t>
            </w:r>
          </w:p>
        </w:tc>
        <w:tc>
          <w:tcPr>
            <w:tcW w:w="2520" w:type="dxa"/>
            <w:vAlign w:val="bottom"/>
          </w:tcPr>
          <w:p>
            <w:pPr>
              <w:spacing w:after="0"/>
              <w:rPr>
                <w:sz w:val="13"/>
                <w:szCs w:val="13"/>
                <w:color w:val="auto"/>
              </w:rPr>
            </w:pPr>
          </w:p>
        </w:tc>
      </w:tr>
      <w:tr>
        <w:trPr>
          <w:trHeight w:val="210"/>
        </w:trPr>
        <w:tc>
          <w:tcPr>
            <w:tcW w:w="3760" w:type="dxa"/>
            <w:vAlign w:val="bottom"/>
          </w:tcPr>
          <w:p>
            <w:pPr>
              <w:spacing w:after="0"/>
              <w:rPr>
                <w:sz w:val="18"/>
                <w:szCs w:val="18"/>
                <w:color w:val="auto"/>
              </w:rPr>
            </w:pPr>
          </w:p>
        </w:tc>
        <w:tc>
          <w:tcPr>
            <w:tcW w:w="2480" w:type="dxa"/>
            <w:vAlign w:val="bottom"/>
          </w:tcPr>
          <w:p>
            <w:pPr>
              <w:ind w:left="20"/>
              <w:spacing w:after="0"/>
              <w:rPr>
                <w:sz w:val="20"/>
                <w:szCs w:val="20"/>
                <w:color w:val="auto"/>
              </w:rPr>
            </w:pPr>
            <w:r>
              <w:rPr>
                <w:rFonts w:ascii="Arial" w:cs="Arial" w:eastAsia="Arial" w:hAnsi="Arial"/>
                <w:sz w:val="16"/>
                <w:szCs w:val="16"/>
                <w:color w:val="auto"/>
              </w:rPr>
              <w:t>which are paid for over time</w:t>
            </w:r>
          </w:p>
        </w:tc>
        <w:tc>
          <w:tcPr>
            <w:tcW w:w="2520" w:type="dxa"/>
            <w:vAlign w:val="bottom"/>
          </w:tcPr>
          <w:p>
            <w:pPr>
              <w:spacing w:after="0"/>
              <w:rPr>
                <w:sz w:val="18"/>
                <w:szCs w:val="18"/>
                <w:color w:val="auto"/>
              </w:rPr>
            </w:pPr>
          </w:p>
        </w:tc>
      </w:tr>
      <w:tr>
        <w:trPr>
          <w:trHeight w:val="161"/>
        </w:trPr>
        <w:tc>
          <w:tcPr>
            <w:tcW w:w="3760" w:type="dxa"/>
            <w:vAlign w:val="bottom"/>
          </w:tcPr>
          <w:p>
            <w:pPr>
              <w:spacing w:after="0" w:line="161" w:lineRule="exact"/>
              <w:rPr>
                <w:sz w:val="20"/>
                <w:szCs w:val="20"/>
                <w:color w:val="auto"/>
              </w:rPr>
            </w:pPr>
            <w:r>
              <w:rPr>
                <w:rFonts w:ascii="Arial" w:cs="Arial" w:eastAsia="Arial" w:hAnsi="Arial"/>
                <w:sz w:val="16"/>
                <w:szCs w:val="16"/>
                <w:color w:val="auto"/>
              </w:rPr>
              <w:t>Ratably over the course of the support contract (over</w:t>
            </w:r>
          </w:p>
        </w:tc>
        <w:tc>
          <w:tcPr>
            <w:tcW w:w="2480" w:type="dxa"/>
            <w:vAlign w:val="bottom"/>
          </w:tcPr>
          <w:p>
            <w:pPr>
              <w:ind w:left="20"/>
              <w:spacing w:after="0" w:line="161" w:lineRule="exact"/>
              <w:rPr>
                <w:sz w:val="20"/>
                <w:szCs w:val="20"/>
                <w:color w:val="auto"/>
              </w:rPr>
            </w:pPr>
            <w:r>
              <w:rPr>
                <w:rFonts w:ascii="Arial" w:cs="Arial" w:eastAsia="Arial" w:hAnsi="Arial"/>
                <w:sz w:val="16"/>
                <w:szCs w:val="16"/>
                <w:color w:val="auto"/>
              </w:rPr>
              <w:t>At the beginning of the contract</w:t>
            </w:r>
          </w:p>
        </w:tc>
        <w:tc>
          <w:tcPr>
            <w:tcW w:w="2520" w:type="dxa"/>
            <w:vAlign w:val="bottom"/>
          </w:tcPr>
          <w:p>
            <w:pPr>
              <w:ind w:left="40"/>
              <w:spacing w:after="0" w:line="161" w:lineRule="exact"/>
              <w:rPr>
                <w:sz w:val="20"/>
                <w:szCs w:val="20"/>
                <w:color w:val="auto"/>
              </w:rPr>
            </w:pPr>
            <w:r>
              <w:rPr>
                <w:rFonts w:ascii="Arial" w:cs="Arial" w:eastAsia="Arial" w:hAnsi="Arial"/>
                <w:sz w:val="16"/>
                <w:szCs w:val="16"/>
                <w:color w:val="auto"/>
                <w:w w:val="98"/>
              </w:rPr>
              <w:t>Observable in renewal transactions</w:t>
            </w:r>
          </w:p>
        </w:tc>
      </w:tr>
      <w:tr>
        <w:trPr>
          <w:trHeight w:val="210"/>
        </w:trPr>
        <w:tc>
          <w:tcPr>
            <w:tcW w:w="3760" w:type="dxa"/>
            <w:vAlign w:val="bottom"/>
          </w:tcPr>
          <w:p>
            <w:pPr>
              <w:spacing w:after="0"/>
              <w:rPr>
                <w:sz w:val="20"/>
                <w:szCs w:val="20"/>
                <w:color w:val="auto"/>
              </w:rPr>
            </w:pPr>
            <w:r>
              <w:rPr>
                <w:rFonts w:ascii="Arial" w:cs="Arial" w:eastAsia="Arial" w:hAnsi="Arial"/>
                <w:sz w:val="16"/>
                <w:szCs w:val="16"/>
                <w:color w:val="auto"/>
              </w:rPr>
              <w:t>time)</w:t>
            </w:r>
          </w:p>
        </w:tc>
        <w:tc>
          <w:tcPr>
            <w:tcW w:w="2480" w:type="dxa"/>
            <w:vAlign w:val="bottom"/>
          </w:tcPr>
          <w:p>
            <w:pPr>
              <w:ind w:left="20"/>
              <w:spacing w:after="0"/>
              <w:rPr>
                <w:sz w:val="20"/>
                <w:szCs w:val="20"/>
                <w:color w:val="auto"/>
              </w:rPr>
            </w:pPr>
            <w:r>
              <w:rPr>
                <w:rFonts w:ascii="Arial" w:cs="Arial" w:eastAsia="Arial" w:hAnsi="Arial"/>
                <w:sz w:val="16"/>
                <w:szCs w:val="16"/>
                <w:color w:val="auto"/>
              </w:rPr>
              <w:t>period</w:t>
            </w:r>
          </w:p>
        </w:tc>
        <w:tc>
          <w:tcPr>
            <w:tcW w:w="2520" w:type="dxa"/>
            <w:vAlign w:val="bottom"/>
          </w:tcPr>
          <w:p>
            <w:pPr>
              <w:spacing w:after="0"/>
              <w:rPr>
                <w:sz w:val="18"/>
                <w:szCs w:val="18"/>
                <w:color w:val="auto"/>
              </w:rPr>
            </w:pPr>
          </w:p>
        </w:tc>
      </w:tr>
      <w:tr>
        <w:trPr>
          <w:trHeight w:val="161"/>
        </w:trPr>
        <w:tc>
          <w:tcPr>
            <w:tcW w:w="3760" w:type="dxa"/>
            <w:vAlign w:val="bottom"/>
          </w:tcPr>
          <w:p>
            <w:pPr>
              <w:spacing w:after="0" w:line="161" w:lineRule="exact"/>
              <w:rPr>
                <w:sz w:val="20"/>
                <w:szCs w:val="20"/>
                <w:color w:val="auto"/>
              </w:rPr>
            </w:pPr>
            <w:r>
              <w:rPr>
                <w:rFonts w:ascii="Arial" w:cs="Arial" w:eastAsia="Arial" w:hAnsi="Arial"/>
                <w:sz w:val="16"/>
                <w:szCs w:val="16"/>
                <w:color w:val="auto"/>
                <w:w w:val="99"/>
              </w:rPr>
              <w:t>Ratably over the course of the contract (over time) or</w:t>
            </w:r>
          </w:p>
        </w:tc>
        <w:tc>
          <w:tcPr>
            <w:tcW w:w="2480" w:type="dxa"/>
            <w:vAlign w:val="bottom"/>
          </w:tcPr>
          <w:p>
            <w:pPr>
              <w:ind w:left="20"/>
              <w:spacing w:after="0" w:line="161" w:lineRule="exact"/>
              <w:rPr>
                <w:sz w:val="20"/>
                <w:szCs w:val="20"/>
                <w:color w:val="auto"/>
              </w:rPr>
            </w:pPr>
            <w:r>
              <w:rPr>
                <w:rFonts w:ascii="Arial" w:cs="Arial" w:eastAsia="Arial" w:hAnsi="Arial"/>
                <w:sz w:val="16"/>
                <w:szCs w:val="16"/>
                <w:color w:val="auto"/>
              </w:rPr>
              <w:t>Annually or at the beginning of the</w:t>
            </w:r>
          </w:p>
        </w:tc>
        <w:tc>
          <w:tcPr>
            <w:tcW w:w="2520" w:type="dxa"/>
            <w:vAlign w:val="bottom"/>
          </w:tcPr>
          <w:p>
            <w:pPr>
              <w:ind w:left="40"/>
              <w:spacing w:after="0" w:line="161" w:lineRule="exact"/>
              <w:rPr>
                <w:sz w:val="20"/>
                <w:szCs w:val="20"/>
                <w:color w:val="auto"/>
              </w:rPr>
            </w:pPr>
            <w:r>
              <w:rPr>
                <w:rFonts w:ascii="Arial" w:cs="Arial" w:eastAsia="Arial" w:hAnsi="Arial"/>
                <w:sz w:val="16"/>
                <w:szCs w:val="16"/>
                <w:color w:val="auto"/>
              </w:rPr>
              <w:t>Observable in transactions without</w:t>
            </w:r>
          </w:p>
        </w:tc>
      </w:tr>
      <w:tr>
        <w:trPr>
          <w:trHeight w:val="159"/>
        </w:trPr>
        <w:tc>
          <w:tcPr>
            <w:tcW w:w="3760" w:type="dxa"/>
            <w:vAlign w:val="bottom"/>
          </w:tcPr>
          <w:p>
            <w:pPr>
              <w:spacing w:after="0" w:line="159" w:lineRule="exact"/>
              <w:rPr>
                <w:sz w:val="20"/>
                <w:szCs w:val="20"/>
                <w:color w:val="auto"/>
              </w:rPr>
            </w:pPr>
            <w:r>
              <w:rPr>
                <w:rFonts w:ascii="Arial" w:cs="Arial" w:eastAsia="Arial" w:hAnsi="Arial"/>
                <w:sz w:val="16"/>
                <w:szCs w:val="16"/>
                <w:color w:val="auto"/>
              </w:rPr>
              <w:t>as services are consumed for consumption-based</w:t>
            </w:r>
          </w:p>
        </w:tc>
        <w:tc>
          <w:tcPr>
            <w:tcW w:w="2480" w:type="dxa"/>
            <w:vAlign w:val="bottom"/>
          </w:tcPr>
          <w:p>
            <w:pPr>
              <w:ind w:left="20"/>
              <w:spacing w:after="0" w:line="159" w:lineRule="exact"/>
              <w:rPr>
                <w:sz w:val="20"/>
                <w:szCs w:val="20"/>
                <w:color w:val="auto"/>
              </w:rPr>
            </w:pPr>
            <w:r>
              <w:rPr>
                <w:rFonts w:ascii="Arial" w:cs="Arial" w:eastAsia="Arial" w:hAnsi="Arial"/>
                <w:sz w:val="16"/>
                <w:szCs w:val="16"/>
                <w:color w:val="auto"/>
              </w:rPr>
              <w:t>contract period</w:t>
            </w:r>
          </w:p>
        </w:tc>
        <w:tc>
          <w:tcPr>
            <w:tcW w:w="2520" w:type="dxa"/>
            <w:vAlign w:val="bottom"/>
          </w:tcPr>
          <w:p>
            <w:pPr>
              <w:ind w:left="40"/>
              <w:spacing w:after="0" w:line="159" w:lineRule="exact"/>
              <w:rPr>
                <w:sz w:val="20"/>
                <w:szCs w:val="20"/>
                <w:color w:val="auto"/>
              </w:rPr>
            </w:pPr>
            <w:r>
              <w:rPr>
                <w:rFonts w:ascii="Arial" w:cs="Arial" w:eastAsia="Arial" w:hAnsi="Arial"/>
                <w:sz w:val="16"/>
                <w:szCs w:val="16"/>
                <w:color w:val="auto"/>
              </w:rPr>
              <w:t>multiple performance obligations</w:t>
            </w:r>
          </w:p>
        </w:tc>
      </w:tr>
      <w:tr>
        <w:trPr>
          <w:trHeight w:val="210"/>
        </w:trPr>
        <w:tc>
          <w:tcPr>
            <w:tcW w:w="3760" w:type="dxa"/>
            <w:vAlign w:val="bottom"/>
          </w:tcPr>
          <w:p>
            <w:pPr>
              <w:spacing w:after="0"/>
              <w:rPr>
                <w:sz w:val="20"/>
                <w:szCs w:val="20"/>
                <w:color w:val="auto"/>
              </w:rPr>
            </w:pPr>
            <w:r>
              <w:rPr>
                <w:rFonts w:ascii="Arial" w:cs="Arial" w:eastAsia="Arial" w:hAnsi="Arial"/>
                <w:sz w:val="16"/>
                <w:szCs w:val="16"/>
                <w:color w:val="auto"/>
              </w:rPr>
              <w:t>arrangements</w:t>
            </w:r>
          </w:p>
        </w:tc>
        <w:tc>
          <w:tcPr>
            <w:tcW w:w="2480" w:type="dxa"/>
            <w:vAlign w:val="bottom"/>
          </w:tcPr>
          <w:p>
            <w:pPr>
              <w:spacing w:after="0"/>
              <w:rPr>
                <w:sz w:val="18"/>
                <w:szCs w:val="18"/>
                <w:color w:val="auto"/>
              </w:rPr>
            </w:pPr>
          </w:p>
        </w:tc>
        <w:tc>
          <w:tcPr>
            <w:tcW w:w="25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1270</wp:posOffset>
            </wp:positionV>
            <wp:extent cx="7117715"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7715" cy="13462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1700" w:space="460"/>
            <w:col w:w="908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8120" w:type="dxa"/>
            <w:vAlign w:val="bottom"/>
          </w:tcPr>
          <w:p>
            <w:pPr>
              <w:ind w:left="140"/>
              <w:spacing w:after="0"/>
              <w:rPr>
                <w:sz w:val="20"/>
                <w:szCs w:val="20"/>
                <w:color w:val="auto"/>
              </w:rPr>
            </w:pPr>
            <w:r>
              <w:rPr>
                <w:rFonts w:ascii="Arial" w:cs="Arial" w:eastAsia="Arial" w:hAnsi="Arial"/>
                <w:sz w:val="16"/>
                <w:szCs w:val="16"/>
                <w:color w:val="auto"/>
              </w:rPr>
              <w:t>Perpetual software licenses Upon delivery or made available for download (point  Within 90 days of shipment</w:t>
            </w:r>
          </w:p>
        </w:tc>
        <w:tc>
          <w:tcPr>
            <w:tcW w:w="3080" w:type="dxa"/>
            <w:vAlign w:val="bottom"/>
          </w:tcPr>
          <w:p>
            <w:pPr>
              <w:ind w:left="300"/>
              <w:spacing w:after="0"/>
              <w:rPr>
                <w:sz w:val="20"/>
                <w:szCs w:val="20"/>
                <w:color w:val="auto"/>
              </w:rPr>
            </w:pPr>
            <w:r>
              <w:rPr>
                <w:rFonts w:ascii="Arial" w:cs="Arial" w:eastAsia="Arial" w:hAnsi="Arial"/>
                <w:sz w:val="16"/>
                <w:szCs w:val="16"/>
                <w:color w:val="auto"/>
              </w:rPr>
              <w:t>Residual approach</w:t>
            </w:r>
          </w:p>
        </w:tc>
      </w:tr>
      <w:tr>
        <w:trPr>
          <w:trHeight w:val="211"/>
        </w:trPr>
        <w:tc>
          <w:tcPr>
            <w:tcW w:w="8120" w:type="dxa"/>
            <w:vAlign w:val="bottom"/>
          </w:tcPr>
          <w:p>
            <w:pPr>
              <w:ind w:left="2140"/>
              <w:spacing w:after="0"/>
              <w:rPr>
                <w:sz w:val="20"/>
                <w:szCs w:val="20"/>
                <w:color w:val="auto"/>
              </w:rPr>
            </w:pPr>
            <w:r>
              <w:rPr>
                <w:rFonts w:ascii="Arial" w:cs="Arial" w:eastAsia="Arial" w:hAnsi="Arial"/>
                <w:sz w:val="16"/>
                <w:szCs w:val="16"/>
                <w:color w:val="auto"/>
              </w:rPr>
              <w:t>in time)</w:t>
            </w:r>
          </w:p>
        </w:tc>
        <w:tc>
          <w:tcPr>
            <w:tcW w:w="3080" w:type="dxa"/>
            <w:vAlign w:val="bottom"/>
          </w:tcPr>
          <w:p>
            <w:pPr>
              <w:spacing w:after="0"/>
              <w:rPr>
                <w:sz w:val="18"/>
                <w:szCs w:val="18"/>
                <w:color w:val="auto"/>
              </w:rPr>
            </w:pPr>
          </w:p>
        </w:tc>
      </w:tr>
      <w:tr>
        <w:trPr>
          <w:trHeight w:val="213"/>
        </w:trPr>
        <w:tc>
          <w:tcPr>
            <w:tcW w:w="8120" w:type="dxa"/>
            <w:vAlign w:val="bottom"/>
            <w:shd w:val="clear" w:color="auto" w:fill="EAEAEA"/>
          </w:tcPr>
          <w:p>
            <w:pPr>
              <w:ind w:left="20"/>
              <w:spacing w:after="0"/>
              <w:rPr>
                <w:sz w:val="20"/>
                <w:szCs w:val="20"/>
                <w:color w:val="auto"/>
              </w:rPr>
            </w:pPr>
            <w:r>
              <w:rPr>
                <w:rFonts w:ascii="Arial" w:cs="Arial" w:eastAsia="Arial" w:hAnsi="Arial"/>
                <w:sz w:val="16"/>
                <w:szCs w:val="16"/>
                <w:b w:val="1"/>
                <w:bCs w:val="1"/>
                <w:i w:val="1"/>
                <w:iCs w:val="1"/>
                <w:color w:val="auto"/>
              </w:rPr>
              <w:t>Perpetual Support</w:t>
            </w:r>
          </w:p>
        </w:tc>
        <w:tc>
          <w:tcPr>
            <w:tcW w:w="3080" w:type="dxa"/>
            <w:vAlign w:val="bottom"/>
            <w:shd w:val="clear" w:color="auto" w:fill="EAEAEA"/>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ind w:left="160"/>
        <w:spacing w:after="0"/>
        <w:tabs>
          <w:tab w:leader="none" w:pos="2140" w:val="left"/>
        </w:tabs>
        <w:rPr>
          <w:sz w:val="20"/>
          <w:szCs w:val="20"/>
          <w:color w:val="auto"/>
        </w:rPr>
      </w:pPr>
      <w:r>
        <w:rPr>
          <w:rFonts w:ascii="Arial" w:cs="Arial" w:eastAsia="Arial" w:hAnsi="Arial"/>
          <w:sz w:val="16"/>
          <w:szCs w:val="16"/>
          <w:color w:val="auto"/>
        </w:rPr>
        <w:t>Perpetual support</w:t>
      </w:r>
      <w:r>
        <w:rPr>
          <w:sz w:val="20"/>
          <w:szCs w:val="20"/>
          <w:color w:val="auto"/>
        </w:rPr>
        <w:tab/>
      </w:r>
      <w:r>
        <w:rPr>
          <w:rFonts w:ascii="Arial" w:cs="Arial" w:eastAsia="Arial" w:hAnsi="Arial"/>
          <w:sz w:val="15"/>
          <w:szCs w:val="15"/>
          <w:color w:val="auto"/>
        </w:rPr>
        <w:t>Ratably over the course of the support contract (over</w:t>
      </w:r>
    </w:p>
    <w:p>
      <w:pPr>
        <w:ind w:left="216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ind w:right="320"/>
        <w:spacing w:after="0"/>
        <w:rPr>
          <w:sz w:val="20"/>
          <w:szCs w:val="20"/>
          <w:color w:val="auto"/>
        </w:rPr>
      </w:pPr>
      <w:r>
        <w:rPr>
          <w:rFonts w:ascii="Arial" w:cs="Arial" w:eastAsia="Arial" w:hAnsi="Arial"/>
          <w:sz w:val="16"/>
          <w:szCs w:val="16"/>
          <w:color w:val="auto"/>
        </w:rPr>
        <w:t>At the beginning of the contract Observable in renewal transactions period</w:t>
      </w:r>
    </w:p>
    <w:p>
      <w:pPr>
        <w:spacing w:after="0" w:line="20" w:lineRule="exact"/>
        <w:rPr>
          <w:sz w:val="20"/>
          <w:szCs w:val="20"/>
          <w:color w:val="auto"/>
        </w:rPr>
      </w:pPr>
    </w:p>
    <w:p>
      <w:pPr>
        <w:sectPr>
          <w:pgSz w:w="11900" w:h="16838" w:orient="portrait"/>
          <w:cols w:equalWidth="0" w:num="2">
            <w:col w:w="5860" w:space="80"/>
            <w:col w:w="5300"/>
          </w:cols>
          <w:pgMar w:left="32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5180" w:type="dxa"/>
            <w:vAlign w:val="bottom"/>
            <w:shd w:val="clear" w:color="auto" w:fill="EAEAEA"/>
          </w:tcPr>
          <w:p>
            <w:pPr>
              <w:ind w:left="20"/>
              <w:spacing w:after="0"/>
              <w:rPr>
                <w:sz w:val="20"/>
                <w:szCs w:val="20"/>
                <w:color w:val="auto"/>
              </w:rPr>
            </w:pPr>
            <w:r>
              <w:rPr>
                <w:rFonts w:ascii="Arial" w:cs="Arial" w:eastAsia="Arial" w:hAnsi="Arial"/>
                <w:sz w:val="16"/>
                <w:szCs w:val="16"/>
                <w:b w:val="1"/>
                <w:bCs w:val="1"/>
                <w:i w:val="1"/>
                <w:iCs w:val="1"/>
                <w:color w:val="auto"/>
              </w:rPr>
              <w:t>Other Services</w:t>
            </w:r>
          </w:p>
        </w:tc>
        <w:tc>
          <w:tcPr>
            <w:tcW w:w="3140" w:type="dxa"/>
            <w:vAlign w:val="bottom"/>
            <w:shd w:val="clear" w:color="auto" w:fill="EAEAEA"/>
          </w:tcPr>
          <w:p>
            <w:pPr>
              <w:spacing w:after="0"/>
              <w:rPr>
                <w:sz w:val="16"/>
                <w:szCs w:val="16"/>
                <w:color w:val="auto"/>
              </w:rPr>
            </w:pPr>
          </w:p>
        </w:tc>
        <w:tc>
          <w:tcPr>
            <w:tcW w:w="2880" w:type="dxa"/>
            <w:vAlign w:val="bottom"/>
            <w:shd w:val="clear" w:color="auto" w:fill="EAEAEA"/>
          </w:tcPr>
          <w:p>
            <w:pPr>
              <w:spacing w:after="0"/>
              <w:rPr>
                <w:sz w:val="16"/>
                <w:szCs w:val="16"/>
                <w:color w:val="auto"/>
              </w:rPr>
            </w:pPr>
          </w:p>
        </w:tc>
      </w:tr>
      <w:tr>
        <w:trPr>
          <w:trHeight w:val="159"/>
        </w:trPr>
        <w:tc>
          <w:tcPr>
            <w:tcW w:w="5180" w:type="dxa"/>
            <w:vAlign w:val="bottom"/>
          </w:tcPr>
          <w:p>
            <w:pPr>
              <w:ind w:left="140"/>
              <w:spacing w:after="0" w:line="159" w:lineRule="exact"/>
              <w:rPr>
                <w:sz w:val="20"/>
                <w:szCs w:val="20"/>
                <w:color w:val="auto"/>
              </w:rPr>
            </w:pPr>
            <w:r>
              <w:rPr>
                <w:rFonts w:ascii="Arial" w:cs="Arial" w:eastAsia="Arial" w:hAnsi="Arial"/>
                <w:sz w:val="16"/>
                <w:szCs w:val="16"/>
                <w:color w:val="auto"/>
              </w:rPr>
              <w:t>Other professional services As work is performed (over time)</w:t>
            </w:r>
          </w:p>
        </w:tc>
        <w:tc>
          <w:tcPr>
            <w:tcW w:w="3140" w:type="dxa"/>
            <w:vAlign w:val="bottom"/>
          </w:tcPr>
          <w:p>
            <w:pPr>
              <w:ind w:left="740"/>
              <w:spacing w:after="0" w:line="159" w:lineRule="exact"/>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100"/>
              <w:spacing w:after="0" w:line="159" w:lineRule="exact"/>
              <w:rPr>
                <w:sz w:val="20"/>
                <w:szCs w:val="20"/>
                <w:color w:val="auto"/>
              </w:rPr>
            </w:pPr>
            <w:r>
              <w:rPr>
                <w:rFonts w:ascii="Arial" w:cs="Arial" w:eastAsia="Arial" w:hAnsi="Arial"/>
                <w:sz w:val="16"/>
                <w:szCs w:val="16"/>
                <w:color w:val="auto"/>
              </w:rPr>
              <w:t>Observable in transactions without</w:t>
            </w:r>
          </w:p>
        </w:tc>
      </w:tr>
      <w:tr>
        <w:trPr>
          <w:trHeight w:val="210"/>
        </w:trPr>
        <w:tc>
          <w:tcPr>
            <w:tcW w:w="5180" w:type="dxa"/>
            <w:vAlign w:val="bottom"/>
          </w:tcPr>
          <w:p>
            <w:pPr>
              <w:spacing w:after="0"/>
              <w:rPr>
                <w:sz w:val="18"/>
                <w:szCs w:val="18"/>
                <w:color w:val="auto"/>
              </w:rPr>
            </w:pPr>
          </w:p>
        </w:tc>
        <w:tc>
          <w:tcPr>
            <w:tcW w:w="3140" w:type="dxa"/>
            <w:vAlign w:val="bottom"/>
          </w:tcPr>
          <w:p>
            <w:pPr>
              <w:ind w:left="740"/>
              <w:spacing w:after="0"/>
              <w:rPr>
                <w:sz w:val="20"/>
                <w:szCs w:val="20"/>
                <w:color w:val="auto"/>
              </w:rPr>
            </w:pPr>
            <w:r>
              <w:rPr>
                <w:rFonts w:ascii="Arial" w:cs="Arial" w:eastAsia="Arial" w:hAnsi="Arial"/>
                <w:sz w:val="16"/>
                <w:szCs w:val="16"/>
                <w:color w:val="auto"/>
              </w:rPr>
              <w:t>performed</w:t>
            </w:r>
          </w:p>
        </w:tc>
        <w:tc>
          <w:tcPr>
            <w:tcW w:w="2880" w:type="dxa"/>
            <w:vAlign w:val="bottom"/>
          </w:tcPr>
          <w:p>
            <w:pPr>
              <w:ind w:left="100"/>
              <w:spacing w:after="0"/>
              <w:rPr>
                <w:sz w:val="20"/>
                <w:szCs w:val="20"/>
                <w:color w:val="auto"/>
              </w:rPr>
            </w:pPr>
            <w:r>
              <w:rPr>
                <w:rFonts w:ascii="Arial" w:cs="Arial" w:eastAsia="Arial" w:hAnsi="Arial"/>
                <w:sz w:val="16"/>
                <w:szCs w:val="16"/>
                <w:color w:val="auto"/>
              </w:rPr>
              <w:t>multiple performance obligations</w:t>
            </w:r>
          </w:p>
        </w:tc>
      </w:tr>
    </w:tbl>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Judgments Related to Revenue Recognition</w:t>
      </w:r>
    </w:p>
    <w:p>
      <w:pPr>
        <w:spacing w:after="0" w:line="164"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evaluate and account for individual performance obligations separately if they are determined to be distinct. The transaction price is allocated to the separate performance obligations on a relative standalone selling price basis. Standalone selling prices of software licenses (both term-based and perpetual) are typically estimated using the residual approach. Standalone selling prices for SaaS, customer support contracts (both term-based and perpetual), and other services are typically estimated based on observable transactions when these services are sold on a standalone basis. We recognize revenue net of sales tax.</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Disaggregation of Revenues</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We disaggregate revenues from contracts with customers by geographical region. Our Americas region includes the United States, Canada, and Latin America. Our International region primarily includes Europe, the Middle East, Africa, Australia, India, and Southeast Asia.</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78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Six Months Ended September 30,</w:t>
            </w:r>
          </w:p>
        </w:tc>
      </w:tr>
      <w:tr>
        <w:trPr>
          <w:trHeight w:val="205"/>
        </w:trPr>
        <w:tc>
          <w:tcPr>
            <w:tcW w:w="5220" w:type="dxa"/>
            <w:vAlign w:val="bottom"/>
            <w:tcBorders>
              <w:bottom w:val="single" w:sz="8" w:color="EAEAEA"/>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EAEAEA"/>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EAEAEA"/>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r>
      <w:tr>
        <w:trPr>
          <w:trHeight w:val="205"/>
        </w:trPr>
        <w:tc>
          <w:tcPr>
            <w:tcW w:w="5220" w:type="dxa"/>
            <w:vAlign w:val="bottom"/>
            <w:shd w:val="clear" w:color="auto" w:fill="EAEAEA"/>
          </w:tcPr>
          <w:p>
            <w:pPr>
              <w:ind w:left="20"/>
              <w:spacing w:after="0"/>
              <w:rPr>
                <w:sz w:val="20"/>
                <w:szCs w:val="20"/>
                <w:color w:val="auto"/>
              </w:rPr>
            </w:pPr>
            <w:r>
              <w:rPr>
                <w:rFonts w:ascii="Arial" w:cs="Arial" w:eastAsia="Arial" w:hAnsi="Arial"/>
                <w:sz w:val="16"/>
                <w:szCs w:val="16"/>
                <w:color w:val="auto"/>
              </w:rPr>
              <w:t>Americas</w:t>
            </w:r>
          </w:p>
        </w:tc>
        <w:tc>
          <w:tcPr>
            <w:tcW w:w="10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194,103</w:t>
            </w: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168,125</w:t>
            </w:r>
          </w:p>
        </w:tc>
        <w:tc>
          <w:tcPr>
            <w:tcW w:w="140" w:type="dxa"/>
            <w:vAlign w:val="bottom"/>
            <w:shd w:val="clear" w:color="auto" w:fill="EAEAEA"/>
          </w:tcPr>
          <w:p>
            <w:pPr>
              <w:spacing w:after="0"/>
              <w:rPr>
                <w:sz w:val="17"/>
                <w:szCs w:val="17"/>
                <w:color w:val="auto"/>
              </w:rPr>
            </w:pPr>
          </w:p>
        </w:tc>
        <w:tc>
          <w:tcPr>
            <w:tcW w:w="14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380,882</w:t>
            </w:r>
          </w:p>
        </w:tc>
        <w:tc>
          <w:tcPr>
            <w:tcW w:w="120" w:type="dxa"/>
            <w:vAlign w:val="bottom"/>
            <w:shd w:val="clear" w:color="auto" w:fill="EAEAEA"/>
          </w:tcPr>
          <w:p>
            <w:pPr>
              <w:spacing w:after="0"/>
              <w:rPr>
                <w:sz w:val="17"/>
                <w:szCs w:val="17"/>
                <w:color w:val="auto"/>
              </w:rPr>
            </w:pPr>
          </w:p>
        </w:tc>
        <w:tc>
          <w:tcPr>
            <w:tcW w:w="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339,053</w:t>
            </w:r>
          </w:p>
        </w:tc>
      </w:tr>
      <w:tr>
        <w:trPr>
          <w:trHeight w:val="211"/>
        </w:trPr>
        <w:tc>
          <w:tcPr>
            <w:tcW w:w="522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118,286</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108,063</w:t>
            </w:r>
          </w:p>
        </w:tc>
        <w:tc>
          <w:tcPr>
            <w:tcW w:w="14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245,638</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219,113</w:t>
            </w:r>
          </w:p>
        </w:tc>
      </w:tr>
      <w:tr>
        <w:trPr>
          <w:trHeight w:val="231"/>
        </w:trPr>
        <w:tc>
          <w:tcPr>
            <w:tcW w:w="522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312,389</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276,188</w:t>
            </w:r>
          </w:p>
        </w:tc>
        <w:tc>
          <w:tcPr>
            <w:tcW w:w="14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626,520</w:t>
            </w:r>
          </w:p>
        </w:tc>
        <w:tc>
          <w:tcPr>
            <w:tcW w:w="12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auto"/>
            </w:tcBorders>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558,166</w:t>
            </w:r>
          </w:p>
        </w:tc>
      </w:tr>
      <w:tr>
        <w:trPr>
          <w:trHeight w:val="20"/>
        </w:trPr>
        <w:tc>
          <w:tcPr>
            <w:tcW w:w="522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EAEAEA"/>
              <w:bottom w:val="single" w:sz="8" w:color="auto"/>
            </w:tcBorders>
          </w:tcPr>
          <w:p>
            <w:pPr>
              <w:spacing w:after="0" w:line="20" w:lineRule="exact"/>
              <w:rPr>
                <w:sz w:val="1"/>
                <w:szCs w:val="1"/>
                <w:color w:val="auto"/>
              </w:rPr>
            </w:pPr>
          </w:p>
        </w:tc>
        <w:tc>
          <w:tcPr>
            <w:tcW w:w="13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4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Remaining Performance Obligations</w:t>
      </w:r>
    </w:p>
    <w:p>
      <w:pPr>
        <w:spacing w:after="0" w:line="164" w:lineRule="exact"/>
        <w:rPr>
          <w:sz w:val="20"/>
          <w:szCs w:val="20"/>
          <w:color w:val="auto"/>
        </w:rPr>
      </w:pPr>
    </w:p>
    <w:p>
      <w:pPr>
        <w:jc w:val="both"/>
        <w:ind w:right="100" w:firstLine="636"/>
        <w:spacing w:after="0" w:line="253" w:lineRule="auto"/>
        <w:rPr>
          <w:sz w:val="20"/>
          <w:szCs w:val="20"/>
          <w:color w:val="auto"/>
        </w:rPr>
      </w:pPr>
      <w:r>
        <w:rPr>
          <w:rFonts w:ascii="Arial" w:cs="Arial" w:eastAsia="Arial" w:hAnsi="Arial"/>
          <w:sz w:val="18"/>
          <w:szCs w:val="18"/>
          <w:color w:val="auto"/>
        </w:rPr>
        <w:t>Remaining performance obligations represent expected future revenue from existing contracts where performance obligations are unsatisfied or partially unsatisfied at the end of the reporting period. Remaining performance obligations include unfulfilled contracts at the end of a given period and can include subscription arrangements (term-based licenses, term-based support, and SaaS), perpetual support, and other services. As of September 30, 2026, our remaining performance obligations (inclusive of deferred revenue) were $1,074,729, of which approximately 58% is expected to be recognized as revenue over the next twelve months and the remainder recognized thereafter.</w:t>
      </w:r>
    </w:p>
    <w:p>
      <w:pPr>
        <w:spacing w:after="0" w:line="128" w:lineRule="exact"/>
        <w:rPr>
          <w:sz w:val="20"/>
          <w:szCs w:val="20"/>
          <w:color w:val="auto"/>
        </w:rPr>
      </w:pPr>
    </w:p>
    <w:p>
      <w:pPr>
        <w:jc w:val="both"/>
        <w:ind w:right="100" w:firstLine="636"/>
        <w:spacing w:after="0" w:line="250" w:lineRule="auto"/>
        <w:rPr>
          <w:sz w:val="20"/>
          <w:szCs w:val="20"/>
          <w:color w:val="auto"/>
        </w:rPr>
      </w:pPr>
      <w:r>
        <w:rPr>
          <w:rFonts w:ascii="Arial" w:cs="Arial" w:eastAsia="Arial" w:hAnsi="Arial"/>
          <w:sz w:val="18"/>
          <w:szCs w:val="18"/>
          <w:color w:val="auto"/>
        </w:rPr>
        <w:t>Remaining performance obligations, excluding deferred revenue, related to subscription arrangements and other services were $278,069 and $31,262, respectively. Remaining performance obligations related to perpetual support were not material. Of these balances, we expect approximately 43% of subscription arrangements and 100% of other services to be recognized as revenue over the next twelve months and the remainder recognized thereafter. We expect approximately 13% of subscription arrangements remaining performance obligations to be recognized as revenue in the third quarter of fiscal 2027. These balances represent transactions consisting primarily of early renewals, unbilled and undelivered support and other services, and orders received prior to the last day of the quarter that were not delivered or provisioned to customers.</w:t>
      </w:r>
    </w:p>
    <w:p>
      <w:pPr>
        <w:spacing w:after="0" w:line="134" w:lineRule="exact"/>
        <w:rPr>
          <w:sz w:val="20"/>
          <w:szCs w:val="20"/>
          <w:color w:val="auto"/>
        </w:rPr>
      </w:pPr>
    </w:p>
    <w:p>
      <w:pPr>
        <w:jc w:val="both"/>
        <w:ind w:right="100" w:firstLine="636"/>
        <w:spacing w:after="0" w:line="274" w:lineRule="auto"/>
        <w:rPr>
          <w:sz w:val="20"/>
          <w:szCs w:val="20"/>
          <w:color w:val="auto"/>
        </w:rPr>
      </w:pPr>
      <w:r>
        <w:rPr>
          <w:rFonts w:ascii="Arial" w:cs="Arial" w:eastAsia="Arial" w:hAnsi="Arial"/>
          <w:sz w:val="18"/>
          <w:szCs w:val="18"/>
          <w:color w:val="auto"/>
        </w:rPr>
        <w:t>Remaining performance obligations will fluctuate period to period. We do not believe the amount of remaining performance obligations is indicative of future sales or revenue or that the mix at the end of any given period correlates with actual sales performance.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Information About Contract Balances</w:t>
      </w:r>
    </w:p>
    <w:p>
      <w:pPr>
        <w:spacing w:after="0" w:line="164" w:lineRule="exact"/>
        <w:rPr>
          <w:sz w:val="20"/>
          <w:szCs w:val="20"/>
          <w:color w:val="auto"/>
        </w:rPr>
      </w:pPr>
    </w:p>
    <w:p>
      <w:pPr>
        <w:jc w:val="both"/>
        <w:ind w:right="100" w:firstLine="636"/>
        <w:spacing w:after="0" w:line="274"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SaaS, customer support, and other services.</w:t>
      </w:r>
    </w:p>
    <w:p>
      <w:pPr>
        <w:spacing w:after="0" w:line="110" w:lineRule="exact"/>
        <w:rPr>
          <w:sz w:val="20"/>
          <w:szCs w:val="20"/>
          <w:color w:val="auto"/>
        </w:rPr>
      </w:pPr>
    </w:p>
    <w:p>
      <w:pPr>
        <w:jc w:val="both"/>
        <w:ind w:right="100" w:firstLine="636"/>
        <w:spacing w:after="0" w:line="251" w:lineRule="auto"/>
        <w:rPr>
          <w:sz w:val="20"/>
          <w:szCs w:val="20"/>
          <w:color w:val="auto"/>
        </w:rPr>
      </w:pPr>
      <w:r>
        <w:rPr>
          <w:rFonts w:ascii="Arial" w:cs="Arial" w:eastAsia="Arial" w:hAnsi="Arial"/>
          <w:sz w:val="18"/>
          <w:szCs w:val="18"/>
          <w:color w:val="auto"/>
        </w:rPr>
        <w:t>In some arrangements we allow customers to pay for term-based licenses over the term of the software license. When a term-based license arrangement contains payment terms that extend beyond one year, a significant financing component may exist. The significant financing component is calculated as the difference between the stated value and present value of the license and is recognized as interest income over the extended payment period. The total license fee net of the significant financing component is recognized as revenue at the point in time when the software is transferred to the customer. Interest income from significant financing components was not material for the three and six months ended September 30, 2026 and 2025.</w:t>
      </w:r>
    </w:p>
    <w:p>
      <w:pPr>
        <w:spacing w:after="0" w:line="132" w:lineRule="exact"/>
        <w:rPr>
          <w:sz w:val="20"/>
          <w:szCs w:val="20"/>
          <w:color w:val="auto"/>
        </w:rPr>
      </w:pPr>
    </w:p>
    <w:p>
      <w:pPr>
        <w:jc w:val="both"/>
        <w:ind w:right="100" w:firstLine="636"/>
        <w:spacing w:after="0" w:line="255" w:lineRule="auto"/>
        <w:rPr>
          <w:sz w:val="20"/>
          <w:szCs w:val="20"/>
          <w:color w:val="auto"/>
        </w:rPr>
      </w:pPr>
      <w:r>
        <w:rPr>
          <w:rFonts w:ascii="Arial" w:cs="Arial" w:eastAsia="Arial" w:hAnsi="Arial"/>
          <w:sz w:val="18"/>
          <w:szCs w:val="18"/>
          <w:color w:val="auto"/>
        </w:rPr>
        <w:t>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on the Consolidated Balance Sheets. The opening and closing balances of our accounts receivable, unbilled receivables, and deferred revenues are as follows:</w:t>
      </w:r>
    </w:p>
    <w:p>
      <w:pPr>
        <w:spacing w:after="0" w:line="26"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rPr>
              <w:t>Accounts</w:t>
            </w:r>
          </w:p>
        </w:tc>
        <w:tc>
          <w:tcPr>
            <w:tcW w:w="200" w:type="dxa"/>
            <w:vAlign w:val="bottom"/>
          </w:tcPr>
          <w:p>
            <w:pPr>
              <w:spacing w:after="0"/>
              <w:rPr>
                <w:sz w:val="16"/>
                <w:szCs w:val="16"/>
                <w:color w:val="auto"/>
              </w:rPr>
            </w:pPr>
          </w:p>
        </w:tc>
        <w:tc>
          <w:tcPr>
            <w:tcW w:w="1200" w:type="dxa"/>
            <w:vAlign w:val="bottom"/>
          </w:tcPr>
          <w:p>
            <w:pPr>
              <w:jc w:val="center"/>
              <w:ind w:right="81"/>
              <w:spacing w:after="0"/>
              <w:rPr>
                <w:sz w:val="20"/>
                <w:szCs w:val="20"/>
                <w:color w:val="auto"/>
              </w:rPr>
            </w:pPr>
            <w:r>
              <w:rPr>
                <w:rFonts w:ascii="Arial" w:cs="Arial" w:eastAsia="Arial" w:hAnsi="Arial"/>
                <w:sz w:val="16"/>
                <w:szCs w:val="16"/>
                <w:b w:val="1"/>
                <w:bCs w:val="1"/>
                <w:color w:val="auto"/>
              </w:rPr>
              <w:t>Unbilled</w:t>
            </w:r>
          </w:p>
        </w:tc>
        <w:tc>
          <w:tcPr>
            <w:tcW w:w="200" w:type="dxa"/>
            <w:vAlign w:val="bottom"/>
          </w:tcPr>
          <w:p>
            <w:pPr>
              <w:spacing w:after="0"/>
              <w:rPr>
                <w:sz w:val="16"/>
                <w:szCs w:val="16"/>
                <w:color w:val="auto"/>
              </w:rPr>
            </w:pPr>
          </w:p>
        </w:tc>
        <w:tc>
          <w:tcPr>
            <w:tcW w:w="1220" w:type="dxa"/>
            <w:vAlign w:val="bottom"/>
          </w:tcPr>
          <w:p>
            <w:pPr>
              <w:jc w:val="center"/>
              <w:ind w:right="61"/>
              <w:spacing w:after="0"/>
              <w:rPr>
                <w:sz w:val="20"/>
                <w:szCs w:val="20"/>
                <w:color w:val="auto"/>
              </w:rPr>
            </w:pPr>
            <w:r>
              <w:rPr>
                <w:rFonts w:ascii="Arial" w:cs="Arial" w:eastAsia="Arial" w:hAnsi="Arial"/>
                <w:sz w:val="16"/>
                <w:szCs w:val="16"/>
                <w:b w:val="1"/>
                <w:bCs w:val="1"/>
                <w:color w:val="auto"/>
              </w:rPr>
              <w:t>Unbilled</w:t>
            </w:r>
          </w:p>
        </w:tc>
        <w:tc>
          <w:tcPr>
            <w:tcW w:w="28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9"/>
              </w:rPr>
              <w:t>Deferred Revenue Deferred Revenue</w:t>
            </w: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ind w:right="81"/>
              <w:spacing w:after="0" w:line="159" w:lineRule="exact"/>
              <w:rPr>
                <w:sz w:val="20"/>
                <w:szCs w:val="20"/>
                <w:color w:val="auto"/>
              </w:rPr>
            </w:pPr>
            <w:r>
              <w:rPr>
                <w:rFonts w:ascii="Arial" w:cs="Arial" w:eastAsia="Arial" w:hAnsi="Arial"/>
                <w:sz w:val="16"/>
                <w:szCs w:val="16"/>
                <w:b w:val="1"/>
                <w:bCs w:val="1"/>
                <w:color w:val="auto"/>
              </w:rPr>
              <w:t>Receivable</w:t>
            </w:r>
          </w:p>
        </w:tc>
        <w:tc>
          <w:tcPr>
            <w:tcW w:w="200" w:type="dxa"/>
            <w:vAlign w:val="bottom"/>
          </w:tcPr>
          <w:p>
            <w:pPr>
              <w:spacing w:after="0"/>
              <w:rPr>
                <w:sz w:val="13"/>
                <w:szCs w:val="13"/>
                <w:color w:val="auto"/>
              </w:rPr>
            </w:pPr>
          </w:p>
        </w:tc>
        <w:tc>
          <w:tcPr>
            <w:tcW w:w="1220" w:type="dxa"/>
            <w:vAlign w:val="bottom"/>
          </w:tcPr>
          <w:p>
            <w:pPr>
              <w:jc w:val="center"/>
              <w:ind w:right="61"/>
              <w:spacing w:after="0" w:line="159" w:lineRule="exact"/>
              <w:rPr>
                <w:sz w:val="20"/>
                <w:szCs w:val="20"/>
                <w:color w:val="auto"/>
              </w:rPr>
            </w:pPr>
            <w:r>
              <w:rPr>
                <w:rFonts w:ascii="Arial" w:cs="Arial" w:eastAsia="Arial" w:hAnsi="Arial"/>
                <w:sz w:val="16"/>
                <w:szCs w:val="16"/>
                <w:b w:val="1"/>
                <w:bCs w:val="1"/>
                <w:color w:val="auto"/>
              </w:rPr>
              <w:t>Receivable</w:t>
            </w:r>
          </w:p>
        </w:tc>
        <w:tc>
          <w:tcPr>
            <w:tcW w:w="2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00" w:type="dxa"/>
            <w:vAlign w:val="bottom"/>
            <w:tcBorders>
              <w:bottom w:val="single" w:sz="8" w:color="EAEAEA"/>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Receivable</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9"/>
              </w:rPr>
              <w:t>(Current)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7"/>
              </w:rPr>
              <w:t>(Long-Term)</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(Current)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205"/>
        </w:trPr>
        <w:tc>
          <w:tcPr>
            <w:tcW w:w="3800" w:type="dxa"/>
            <w:vAlign w:val="bottom"/>
            <w:shd w:val="clear" w:color="auto" w:fill="EAEAEA"/>
          </w:tcPr>
          <w:p>
            <w:pPr>
              <w:ind w:left="20"/>
              <w:spacing w:after="0"/>
              <w:rPr>
                <w:sz w:val="20"/>
                <w:szCs w:val="20"/>
                <w:color w:val="auto"/>
              </w:rPr>
            </w:pPr>
            <w:r>
              <w:rPr>
                <w:rFonts w:ascii="Arial" w:cs="Arial" w:eastAsia="Arial" w:hAnsi="Arial"/>
                <w:sz w:val="16"/>
                <w:szCs w:val="16"/>
                <w:color w:val="auto"/>
              </w:rPr>
              <w:t>Opening balance as of March 31, 2026</w:t>
            </w:r>
          </w:p>
        </w:tc>
        <w:tc>
          <w:tcPr>
            <w:tcW w:w="2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283,454</w:t>
            </w:r>
          </w:p>
        </w:tc>
        <w:tc>
          <w:tcPr>
            <w:tcW w:w="2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47,029</w:t>
            </w:r>
          </w:p>
        </w:tc>
        <w:tc>
          <w:tcPr>
            <w:tcW w:w="2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44,809</w:t>
            </w:r>
          </w:p>
        </w:tc>
        <w:tc>
          <w:tcPr>
            <w:tcW w:w="260" w:type="dxa"/>
            <w:vAlign w:val="bottom"/>
            <w:shd w:val="clear" w:color="auto" w:fill="EAEAEA"/>
          </w:tcPr>
          <w:p>
            <w:pPr>
              <w:ind w:lef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484,973</w:t>
            </w:r>
          </w:p>
        </w:tc>
        <w:tc>
          <w:tcPr>
            <w:tcW w:w="1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293,725</w:t>
            </w:r>
          </w:p>
        </w:tc>
        <w:tc>
          <w:tcPr>
            <w:tcW w:w="0" w:type="dxa"/>
            <w:vAlign w:val="bottom"/>
          </w:tcPr>
          <w:p>
            <w:pPr>
              <w:spacing w:after="0"/>
              <w:rPr>
                <w:sz w:val="1"/>
                <w:szCs w:val="1"/>
                <w:color w:val="auto"/>
              </w:rPr>
            </w:pPr>
          </w:p>
        </w:tc>
      </w:tr>
      <w:tr>
        <w:trPr>
          <w:trHeight w:val="211"/>
        </w:trPr>
        <w:tc>
          <w:tcPr>
            <w:tcW w:w="380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Increase/(decrease)</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(65,441)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15,533</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22,594</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(12,227)</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231"/>
        </w:trPr>
        <w:tc>
          <w:tcPr>
            <w:tcW w:w="380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Ending balance as of September 30, 2026</w:t>
            </w:r>
          </w:p>
        </w:tc>
        <w:tc>
          <w:tcPr>
            <w:tcW w:w="2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218,013</w:t>
            </w:r>
          </w:p>
        </w:tc>
        <w:tc>
          <w:tcPr>
            <w:tcW w:w="2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62,562</w:t>
            </w:r>
          </w:p>
        </w:tc>
        <w:tc>
          <w:tcPr>
            <w:tcW w:w="2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67,403</w:t>
            </w:r>
          </w:p>
        </w:tc>
        <w:tc>
          <w:tcPr>
            <w:tcW w:w="260" w:type="dxa"/>
            <w:vAlign w:val="bottom"/>
            <w:tcBorders>
              <w:bottom w:val="single" w:sz="8" w:color="auto"/>
            </w:tcBorders>
            <w:shd w:val="clear" w:color="auto" w:fill="EAEAEA"/>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472,746</w:t>
            </w: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291,114</w:t>
            </w:r>
          </w:p>
        </w:tc>
        <w:tc>
          <w:tcPr>
            <w:tcW w:w="0" w:type="dxa"/>
            <w:vAlign w:val="bottom"/>
          </w:tcPr>
          <w:p>
            <w:pPr>
              <w:spacing w:after="0"/>
              <w:rPr>
                <w:sz w:val="1"/>
                <w:szCs w:val="1"/>
                <w:color w:val="auto"/>
              </w:rPr>
            </w:pPr>
          </w:p>
        </w:tc>
      </w:tr>
      <w:tr>
        <w:trPr>
          <w:trHeight w:val="20"/>
        </w:trPr>
        <w:tc>
          <w:tcPr>
            <w:tcW w:w="380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1200" w:type="dxa"/>
            <w:vAlign w:val="bottom"/>
            <w:tcBorders>
              <w:top w:val="single" w:sz="8" w:color="EAEAEA"/>
              <w:bottom w:val="single" w:sz="8" w:color="auto"/>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1200" w:type="dxa"/>
            <w:vAlign w:val="bottom"/>
            <w:tcBorders>
              <w:top w:val="single" w:sz="8" w:color="EAEAEA"/>
              <w:bottom w:val="single" w:sz="8" w:color="auto"/>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1220" w:type="dxa"/>
            <w:vAlign w:val="bottom"/>
            <w:tcBorders>
              <w:top w:val="single" w:sz="8" w:color="EAEAEA"/>
              <w:bottom w:val="single" w:sz="8" w:color="auto"/>
            </w:tcBorders>
          </w:tcPr>
          <w:p>
            <w:pPr>
              <w:spacing w:after="0" w:line="20" w:lineRule="exact"/>
              <w:rPr>
                <w:sz w:val="1"/>
                <w:szCs w:val="1"/>
                <w:color w:val="auto"/>
              </w:rPr>
            </w:pPr>
          </w:p>
        </w:tc>
        <w:tc>
          <w:tcPr>
            <w:tcW w:w="260" w:type="dxa"/>
            <w:vAlign w:val="bottom"/>
            <w:tcBorders>
              <w:top w:val="single" w:sz="8" w:color="EAEAEA"/>
              <w:bottom w:val="single" w:sz="8" w:color="auto"/>
            </w:tcBorders>
          </w:tcPr>
          <w:p>
            <w:pPr>
              <w:spacing w:after="0" w:line="20" w:lineRule="exact"/>
              <w:rPr>
                <w:sz w:val="1"/>
                <w:szCs w:val="1"/>
                <w:color w:val="auto"/>
              </w:rPr>
            </w:pPr>
          </w:p>
        </w:tc>
        <w:tc>
          <w:tcPr>
            <w:tcW w:w="1160" w:type="dxa"/>
            <w:vAlign w:val="bottom"/>
            <w:tcBorders>
              <w:top w:val="single" w:sz="8" w:color="EAEAEA"/>
              <w:bottom w:val="single" w:sz="8" w:color="auto"/>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124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100" w:firstLine="636"/>
        <w:spacing w:after="0" w:line="260" w:lineRule="auto"/>
        <w:rPr>
          <w:sz w:val="20"/>
          <w:szCs w:val="20"/>
          <w:color w:val="auto"/>
        </w:rPr>
      </w:pPr>
      <w:r>
        <w:rPr>
          <w:rFonts w:ascii="Arial" w:cs="Arial" w:eastAsia="Arial" w:hAnsi="Arial"/>
          <w:sz w:val="18"/>
          <w:szCs w:val="18"/>
          <w:color w:val="auto"/>
        </w:rPr>
        <w:t>The changes in accounts receivable and unbilled receivables are primarily driven by the timing of our billings and cash collections, as well as a higher volume of term-based license arrangements with payments due over the license term. The decrease in deferred revenue is primarily the result of decreases in perpetual support renewal and other services contracts.</w:t>
      </w:r>
    </w:p>
    <w:p>
      <w:pPr>
        <w:spacing w:after="0" w:line="122" w:lineRule="exact"/>
        <w:rPr>
          <w:sz w:val="20"/>
          <w:szCs w:val="20"/>
          <w:color w:val="auto"/>
        </w:rPr>
      </w:pPr>
    </w:p>
    <w:p>
      <w:pPr>
        <w:jc w:val="both"/>
        <w:ind w:right="100" w:firstLine="636"/>
        <w:spacing w:after="0" w:line="260"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$145,326 and $315,486 for the three and six months ended September 30, 2026, respectively. The majority of this revenue consists of SaaS and customer support. The amount of revenue recognized from performance obligations satisfied in prior periods was not significant.</w:t>
      </w: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335"/>
        <w:spacing w:after="0"/>
        <w:tabs>
          <w:tab w:leader="none" w:pos="540" w:val="left"/>
        </w:tabs>
        <w:numPr>
          <w:ilvl w:val="0"/>
          <w:numId w:val="5"/>
        </w:numPr>
        <w:rPr>
          <w:rFonts w:ascii="Arial" w:cs="Arial" w:eastAsia="Arial" w:hAnsi="Arial"/>
          <w:sz w:val="18"/>
          <w:szCs w:val="18"/>
          <w:b w:val="1"/>
          <w:bCs w:val="1"/>
          <w:color w:val="844896"/>
        </w:rPr>
      </w:pPr>
      <w:r>
        <w:rPr>
          <w:rFonts w:ascii="Arial" w:cs="Arial" w:eastAsia="Arial" w:hAnsi="Arial"/>
          <w:sz w:val="18"/>
          <w:szCs w:val="18"/>
          <w:b w:val="1"/>
          <w:bCs w:val="1"/>
          <w:color w:val="844896"/>
        </w:rPr>
        <w:t>Fair Value Measurements</w:t>
      </w:r>
    </w:p>
    <w:p>
      <w:pPr>
        <w:spacing w:after="0" w:line="16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we use the following fair value hierarchy based on three levels of inputs, of which the first two are considered observable and the last unobservable: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such as quoted prices in active markets for identical assets or liabilities;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 Inputs other than Level 1, that are observable for the asset or liability, either directly or indirectly; and</w:t>
      </w:r>
    </w:p>
    <w:p>
      <w:pPr>
        <w:spacing w:after="0" w:line="98" w:lineRule="exact"/>
        <w:rPr>
          <w:sz w:val="20"/>
          <w:szCs w:val="20"/>
          <w:color w:val="auto"/>
        </w:rPr>
      </w:pPr>
    </w:p>
    <w:p>
      <w:pPr>
        <w:ind w:left="560" w:right="160"/>
        <w:spacing w:after="0" w:line="274" w:lineRule="auto"/>
        <w:rPr>
          <w:sz w:val="20"/>
          <w:szCs w:val="20"/>
          <w:color w:val="auto"/>
        </w:rPr>
      </w:pPr>
      <w:r>
        <w:rPr>
          <w:rFonts w:ascii="Arial" w:cs="Arial" w:eastAsia="Arial" w:hAnsi="Arial"/>
          <w:sz w:val="18"/>
          <w:szCs w:val="18"/>
          <w:color w:val="auto"/>
        </w:rPr>
        <w:t>Level 3 — Unobservable inputs that are supported by little or no market activity and that require the reporting entity to develop its own assumptions.</w:t>
      </w:r>
    </w:p>
    <w:p>
      <w:pPr>
        <w:spacing w:after="0" w:line="110"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The carrying amounts of our cash, accounts receivable, accounts payable, and accrued liabilities approximate their fair values due to the short-term maturity of these instruments.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composition of our financial assets measured at fair value as of September 30, 2026 and March 31,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204"/>
        </w:trPr>
        <w:tc>
          <w:tcPr>
            <w:tcW w:w="340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 2026</w:t>
            </w:r>
          </w:p>
        </w:tc>
        <w:tc>
          <w:tcPr>
            <w:tcW w:w="340" w:type="dxa"/>
            <w:vAlign w:val="bottom"/>
          </w:tcPr>
          <w:p>
            <w:pPr>
              <w:spacing w:after="0"/>
              <w:rPr>
                <w:sz w:val="17"/>
                <w:szCs w:val="17"/>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280" w:type="dxa"/>
            <w:vAlign w:val="bottom"/>
          </w:tcPr>
          <w:p>
            <w:pPr>
              <w:jc w:val="right"/>
              <w:ind w:right="101"/>
              <w:spacing w:after="0"/>
              <w:rPr>
                <w:sz w:val="20"/>
                <w:szCs w:val="20"/>
                <w:color w:val="auto"/>
              </w:rPr>
            </w:pPr>
            <w:r>
              <w:rPr>
                <w:rFonts w:ascii="Arial" w:cs="Arial" w:eastAsia="Arial" w:hAnsi="Arial"/>
                <w:sz w:val="16"/>
                <w:szCs w:val="16"/>
                <w:b w:val="1"/>
                <w:bCs w:val="1"/>
                <w:color w:val="auto"/>
              </w:rPr>
              <w:t>Level 3</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581"/>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Borders>
              <w:bottom w:val="single" w:sz="8" w:color="EAEAEA"/>
            </w:tcBorders>
          </w:tcPr>
          <w:p>
            <w:pPr>
              <w:spacing w:after="0"/>
              <w:rPr>
                <w:sz w:val="2"/>
                <w:szCs w:val="2"/>
                <w:color w:val="auto"/>
              </w:rPr>
            </w:pPr>
          </w:p>
        </w:tc>
        <w:tc>
          <w:tcPr>
            <w:tcW w:w="1140" w:type="dxa"/>
            <w:vAlign w:val="bottom"/>
            <w:tcBorders>
              <w:top w:val="single" w:sz="8" w:color="auto"/>
              <w:bottom w:val="single" w:sz="8" w:color="EAEAEA"/>
            </w:tcBorders>
          </w:tcPr>
          <w:p>
            <w:pPr>
              <w:spacing w:after="0"/>
              <w:rPr>
                <w:sz w:val="2"/>
                <w:szCs w:val="2"/>
                <w:color w:val="auto"/>
              </w:rPr>
            </w:pPr>
          </w:p>
        </w:tc>
        <w:tc>
          <w:tcPr>
            <w:tcW w:w="340" w:type="dxa"/>
            <w:vAlign w:val="bottom"/>
            <w:tcBorders>
              <w:top w:val="single" w:sz="8" w:color="auto"/>
              <w:bottom w:val="single" w:sz="8" w:color="EAEAEA"/>
            </w:tcBorders>
          </w:tcPr>
          <w:p>
            <w:pPr>
              <w:spacing w:after="0"/>
              <w:rPr>
                <w:sz w:val="2"/>
                <w:szCs w:val="2"/>
                <w:color w:val="auto"/>
              </w:rPr>
            </w:pPr>
          </w:p>
        </w:tc>
        <w:tc>
          <w:tcPr>
            <w:tcW w:w="1900" w:type="dxa"/>
            <w:vAlign w:val="bottom"/>
            <w:tcBorders>
              <w:bottom w:val="single" w:sz="8" w:color="EAEAEA"/>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EAEA"/>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EAEA"/>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AEAEA"/>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2"/>
        </w:trPr>
        <w:tc>
          <w:tcPr>
            <w:tcW w:w="3400" w:type="dxa"/>
            <w:vAlign w:val="bottom"/>
            <w:gridSpan w:val="4"/>
            <w:shd w:val="clear" w:color="auto" w:fill="EAEAEA"/>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shd w:val="clear" w:color="auto" w:fill="EAEAEA"/>
          </w:tcPr>
          <w:p>
            <w:pPr>
              <w:spacing w:after="0"/>
              <w:rPr>
                <w:sz w:val="16"/>
                <w:szCs w:val="16"/>
                <w:color w:val="auto"/>
              </w:rPr>
            </w:pPr>
          </w:p>
        </w:tc>
        <w:tc>
          <w:tcPr>
            <w:tcW w:w="136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340" w:type="dxa"/>
            <w:vAlign w:val="bottom"/>
            <w:shd w:val="clear" w:color="auto" w:fill="EAEAEA"/>
          </w:tcPr>
          <w:p>
            <w:pPr>
              <w:spacing w:after="0"/>
              <w:rPr>
                <w:sz w:val="16"/>
                <w:szCs w:val="16"/>
                <w:color w:val="auto"/>
              </w:rPr>
            </w:pPr>
          </w:p>
        </w:tc>
        <w:tc>
          <w:tcPr>
            <w:tcW w:w="13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4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400" w:type="dxa"/>
            <w:vAlign w:val="bottom"/>
            <w:shd w:val="clear" w:color="auto" w:fill="EAEAEA"/>
          </w:tcPr>
          <w:p>
            <w:pPr>
              <w:spacing w:after="0"/>
              <w:rPr>
                <w:sz w:val="16"/>
                <w:szCs w:val="16"/>
                <w:color w:val="auto"/>
              </w:rPr>
            </w:pPr>
          </w:p>
        </w:tc>
        <w:tc>
          <w:tcPr>
            <w:tcW w:w="1300" w:type="dxa"/>
            <w:vAlign w:val="bottom"/>
            <w:shd w:val="clear" w:color="auto" w:fill="EAEAEA"/>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380" w:type="dxa"/>
            <w:vAlign w:val="bottom"/>
            <w:gridSpan w:val="3"/>
          </w:tcPr>
          <w:p>
            <w:pPr>
              <w:ind w:left="22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523,648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01"/>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523,648</w:t>
            </w:r>
          </w:p>
        </w:tc>
      </w:tr>
      <w:tr>
        <w:trPr>
          <w:trHeight w:val="347"/>
        </w:trPr>
        <w:tc>
          <w:tcPr>
            <w:tcW w:w="3400" w:type="dxa"/>
            <w:vAlign w:val="bottom"/>
            <w:gridSpan w:val="4"/>
          </w:tcPr>
          <w:p>
            <w:pPr>
              <w:ind w:left="20"/>
              <w:spacing w:after="0"/>
              <w:rPr>
                <w:sz w:val="20"/>
                <w:szCs w:val="20"/>
                <w:color w:val="auto"/>
              </w:rPr>
            </w:pPr>
            <w:r>
              <w:rPr>
                <w:rFonts w:ascii="Arial" w:cs="Arial" w:eastAsia="Arial" w:hAnsi="Arial"/>
                <w:sz w:val="16"/>
                <w:szCs w:val="16"/>
                <w:b w:val="1"/>
                <w:bCs w:val="1"/>
                <w:color w:val="auto"/>
              </w:rPr>
              <w:t>March 31, 2026</w:t>
            </w:r>
          </w:p>
        </w:tc>
        <w:tc>
          <w:tcPr>
            <w:tcW w:w="34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24"/>
                <w:szCs w:val="24"/>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280" w:type="dxa"/>
            <w:vAlign w:val="bottom"/>
          </w:tcPr>
          <w:p>
            <w:pPr>
              <w:jc w:val="right"/>
              <w:ind w:right="101"/>
              <w:spacing w:after="0"/>
              <w:rPr>
                <w:sz w:val="20"/>
                <w:szCs w:val="20"/>
                <w:color w:val="auto"/>
              </w:rPr>
            </w:pPr>
            <w:r>
              <w:rPr>
                <w:rFonts w:ascii="Arial" w:cs="Arial" w:eastAsia="Arial" w:hAnsi="Arial"/>
                <w:sz w:val="16"/>
                <w:szCs w:val="16"/>
                <w:b w:val="1"/>
                <w:bCs w:val="1"/>
                <w:color w:val="auto"/>
              </w:rPr>
              <w:t>Level 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81"/>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Borders>
              <w:bottom w:val="single" w:sz="8" w:color="EAEAEA"/>
            </w:tcBorders>
          </w:tcPr>
          <w:p>
            <w:pPr>
              <w:spacing w:after="0"/>
              <w:rPr>
                <w:sz w:val="2"/>
                <w:szCs w:val="2"/>
                <w:color w:val="auto"/>
              </w:rPr>
            </w:pPr>
          </w:p>
        </w:tc>
        <w:tc>
          <w:tcPr>
            <w:tcW w:w="1140" w:type="dxa"/>
            <w:vAlign w:val="bottom"/>
            <w:tcBorders>
              <w:top w:val="single" w:sz="8" w:color="auto"/>
              <w:bottom w:val="single" w:sz="8" w:color="EAEAEA"/>
            </w:tcBorders>
          </w:tcPr>
          <w:p>
            <w:pPr>
              <w:spacing w:after="0"/>
              <w:rPr>
                <w:sz w:val="2"/>
                <w:szCs w:val="2"/>
                <w:color w:val="auto"/>
              </w:rPr>
            </w:pPr>
          </w:p>
        </w:tc>
        <w:tc>
          <w:tcPr>
            <w:tcW w:w="340" w:type="dxa"/>
            <w:vAlign w:val="bottom"/>
            <w:tcBorders>
              <w:bottom w:val="single" w:sz="8" w:color="EAEAEA"/>
            </w:tcBorders>
          </w:tcPr>
          <w:p>
            <w:pPr>
              <w:spacing w:after="0"/>
              <w:rPr>
                <w:sz w:val="2"/>
                <w:szCs w:val="2"/>
                <w:color w:val="auto"/>
              </w:rPr>
            </w:pPr>
          </w:p>
        </w:tc>
        <w:tc>
          <w:tcPr>
            <w:tcW w:w="1900" w:type="dxa"/>
            <w:vAlign w:val="bottom"/>
            <w:tcBorders>
              <w:bottom w:val="single" w:sz="8" w:color="EAEAEA"/>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EAEA"/>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EAEA"/>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AEAEA"/>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2"/>
        </w:trPr>
        <w:tc>
          <w:tcPr>
            <w:tcW w:w="3400" w:type="dxa"/>
            <w:vAlign w:val="bottom"/>
            <w:gridSpan w:val="4"/>
            <w:shd w:val="clear" w:color="auto" w:fill="EAEAEA"/>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shd w:val="clear" w:color="auto" w:fill="EAEAEA"/>
          </w:tcPr>
          <w:p>
            <w:pPr>
              <w:spacing w:after="0"/>
              <w:rPr>
                <w:sz w:val="16"/>
                <w:szCs w:val="16"/>
                <w:color w:val="auto"/>
              </w:rPr>
            </w:pPr>
          </w:p>
        </w:tc>
        <w:tc>
          <w:tcPr>
            <w:tcW w:w="136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340" w:type="dxa"/>
            <w:vAlign w:val="bottom"/>
            <w:shd w:val="clear" w:color="auto" w:fill="EAEAEA"/>
          </w:tcPr>
          <w:p>
            <w:pPr>
              <w:spacing w:after="0"/>
              <w:rPr>
                <w:sz w:val="16"/>
                <w:szCs w:val="16"/>
                <w:color w:val="auto"/>
              </w:rPr>
            </w:pPr>
          </w:p>
        </w:tc>
        <w:tc>
          <w:tcPr>
            <w:tcW w:w="13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4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400" w:type="dxa"/>
            <w:vAlign w:val="bottom"/>
            <w:shd w:val="clear" w:color="auto" w:fill="EAEAEA"/>
          </w:tcPr>
          <w:p>
            <w:pPr>
              <w:spacing w:after="0"/>
              <w:rPr>
                <w:sz w:val="16"/>
                <w:szCs w:val="16"/>
                <w:color w:val="auto"/>
              </w:rPr>
            </w:pPr>
          </w:p>
        </w:tc>
        <w:tc>
          <w:tcPr>
            <w:tcW w:w="1300" w:type="dxa"/>
            <w:vAlign w:val="bottom"/>
            <w:shd w:val="clear" w:color="auto" w:fill="EAEAEA"/>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380" w:type="dxa"/>
            <w:vAlign w:val="bottom"/>
            <w:gridSpan w:val="3"/>
          </w:tcPr>
          <w:p>
            <w:pPr>
              <w:ind w:left="22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540,146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01"/>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540,146</w:t>
            </w:r>
          </w:p>
        </w:tc>
      </w:tr>
    </w:tbl>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Assets and Liabilities Not Carried at Fair Value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Fair Value of the Convertible Senior Notes</w:t>
      </w:r>
    </w:p>
    <w:p>
      <w:pPr>
        <w:spacing w:after="0" w:line="164"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0% convertible senior notes due 2030 (the "Notes") are carried at amortized cost. As of September 30, 2026, the estimated fair value of the Notes was $842,841. The fair value was determined based on the quoted mid-market trading price per $1,000 of face value of the Notes as of the last trading day of the period. The Company considers the fair value of the Notes to be a Level 2 measurement because the valuation is based on observable market data, including broker quoted prices; however, the Notes are not actively traded. Refer to Note 12 of the Notes to Consolidated Financial Statements for further details.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Private Equity Fund Investments</w:t>
      </w:r>
    </w:p>
    <w:p>
      <w:pPr>
        <w:spacing w:after="0" w:line="98"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 xml:space="preserve">We held equity interests in private equity funds of $10,204 as of September 30, 2026, which are accounted for under the net asset value ("NAV") practical expedient as permitted under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Investments measured using the NAV practical expedient are not classified within the fair value hierarchy. The net asset values of these investments are determined using quarterly capital statements from the funds, which are based on our contributions to the funds, allocation of profit and loss and changes in fair value of the underlying fund investments. Changes in fair value as reported on the capital statements are recorded through the Consolidated Statements of Operations as non-operating income or expense. These private equity funds focus on making investments in key technology sectors, principally by investing in companies at expansion capital and growth equity stages. We had total unfunded commitments in private equity funds of $475 as of September 30, 2026.</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Strategic Investments</w:t>
      </w:r>
    </w:p>
    <w:p>
      <w:pPr>
        <w:spacing w:after="0" w:line="164"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 xml:space="preserve">As of September 30, 2026, we held an equity interest in a private company with a carrying value of $13,347, consisting of multiple classes of shares subject to different accounting treatment. Of the total investment, a carrying value of $11,126 is accounted for under the measurement alternative in accordance with ASC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xml:space="preserve"> and is carried at cost, less impairment, if any, adjusted for observable price changes in orderly transactions for identical or similar investments of the same issuer. There were no observable price changes during the three and six months ended September 30, 2026.</w:t>
      </w:r>
    </w:p>
    <w:p>
      <w:pPr>
        <w:spacing w:after="0" w:line="128"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 xml:space="preserve">The remainder of the investment, with a carrying value of $2,221, is accounted for under the equity method in accordance with ASC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xml:space="preserve"> The carrying amount is adjusted each reporting period to reflect our proportionate share of the investee's earnings or losses, distributions received, and any impairment losses. Our share of the investee's earnings or losses is recorded through the Consolidated Statements of Operations as non-operating income or expense.</w:t>
      </w:r>
    </w:p>
    <w:p>
      <w:pPr>
        <w:spacing w:after="0" w:line="127"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We evaluate strategic investments for impairment whenever events or changes in circumstances indicate that the carrying value may not be recoverable. If an impairment is identified and the decline in value is determined to be other than temporary, an impairment loss is recognized in earnings. No impairments have been identified during the periods presented.</w:t>
      </w:r>
    </w:p>
    <w:p>
      <w:pPr>
        <w:spacing w:after="0" w:line="293" w:lineRule="exact"/>
        <w:rPr>
          <w:sz w:val="20"/>
          <w:szCs w:val="20"/>
          <w:color w:val="auto"/>
        </w:rPr>
      </w:pPr>
    </w:p>
    <w:p>
      <w:pPr>
        <w:ind w:left="340" w:hanging="334"/>
        <w:spacing w:after="0"/>
        <w:tabs>
          <w:tab w:leader="none" w:pos="340" w:val="left"/>
        </w:tabs>
        <w:numPr>
          <w:ilvl w:val="0"/>
          <w:numId w:val="6"/>
        </w:numPr>
        <w:rPr>
          <w:rFonts w:ascii="Arial" w:cs="Arial" w:eastAsia="Arial" w:hAnsi="Arial"/>
          <w:sz w:val="18"/>
          <w:szCs w:val="18"/>
          <w:b w:val="1"/>
          <w:bCs w:val="1"/>
          <w:color w:val="844896"/>
        </w:rPr>
      </w:pPr>
      <w:r>
        <w:rPr>
          <w:rFonts w:ascii="Arial" w:cs="Arial" w:eastAsia="Arial" w:hAnsi="Arial"/>
          <w:sz w:val="18"/>
          <w:szCs w:val="18"/>
          <w:b w:val="1"/>
          <w:bCs w:val="1"/>
          <w:color w:val="844896"/>
        </w:rPr>
        <w:t>Net Income per Common Share</w:t>
      </w:r>
    </w:p>
    <w:p>
      <w:pPr>
        <w:spacing w:after="0" w:line="166"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during the period. Diluted net income per share is computed using the weighted average number of common shares outstanding and, if dilutive, potential common shares outstanding during the period. Potential common shares consist of the incremental common shares issuable upon the vesting of restricted stock units ("RSUs"), performance stock units ("PSUs"), common shares to be purchased under the Employee Stock Purchase Plan ("ESPP"), and, if dilutive, the conversion spread on the Notes. The dilutive effect of RSUs, PSUs, and ESPP purchases is reflected in diluted earnings per share by application of the treasury stock method. The dilutive effect of the Notes is calculated using the if-converted method. See Note 12 of the Notes to Consolidated Financial Statements for further details of the Notes.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reconciliation of basic and diluted net income per common share:</w:t>
      </w:r>
    </w:p>
    <w:p>
      <w:pPr>
        <w:spacing w:after="0" w:line="127" w:lineRule="exact"/>
        <w:rPr>
          <w:sz w:val="20"/>
          <w:szCs w:val="20"/>
          <w:color w:val="auto"/>
        </w:rPr>
      </w:pPr>
    </w:p>
    <w:tbl>
      <w:tblPr>
        <w:tblLayout w:type="fixed"/>
        <w:tblInd w:w="72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6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205"/>
        </w:trPr>
        <w:tc>
          <w:tcPr>
            <w:tcW w:w="4360" w:type="dxa"/>
            <w:vAlign w:val="bottom"/>
            <w:tcBorders>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29,111</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14,730</w:t>
            </w: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50,250</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38,226</w:t>
            </w:r>
          </w:p>
        </w:tc>
        <w:tc>
          <w:tcPr>
            <w:tcW w:w="0" w:type="dxa"/>
            <w:vAlign w:val="bottom"/>
          </w:tcPr>
          <w:p>
            <w:pPr>
              <w:spacing w:after="0"/>
              <w:rPr>
                <w:sz w:val="1"/>
                <w:szCs w:val="1"/>
                <w:color w:val="auto"/>
              </w:rPr>
            </w:pPr>
          </w:p>
        </w:tc>
      </w:tr>
      <w:tr>
        <w:trPr>
          <w:trHeight w:val="20"/>
        </w:trPr>
        <w:tc>
          <w:tcPr>
            <w:tcW w:w="4360" w:type="dxa"/>
            <w:vAlign w:val="bottom"/>
            <w:tcBorders>
              <w:top w:val="single" w:sz="8" w:color="EAEAEA"/>
              <w:bottom w:val="single" w:sz="8" w:color="EAEAEA"/>
            </w:tcBorders>
            <w:vMerge w:val="restart"/>
          </w:tcPr>
          <w:p>
            <w:pPr>
              <w:ind w:left="20"/>
              <w:spacing w:after="0"/>
              <w:rPr>
                <w:sz w:val="20"/>
                <w:szCs w:val="20"/>
                <w:color w:val="auto"/>
              </w:rPr>
            </w:pPr>
            <w:r>
              <w:rPr>
                <w:rFonts w:ascii="Arial" w:cs="Arial" w:eastAsia="Arial" w:hAnsi="Arial"/>
                <w:sz w:val="16"/>
                <w:szCs w:val="16"/>
                <w:b w:val="1"/>
                <w:bCs w:val="1"/>
                <w:color w:val="auto"/>
              </w:rPr>
              <w:t>Basic net income per common share:</w:t>
            </w: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3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320" w:type="dxa"/>
            <w:vAlign w:val="bottom"/>
            <w:tcBorders>
              <w:bottom w:val="single" w:sz="8" w:color="auto"/>
            </w:tcBorders>
            <w:shd w:val="clear" w:color="auto" w:fill="EAEAEA"/>
          </w:tcPr>
          <w:p>
            <w:pPr>
              <w:spacing w:after="0"/>
              <w:rPr>
                <w:sz w:val="20"/>
                <w:szCs w:val="20"/>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41,261</w:t>
            </w:r>
          </w:p>
        </w:tc>
        <w:tc>
          <w:tcPr>
            <w:tcW w:w="10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spacing w:after="0"/>
              <w:rPr>
                <w:sz w:val="20"/>
                <w:szCs w:val="20"/>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44,406</w:t>
            </w:r>
          </w:p>
        </w:tc>
        <w:tc>
          <w:tcPr>
            <w:tcW w:w="100" w:type="dxa"/>
            <w:vAlign w:val="bottom"/>
            <w:tcBorders>
              <w:bottom w:val="single" w:sz="8" w:color="EAEAEA"/>
            </w:tcBorders>
            <w:shd w:val="clear" w:color="auto" w:fill="EAEAEA"/>
          </w:tcPr>
          <w:p>
            <w:pPr>
              <w:spacing w:after="0"/>
              <w:rPr>
                <w:sz w:val="20"/>
                <w:szCs w:val="20"/>
                <w:color w:val="auto"/>
              </w:rPr>
            </w:pPr>
          </w:p>
        </w:tc>
        <w:tc>
          <w:tcPr>
            <w:tcW w:w="160" w:type="dxa"/>
            <w:vAlign w:val="bottom"/>
            <w:tcBorders>
              <w:bottom w:val="single" w:sz="8" w:color="auto"/>
            </w:tcBorders>
            <w:shd w:val="clear" w:color="auto" w:fill="EAEAEA"/>
          </w:tcPr>
          <w:p>
            <w:pPr>
              <w:spacing w:after="0"/>
              <w:rPr>
                <w:sz w:val="20"/>
                <w:szCs w:val="20"/>
                <w:color w:val="auto"/>
              </w:rPr>
            </w:pP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41,303</w:t>
            </w:r>
          </w:p>
        </w:tc>
        <w:tc>
          <w:tcPr>
            <w:tcW w:w="100" w:type="dxa"/>
            <w:vAlign w:val="bottom"/>
            <w:tcBorders>
              <w:bottom w:val="single" w:sz="8" w:color="EAEAEA"/>
            </w:tcBorders>
            <w:shd w:val="clear" w:color="auto" w:fill="EAEAEA"/>
          </w:tcPr>
          <w:p>
            <w:pPr>
              <w:spacing w:after="0"/>
              <w:rPr>
                <w:sz w:val="20"/>
                <w:szCs w:val="20"/>
                <w:color w:val="auto"/>
              </w:rPr>
            </w:pPr>
          </w:p>
        </w:tc>
        <w:tc>
          <w:tcPr>
            <w:tcW w:w="320" w:type="dxa"/>
            <w:vAlign w:val="bottom"/>
            <w:tcBorders>
              <w:bottom w:val="single" w:sz="8" w:color="auto"/>
            </w:tcBorders>
            <w:shd w:val="clear" w:color="auto" w:fill="EAEAEA"/>
          </w:tcPr>
          <w:p>
            <w:pPr>
              <w:spacing w:after="0"/>
              <w:rPr>
                <w:sz w:val="20"/>
                <w:szCs w:val="20"/>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44,366</w:t>
            </w:r>
          </w:p>
        </w:tc>
        <w:tc>
          <w:tcPr>
            <w:tcW w:w="0" w:type="dxa"/>
            <w:vAlign w:val="bottom"/>
          </w:tcPr>
          <w:p>
            <w:pPr>
              <w:spacing w:after="0"/>
              <w:rPr>
                <w:sz w:val="1"/>
                <w:szCs w:val="1"/>
                <w:color w:val="auto"/>
              </w:rPr>
            </w:pP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36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436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360" w:type="dxa"/>
            <w:vAlign w:val="bottom"/>
            <w:shd w:val="clear" w:color="auto" w:fill="EAEAEA"/>
          </w:tcPr>
          <w:p>
            <w:pPr>
              <w:ind w:left="20"/>
              <w:spacing w:after="0" w:line="178" w:lineRule="exact"/>
              <w:rPr>
                <w:sz w:val="20"/>
                <w:szCs w:val="20"/>
                <w:color w:val="auto"/>
              </w:rPr>
            </w:pPr>
            <w:r>
              <w:rPr>
                <w:rFonts w:ascii="Arial" w:cs="Arial" w:eastAsia="Arial" w:hAnsi="Arial"/>
                <w:sz w:val="16"/>
                <w:szCs w:val="16"/>
                <w:b w:val="1"/>
                <w:bCs w:val="1"/>
                <w:color w:val="auto"/>
              </w:rPr>
              <w:t>Diluted net income per common share:</w:t>
            </w:r>
          </w:p>
        </w:tc>
        <w:tc>
          <w:tcPr>
            <w:tcW w:w="320" w:type="dxa"/>
            <w:vAlign w:val="bottom"/>
            <w:shd w:val="clear" w:color="auto" w:fill="EAEAEA"/>
          </w:tcPr>
          <w:p>
            <w:pPr>
              <w:spacing w:after="0"/>
              <w:rPr>
                <w:sz w:val="15"/>
                <w:szCs w:val="15"/>
                <w:color w:val="auto"/>
              </w:rPr>
            </w:pPr>
          </w:p>
        </w:tc>
        <w:tc>
          <w:tcPr>
            <w:tcW w:w="108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320" w:type="dxa"/>
            <w:vAlign w:val="bottom"/>
            <w:shd w:val="clear" w:color="auto" w:fill="EAEAEA"/>
          </w:tcPr>
          <w:p>
            <w:pPr>
              <w:spacing w:after="0"/>
              <w:rPr>
                <w:sz w:val="15"/>
                <w:szCs w:val="15"/>
                <w:color w:val="auto"/>
              </w:rPr>
            </w:pPr>
          </w:p>
        </w:tc>
        <w:tc>
          <w:tcPr>
            <w:tcW w:w="108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126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320" w:type="dxa"/>
            <w:vAlign w:val="bottom"/>
            <w:shd w:val="clear" w:color="auto" w:fill="EAEAEA"/>
          </w:tcPr>
          <w:p>
            <w:pPr>
              <w:spacing w:after="0"/>
              <w:rPr>
                <w:sz w:val="15"/>
                <w:szCs w:val="15"/>
                <w:color w:val="auto"/>
              </w:rPr>
            </w:pPr>
          </w:p>
        </w:tc>
        <w:tc>
          <w:tcPr>
            <w:tcW w:w="108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Arial" w:cs="Arial" w:eastAsia="Arial" w:hAnsi="Arial"/>
                <w:sz w:val="16"/>
                <w:szCs w:val="16"/>
                <w:color w:val="auto"/>
              </w:rPr>
              <w:t>Basic weighted average shares outstanding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41,261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44,406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41,303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44,366</w:t>
            </w:r>
          </w:p>
        </w:tc>
        <w:tc>
          <w:tcPr>
            <w:tcW w:w="0" w:type="dxa"/>
            <w:vAlign w:val="bottom"/>
          </w:tcPr>
          <w:p>
            <w:pPr>
              <w:spacing w:after="0"/>
              <w:rPr>
                <w:sz w:val="1"/>
                <w:szCs w:val="1"/>
                <w:color w:val="auto"/>
              </w:rPr>
            </w:pPr>
          </w:p>
        </w:tc>
      </w:tr>
      <w:tr>
        <w:trPr>
          <w:trHeight w:val="212"/>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Dilutive effect of potential common shares</w:t>
            </w:r>
          </w:p>
        </w:tc>
        <w:tc>
          <w:tcPr>
            <w:tcW w:w="320" w:type="dxa"/>
            <w:vAlign w:val="bottom"/>
            <w:tcBorders>
              <w:bottom w:val="single" w:sz="8" w:color="auto"/>
            </w:tcBorders>
            <w:shd w:val="clear" w:color="auto" w:fill="EAEAEA"/>
          </w:tcPr>
          <w:p>
            <w:pPr>
              <w:spacing w:after="0"/>
              <w:rPr>
                <w:sz w:val="18"/>
                <w:szCs w:val="18"/>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EAEAEA"/>
          </w:tcPr>
          <w:p>
            <w:pPr>
              <w:spacing w:after="0"/>
              <w:rPr>
                <w:sz w:val="18"/>
                <w:szCs w:val="18"/>
                <w:color w:val="auto"/>
              </w:rPr>
            </w:pPr>
          </w:p>
        </w:tc>
        <w:tc>
          <w:tcPr>
            <w:tcW w:w="160" w:type="dxa"/>
            <w:vAlign w:val="bottom"/>
            <w:tcBorders>
              <w:bottom w:val="single" w:sz="8" w:color="auto"/>
            </w:tcBorders>
            <w:shd w:val="clear" w:color="auto" w:fill="EAEAEA"/>
          </w:tcPr>
          <w:p>
            <w:pPr>
              <w:spacing w:after="0"/>
              <w:rPr>
                <w:sz w:val="18"/>
                <w:szCs w:val="18"/>
                <w:color w:val="auto"/>
              </w:rPr>
            </w:pP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EAEAEA"/>
          </w:tcPr>
          <w:p>
            <w:pPr>
              <w:spacing w:after="0"/>
              <w:rPr>
                <w:sz w:val="18"/>
                <w:szCs w:val="18"/>
                <w:color w:val="auto"/>
              </w:rPr>
            </w:pPr>
          </w:p>
        </w:tc>
        <w:tc>
          <w:tcPr>
            <w:tcW w:w="320" w:type="dxa"/>
            <w:vAlign w:val="bottom"/>
            <w:tcBorders>
              <w:bottom w:val="single" w:sz="8" w:color="auto"/>
            </w:tcBorders>
            <w:shd w:val="clear" w:color="auto" w:fill="EAEAEA"/>
          </w:tcPr>
          <w:p>
            <w:pPr>
              <w:spacing w:after="0"/>
              <w:rPr>
                <w:sz w:val="18"/>
                <w:szCs w:val="18"/>
                <w:color w:val="auto"/>
              </w:rPr>
            </w:pP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06"/>
        </w:trPr>
        <w:tc>
          <w:tcPr>
            <w:tcW w:w="436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42,057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45,264</w:t>
            </w:r>
          </w:p>
        </w:tc>
        <w:tc>
          <w:tcPr>
            <w:tcW w:w="0" w:type="dxa"/>
            <w:vAlign w:val="bottom"/>
          </w:tcPr>
          <w:p>
            <w:pPr>
              <w:spacing w:after="0"/>
              <w:rPr>
                <w:sz w:val="1"/>
                <w:szCs w:val="1"/>
                <w:color w:val="auto"/>
              </w:rPr>
            </w:pPr>
          </w:p>
        </w:tc>
      </w:tr>
      <w:tr>
        <w:trPr>
          <w:trHeight w:val="20"/>
        </w:trPr>
        <w:tc>
          <w:tcPr>
            <w:tcW w:w="436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AEA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Diluted net income per common share</w:t>
            </w: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Diluted weighted average shares outstanding excludes RSUs, PSUs, and common shares to be purchased under the ESPP totaling 288 and 71 for the three months ended September 30, 2026 and 2025, respectively, and 311 and 64 for the six months ended September 30, 2026 and 2025, respectively, because the effect of including them would have been anti-dilutive. In addition, the Notes were excluded from diluted net income per share as their inclusion would have been anti-dilutive.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0" w:lineRule="exact"/>
        <w:rPr>
          <w:sz w:val="20"/>
          <w:szCs w:val="20"/>
          <w:color w:val="auto"/>
        </w:rPr>
      </w:pPr>
    </w:p>
    <w:p>
      <w:pPr>
        <w:ind w:left="340" w:hanging="334"/>
        <w:spacing w:after="0"/>
        <w:tabs>
          <w:tab w:leader="none" w:pos="340" w:val="left"/>
        </w:tabs>
        <w:numPr>
          <w:ilvl w:val="0"/>
          <w:numId w:val="7"/>
        </w:numPr>
        <w:rPr>
          <w:rFonts w:ascii="Arial" w:cs="Arial" w:eastAsia="Arial" w:hAnsi="Arial"/>
          <w:sz w:val="18"/>
          <w:szCs w:val="18"/>
          <w:b w:val="1"/>
          <w:bCs w:val="1"/>
          <w:color w:val="844896"/>
        </w:rPr>
      </w:pPr>
      <w:r>
        <w:rPr>
          <w:rFonts w:ascii="Arial" w:cs="Arial" w:eastAsia="Arial" w:hAnsi="Arial"/>
          <w:sz w:val="18"/>
          <w:szCs w:val="18"/>
          <w:b w:val="1"/>
          <w:bCs w:val="1"/>
          <w:color w:val="844896"/>
        </w:rPr>
        <w:t>Commitments and Contingencies</w:t>
      </w:r>
    </w:p>
    <w:p>
      <w:pPr>
        <w:spacing w:after="0" w:line="166"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Company and certain current and former officers are named as defendants in actions filed by shareholders in May 2026 and July 2026 in the United States District Court for the District of New Jersey. The actions allege violations of the federal securities laws under Sections 10(b) and 20(a) of the Securities Exchange Act of 1934, as amended (the "Exchange Act") and Rule 10b-5. The actions seek declarations of the actions as class actions, unspecified monetary relief, and costs and fees.</w:t>
      </w:r>
    </w:p>
    <w:p>
      <w:pPr>
        <w:spacing w:after="0" w:line="12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May 2026 and August 2026, shareholder derivative actions were filed in the same court against certain officers and directors of the Company. The complaints allege claims of breach of fiduciary duty and violations of Section 14(a) of the Exchange Act on behalf of the Company, and seek equitable relief, unspecified monetary damages payable to the Company, and costs and fees. In August 2026, the court consolidated the derivative actions and stayed them pending developments in the securities actions.</w:t>
      </w:r>
    </w:p>
    <w:p>
      <w:pPr>
        <w:spacing w:after="0" w:line="127"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Based on the preliminary nature of these proceedings, the outcomes remain uncertain and the Company is unable to reasonably estimate the potential impact, if any, on its results of operations, financial condition, or cash flows. The Company has not recorded an accrual related to these proceedings as of September 30, 2026.</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Strategic Pricing and Packaging Initiative</w:t>
      </w:r>
    </w:p>
    <w:p>
      <w:pPr>
        <w:spacing w:after="0" w:line="16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During the first quarter of fiscal 2027, we recognized expense of $6,500 under a performance-based arrangement related to a strategic pricing and packaging initiative. The arrangement included provisions for additional contingent fees payable upon the achievement of specified performance outcomes. During the second quarter of fiscal 2027, the arrangement was completed and the contingency was resolved with no additional amounts becoming payable.</w:t>
      </w:r>
    </w:p>
    <w:p>
      <w:pPr>
        <w:spacing w:after="0" w:line="231" w:lineRule="exact"/>
        <w:rPr>
          <w:sz w:val="20"/>
          <w:szCs w:val="20"/>
          <w:color w:val="auto"/>
        </w:rPr>
      </w:pPr>
    </w:p>
    <w:p>
      <w:pPr>
        <w:ind w:left="340" w:hanging="334"/>
        <w:spacing w:after="0"/>
        <w:tabs>
          <w:tab w:leader="none" w:pos="340" w:val="left"/>
        </w:tabs>
        <w:numPr>
          <w:ilvl w:val="0"/>
          <w:numId w:val="8"/>
        </w:numPr>
        <w:rPr>
          <w:rFonts w:ascii="Arial" w:cs="Arial" w:eastAsia="Arial" w:hAnsi="Arial"/>
          <w:sz w:val="18"/>
          <w:szCs w:val="18"/>
          <w:b w:val="1"/>
          <w:bCs w:val="1"/>
          <w:color w:val="844896"/>
        </w:rPr>
      </w:pPr>
      <w:r>
        <w:rPr>
          <w:rFonts w:ascii="Arial" w:cs="Arial" w:eastAsia="Arial" w:hAnsi="Arial"/>
          <w:sz w:val="18"/>
          <w:szCs w:val="18"/>
          <w:b w:val="1"/>
          <w:bCs w:val="1"/>
          <w:color w:val="844896"/>
        </w:rPr>
        <w:t>Capitalization</w:t>
      </w:r>
    </w:p>
    <w:p>
      <w:pPr>
        <w:spacing w:after="0" w:line="16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On April 15, 2026, our board of directors (the "Board") approved recommitting our existing share repurchase program, making $250,000 available for future repurchases. The share repurchase program has no expiration date. For the three and six months ended September 30, 2026, we repurchased $109,160 and $119,291 of our common stock, respectively. We repurchased 808 shares for the three months ended September 30, 2026 and 906 shares during the six months ended September 30, 2026. As of September 30, 2026, $130,709 remained available under the share repurchase program.</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4"/>
        <w:spacing w:after="0"/>
        <w:tabs>
          <w:tab w:leader="none" w:pos="340" w:val="left"/>
        </w:tabs>
        <w:numPr>
          <w:ilvl w:val="0"/>
          <w:numId w:val="9"/>
        </w:numPr>
        <w:rPr>
          <w:rFonts w:ascii="Arial" w:cs="Arial" w:eastAsia="Arial" w:hAnsi="Arial"/>
          <w:sz w:val="18"/>
          <w:szCs w:val="18"/>
          <w:b w:val="1"/>
          <w:bCs w:val="1"/>
          <w:color w:val="844896"/>
        </w:rPr>
      </w:pPr>
      <w:r>
        <w:rPr>
          <w:rFonts w:ascii="Arial" w:cs="Arial" w:eastAsia="Arial" w:hAnsi="Arial"/>
          <w:sz w:val="18"/>
          <w:szCs w:val="18"/>
          <w:b w:val="1"/>
          <w:bCs w:val="1"/>
          <w:color w:val="844896"/>
        </w:rPr>
        <w:t>Stock Plans</w:t>
      </w:r>
    </w:p>
    <w:p>
      <w:pPr>
        <w:spacing w:after="0" w:line="166"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We maintain the 2016 Omnibus Incentive Plan (the "2016 Plan") and the 2026 Equity Plan (the "2026 Plan"), each of which authorizes the grant of various equity-based and cash-based awards. In August 2026, we adopted the 2026 Plan, which replaced the 2016 Plan. No further awards will be granted under the 2016 Plan, and awards previously granted thereunder will remain outstanding in accordance with their terms. During the periods presented, awards granted under both the 2016 Plan and 2026 Plan consisted of RSUs and PSUs. We also maintain the ESPP, under which eligible employees may purchase shares of our common stock through payroll deductions at a discount to market value, subject to statutory and plan limits.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Units</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RSUs generally vest over service periods of up to three years. The fair value of RSUs is measured based on the market price of our common stock on the date of grant and compensation expense is recognized on a straight-line basis over the requisite service period.</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Stock Units</w:t>
      </w:r>
    </w:p>
    <w:p>
      <w:pPr>
        <w:spacing w:after="0" w:line="164"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PSUs generally vest over service periods of up to three years and are subject to the achievement of specified performance or market-based conditions. Performance-based PSUs are earned based on the achievement of predetermined performance objectives, while market-based PSUs are earned based on our total shareholder return relative to a designated market index over the performance period. Depending on actual performance, the number of shares ultimately earned may range from 0% to 300% of target for both performance or market-based PSUs.</w:t>
      </w:r>
    </w:p>
    <w:p>
      <w:pPr>
        <w:spacing w:after="0" w:line="128"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The fair value of performance-based PSUs is measured based on the market price of our common stock on the date of grant. The fair value of market-based PSUs is measured using a Monte Carlo simulation model, which incorporates assumptions as to the expected life of awards, a risk-free interest rate, stock price volatility, and dividend yield.</w:t>
      </w:r>
    </w:p>
    <w:p>
      <w:pPr>
        <w:spacing w:after="0" w:line="12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Compensation expense for PSUs is recognized using the accelerated method over the requisite service period. For performance-based PSUs, compensation expense reflects management's estimate of the number of awards expected to vest and is adjusted as necessary until achievement of the performance conditions is determined. Compensation expense for market-based PSUs is recognized based on the grant-date fair value of the target award and is not adjusted for estimated or actual achievement of the market conditions.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Stock Purchase Plan</w:t>
      </w:r>
    </w:p>
    <w:p>
      <w:pPr>
        <w:spacing w:after="0" w:line="164"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Under the ESPP, substantially all employees may purchase our common stock through payroll deductions at a price equal to 85% of the lower of the fair market value of the stock as of the beginning or the end of six-month offering periods. An employee’s payroll deductions under the ESPP are limited to 10% of the employee’s salary and employees may not purchase more than $25 of stock during any calendar year. The fair value of ESPP awards, including discount and look-back features, is measured using the Black-Scholes option pricing model, which also incorporates assumptions including expected term, risk-free interest rate, stock price volatility, and dividend yield. Compensation expense for the ESPP is recognized on a straight-line basis over the applicable offering period.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The following table presents the stock-based compensation expense recognized in our Consolidated Statements of Operations for the three and six months ended September 30, 2026 and 2025. Stock-based compensation is attributable to RSUs, PSUs, and the ESPP.</w:t>
      </w:r>
    </w:p>
    <w:p>
      <w:pPr>
        <w:spacing w:after="0" w:line="246"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6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w w:val="99"/>
              </w:rPr>
              <w:t>Six Months Ended September 30,</w:t>
            </w:r>
          </w:p>
        </w:tc>
      </w:tr>
      <w:tr>
        <w:trPr>
          <w:trHeight w:val="205"/>
        </w:trPr>
        <w:tc>
          <w:tcPr>
            <w:tcW w:w="4360" w:type="dxa"/>
            <w:vAlign w:val="bottom"/>
            <w:tcBorders>
              <w:bottom w:val="single" w:sz="8" w:color="EAEAEA"/>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EAEAEA"/>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EAEAEA"/>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r>
      <w:tr>
        <w:trPr>
          <w:trHeight w:val="205"/>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1,435</w:t>
            </w:r>
          </w:p>
        </w:tc>
        <w:tc>
          <w:tcPr>
            <w:tcW w:w="120" w:type="dxa"/>
            <w:vAlign w:val="bottom"/>
            <w:shd w:val="clear" w:color="auto" w:fill="EAEAEA"/>
          </w:tcPr>
          <w:p>
            <w:pPr>
              <w:spacing w:after="0"/>
              <w:rPr>
                <w:sz w:val="17"/>
                <w:szCs w:val="17"/>
                <w:color w:val="auto"/>
              </w:rPr>
            </w:pPr>
          </w:p>
        </w:tc>
        <w:tc>
          <w:tcPr>
            <w:tcW w:w="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2,838</w:t>
            </w:r>
          </w:p>
        </w:tc>
        <w:tc>
          <w:tcPr>
            <w:tcW w:w="120" w:type="dxa"/>
            <w:vAlign w:val="bottom"/>
            <w:shd w:val="clear" w:color="auto" w:fill="EAEAEA"/>
          </w:tcPr>
          <w:p>
            <w:pPr>
              <w:spacing w:after="0"/>
              <w:rPr>
                <w:sz w:val="17"/>
                <w:szCs w:val="17"/>
                <w:color w:val="auto"/>
              </w:rPr>
            </w:pPr>
          </w:p>
        </w:tc>
        <w:tc>
          <w:tcPr>
            <w:tcW w:w="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2,572</w:t>
            </w:r>
          </w:p>
        </w:tc>
      </w:tr>
      <w:tr>
        <w:trPr>
          <w:trHeight w:val="211"/>
        </w:trPr>
        <w:tc>
          <w:tcPr>
            <w:tcW w:w="43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14,642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28,810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25,343</w:t>
            </w:r>
          </w:p>
        </w:tc>
      </w:tr>
      <w:tr>
        <w:trPr>
          <w:trHeight w:val="213"/>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EAEAEA"/>
          </w:tcPr>
          <w:p>
            <w:pPr>
              <w:spacing w:after="0"/>
              <w:rPr>
                <w:sz w:val="18"/>
                <w:szCs w:val="18"/>
                <w:color w:val="auto"/>
              </w:rPr>
            </w:pPr>
          </w:p>
        </w:tc>
        <w:tc>
          <w:tcPr>
            <w:tcW w:w="13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8,034</w:t>
            </w:r>
          </w:p>
        </w:tc>
        <w:tc>
          <w:tcPr>
            <w:tcW w:w="12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7,752</w:t>
            </w:r>
          </w:p>
        </w:tc>
        <w:tc>
          <w:tcPr>
            <w:tcW w:w="100" w:type="dxa"/>
            <w:vAlign w:val="bottom"/>
            <w:shd w:val="clear" w:color="auto" w:fill="EAEAEA"/>
          </w:tcPr>
          <w:p>
            <w:pPr>
              <w:spacing w:after="0"/>
              <w:rPr>
                <w:sz w:val="18"/>
                <w:szCs w:val="18"/>
                <w:color w:val="auto"/>
              </w:rPr>
            </w:pPr>
          </w:p>
        </w:tc>
        <w:tc>
          <w:tcPr>
            <w:tcW w:w="160" w:type="dxa"/>
            <w:vAlign w:val="bottom"/>
            <w:shd w:val="clear" w:color="auto" w:fill="EAEAEA"/>
          </w:tcPr>
          <w:p>
            <w:pPr>
              <w:spacing w:after="0"/>
              <w:rPr>
                <w:sz w:val="18"/>
                <w:szCs w:val="18"/>
                <w:color w:val="auto"/>
              </w:rPr>
            </w:pP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16,318</w:t>
            </w:r>
          </w:p>
        </w:tc>
        <w:tc>
          <w:tcPr>
            <w:tcW w:w="12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14,822</w:t>
            </w:r>
          </w:p>
        </w:tc>
      </w:tr>
      <w:tr>
        <w:trPr>
          <w:trHeight w:val="211"/>
        </w:trPr>
        <w:tc>
          <w:tcPr>
            <w:tcW w:w="43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11,569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22,439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19,181</w:t>
            </w:r>
          </w:p>
        </w:tc>
      </w:tr>
      <w:tr>
        <w:trPr>
          <w:trHeight w:val="213"/>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Restructuring</w:t>
            </w:r>
          </w:p>
        </w:tc>
        <w:tc>
          <w:tcPr>
            <w:tcW w:w="100" w:type="dxa"/>
            <w:vAlign w:val="bottom"/>
            <w:tcBorders>
              <w:bottom w:val="single" w:sz="8" w:color="auto"/>
            </w:tcBorders>
            <w:shd w:val="clear" w:color="auto" w:fill="EAEAEA"/>
          </w:tcPr>
          <w:p>
            <w:pPr>
              <w:spacing w:after="0"/>
              <w:rPr>
                <w:sz w:val="18"/>
                <w:szCs w:val="18"/>
                <w:color w:val="auto"/>
              </w:rPr>
            </w:pPr>
          </w:p>
        </w:tc>
        <w:tc>
          <w:tcPr>
            <w:tcW w:w="13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EAEAEA"/>
          </w:tcPr>
          <w:p>
            <w:pPr>
              <w:spacing w:after="0"/>
              <w:rPr>
                <w:sz w:val="18"/>
                <w:szCs w:val="18"/>
                <w:color w:val="auto"/>
              </w:rPr>
            </w:pPr>
          </w:p>
        </w:tc>
        <w:tc>
          <w:tcPr>
            <w:tcW w:w="300" w:type="dxa"/>
            <w:vAlign w:val="bottom"/>
            <w:tcBorders>
              <w:bottom w:val="single" w:sz="8" w:color="auto"/>
            </w:tcBorders>
            <w:shd w:val="clear" w:color="auto" w:fill="EAEAEA"/>
          </w:tcPr>
          <w:p>
            <w:pPr>
              <w:spacing w:after="0"/>
              <w:rPr>
                <w:sz w:val="18"/>
                <w:szCs w:val="18"/>
                <w:color w:val="auto"/>
              </w:rPr>
            </w:pP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EAEAEA"/>
          </w:tcPr>
          <w:p>
            <w:pPr>
              <w:spacing w:after="0"/>
              <w:rPr>
                <w:sz w:val="18"/>
                <w:szCs w:val="18"/>
                <w:color w:val="auto"/>
              </w:rPr>
            </w:pPr>
          </w:p>
        </w:tc>
        <w:tc>
          <w:tcPr>
            <w:tcW w:w="160" w:type="dxa"/>
            <w:vAlign w:val="bottom"/>
            <w:tcBorders>
              <w:bottom w:val="single" w:sz="8" w:color="auto"/>
            </w:tcBorders>
            <w:shd w:val="clear" w:color="auto" w:fill="EAEAEA"/>
          </w:tcPr>
          <w:p>
            <w:pPr>
              <w:spacing w:after="0"/>
              <w:rPr>
                <w:sz w:val="18"/>
                <w:szCs w:val="18"/>
                <w:color w:val="auto"/>
              </w:rPr>
            </w:pP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665</w:t>
            </w:r>
          </w:p>
        </w:tc>
        <w:tc>
          <w:tcPr>
            <w:tcW w:w="120" w:type="dxa"/>
            <w:vAlign w:val="bottom"/>
            <w:shd w:val="clear" w:color="auto" w:fill="EAEAEA"/>
          </w:tcPr>
          <w:p>
            <w:pPr>
              <w:spacing w:after="0"/>
              <w:rPr>
                <w:sz w:val="18"/>
                <w:szCs w:val="18"/>
                <w:color w:val="auto"/>
              </w:rPr>
            </w:pPr>
          </w:p>
        </w:tc>
        <w:tc>
          <w:tcPr>
            <w:tcW w:w="300" w:type="dxa"/>
            <w:vAlign w:val="bottom"/>
            <w:tcBorders>
              <w:bottom w:val="single" w:sz="8" w:color="auto"/>
            </w:tcBorders>
            <w:shd w:val="clear" w:color="auto" w:fill="EAEAEA"/>
          </w:tcPr>
          <w:p>
            <w:pPr>
              <w:spacing w:after="0"/>
              <w:rPr>
                <w:sz w:val="18"/>
                <w:szCs w:val="18"/>
                <w:color w:val="auto"/>
              </w:rPr>
            </w:pP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486</w:t>
            </w:r>
          </w:p>
        </w:tc>
      </w:tr>
      <w:tr>
        <w:trPr>
          <w:trHeight w:val="204"/>
        </w:trPr>
        <w:tc>
          <w:tcPr>
            <w:tcW w:w="43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35,780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32,224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71,070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62,404</w:t>
            </w:r>
          </w:p>
        </w:tc>
      </w:tr>
      <w:tr>
        <w:trPr>
          <w:trHeight w:val="21"/>
        </w:trPr>
        <w:tc>
          <w:tcPr>
            <w:tcW w:w="4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As of September 30, 2026, there was $ 193,274 of unrecognized stock-based compensation expense that is expected to be recognized over a weighted-average period of 2.14 years. We account for forfeitures as they occur. To the extent that awards are forfeited, stock-based compensation will be different from our current estimate.</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RSU and PSU activity for the six months ended September 30, 2026.</w:t>
      </w:r>
    </w:p>
    <w:p>
      <w:pPr>
        <w:spacing w:after="0" w:line="275"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1"/>
              <w:spacing w:after="0"/>
              <w:rPr>
                <w:sz w:val="20"/>
                <w:szCs w:val="20"/>
                <w:color w:val="auto"/>
              </w:rPr>
            </w:pPr>
            <w:r>
              <w:rPr>
                <w:rFonts w:ascii="Arial" w:cs="Arial" w:eastAsia="Arial" w:hAnsi="Arial"/>
                <w:sz w:val="16"/>
                <w:szCs w:val="16"/>
                <w:b w:val="1"/>
                <w:bCs w:val="1"/>
                <w:color w:val="auto"/>
                <w:w w:val="98"/>
              </w:rPr>
              <w:t>Weighted-</w:t>
            </w:r>
          </w:p>
        </w:tc>
        <w:tc>
          <w:tcPr>
            <w:tcW w:w="0" w:type="dxa"/>
            <w:vAlign w:val="bottom"/>
          </w:tcPr>
          <w:p>
            <w:pPr>
              <w:spacing w:after="0"/>
              <w:rPr>
                <w:sz w:val="1"/>
                <w:szCs w:val="1"/>
                <w:color w:val="auto"/>
              </w:rPr>
            </w:pPr>
          </w:p>
        </w:tc>
      </w:tr>
      <w:tr>
        <w:trPr>
          <w:trHeight w:val="159"/>
        </w:trPr>
        <w:tc>
          <w:tcPr>
            <w:tcW w:w="5700" w:type="dxa"/>
            <w:vAlign w:val="bottom"/>
          </w:tcPr>
          <w:p>
            <w:pPr>
              <w:spacing w:after="0"/>
              <w:rPr>
                <w:sz w:val="13"/>
                <w:szCs w:val="13"/>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Number of</w:t>
            </w:r>
          </w:p>
        </w:tc>
        <w:tc>
          <w:tcPr>
            <w:tcW w:w="220" w:type="dxa"/>
            <w:vAlign w:val="bottom"/>
          </w:tcPr>
          <w:p>
            <w:pPr>
              <w:spacing w:after="0"/>
              <w:rPr>
                <w:sz w:val="13"/>
                <w:szCs w:val="13"/>
                <w:color w:val="auto"/>
              </w:rPr>
            </w:pPr>
          </w:p>
        </w:tc>
        <w:tc>
          <w:tcPr>
            <w:tcW w:w="1280" w:type="dxa"/>
            <w:vAlign w:val="bottom"/>
          </w:tcPr>
          <w:p>
            <w:pPr>
              <w:jc w:val="center"/>
              <w:ind w:right="141"/>
              <w:spacing w:after="0" w:line="159"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9"/>
        </w:trPr>
        <w:tc>
          <w:tcPr>
            <w:tcW w:w="57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ind w:right="161"/>
              <w:spacing w:after="0" w:line="159"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2"/>
        </w:trPr>
        <w:tc>
          <w:tcPr>
            <w:tcW w:w="57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1280" w:type="dxa"/>
            <w:vAlign w:val="bottom"/>
          </w:tcPr>
          <w:p>
            <w:pPr>
              <w:jc w:val="center"/>
              <w:ind w:right="161"/>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5"/>
        </w:trPr>
        <w:tc>
          <w:tcPr>
            <w:tcW w:w="5700" w:type="dxa"/>
            <w:vAlign w:val="bottom"/>
            <w:tcBorders>
              <w:top w:val="single" w:sz="8" w:color="EAEAEA"/>
            </w:tcBorders>
            <w:shd w:val="clear" w:color="auto" w:fill="EAEAEA"/>
          </w:tcPr>
          <w:p>
            <w:pPr>
              <w:spacing w:after="0"/>
              <w:rPr>
                <w:sz w:val="20"/>
                <w:szCs w:val="20"/>
                <w:color w:val="auto"/>
              </w:rPr>
            </w:pPr>
            <w:r>
              <w:rPr>
                <w:rFonts w:ascii="Arial" w:cs="Arial" w:eastAsia="Arial" w:hAnsi="Arial"/>
                <w:sz w:val="16"/>
                <w:szCs w:val="16"/>
                <w:color w:val="auto"/>
              </w:rPr>
              <w:t>Outstanding as of March 31, 2026</w:t>
            </w:r>
          </w:p>
        </w:tc>
        <w:tc>
          <w:tcPr>
            <w:tcW w:w="1460" w:type="dxa"/>
            <w:vAlign w:val="bottom"/>
            <w:tcBorders>
              <w:top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1,742</w:t>
            </w:r>
          </w:p>
        </w:tc>
        <w:tc>
          <w:tcPr>
            <w:tcW w:w="120" w:type="dxa"/>
            <w:vAlign w:val="bottom"/>
            <w:tcBorders>
              <w:top w:val="single" w:sz="8" w:color="EAEAEA"/>
            </w:tcBorders>
            <w:shd w:val="clear" w:color="auto" w:fill="EAEAEA"/>
          </w:tcPr>
          <w:p>
            <w:pPr>
              <w:spacing w:after="0"/>
              <w:rPr>
                <w:sz w:val="17"/>
                <w:szCs w:val="17"/>
                <w:color w:val="auto"/>
              </w:rPr>
            </w:pPr>
          </w:p>
        </w:tc>
        <w:tc>
          <w:tcPr>
            <w:tcW w:w="220" w:type="dxa"/>
            <w:vAlign w:val="bottom"/>
            <w:tcBorders>
              <w:top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133.22</w:t>
            </w:r>
          </w:p>
        </w:tc>
        <w:tc>
          <w:tcPr>
            <w:tcW w:w="0" w:type="dxa"/>
            <w:vAlign w:val="bottom"/>
          </w:tcPr>
          <w:p>
            <w:pPr>
              <w:spacing w:after="0"/>
              <w:rPr>
                <w:sz w:val="1"/>
                <w:szCs w:val="1"/>
                <w:color w:val="auto"/>
              </w:rPr>
            </w:pPr>
          </w:p>
        </w:tc>
      </w:tr>
      <w:tr>
        <w:trPr>
          <w:trHeight w:val="211"/>
        </w:trPr>
        <w:tc>
          <w:tcPr>
            <w:tcW w:w="5700" w:type="dxa"/>
            <w:vAlign w:val="bottom"/>
          </w:tcPr>
          <w:p>
            <w:pPr>
              <w:ind w:left="3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122.01</w:t>
            </w:r>
          </w:p>
        </w:tc>
        <w:tc>
          <w:tcPr>
            <w:tcW w:w="0" w:type="dxa"/>
            <w:vAlign w:val="bottom"/>
          </w:tcPr>
          <w:p>
            <w:pPr>
              <w:spacing w:after="0"/>
              <w:rPr>
                <w:sz w:val="1"/>
                <w:szCs w:val="1"/>
                <w:color w:val="auto"/>
              </w:rPr>
            </w:pPr>
          </w:p>
        </w:tc>
      </w:tr>
      <w:tr>
        <w:trPr>
          <w:trHeight w:val="213"/>
        </w:trPr>
        <w:tc>
          <w:tcPr>
            <w:tcW w:w="5700" w:type="dxa"/>
            <w:vAlign w:val="bottom"/>
            <w:shd w:val="clear" w:color="auto" w:fill="EAEAEA"/>
          </w:tcPr>
          <w:p>
            <w:pPr>
              <w:ind w:left="320"/>
              <w:spacing w:after="0"/>
              <w:rPr>
                <w:sz w:val="20"/>
                <w:szCs w:val="20"/>
                <w:color w:val="auto"/>
              </w:rPr>
            </w:pPr>
            <w:r>
              <w:rPr>
                <w:rFonts w:ascii="Arial" w:cs="Arial" w:eastAsia="Arial" w:hAnsi="Arial"/>
                <w:sz w:val="16"/>
                <w:szCs w:val="16"/>
                <w:color w:val="auto"/>
              </w:rPr>
              <w:t>Vested</w:t>
            </w:r>
          </w:p>
        </w:tc>
        <w:tc>
          <w:tcPr>
            <w:tcW w:w="14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EAEAEA"/>
          </w:tcPr>
          <w:p>
            <w:pPr>
              <w:spacing w:after="0"/>
              <w:rPr>
                <w:sz w:val="18"/>
                <w:szCs w:val="18"/>
                <w:color w:val="auto"/>
              </w:rPr>
            </w:pPr>
          </w:p>
        </w:tc>
        <w:tc>
          <w:tcPr>
            <w:tcW w:w="220" w:type="dxa"/>
            <w:vAlign w:val="bottom"/>
            <w:shd w:val="clear" w:color="auto" w:fill="EAEAEA"/>
          </w:tcPr>
          <w:p>
            <w:pPr>
              <w:spacing w:after="0"/>
              <w:rPr>
                <w:sz w:val="18"/>
                <w:szCs w:val="18"/>
                <w:color w:val="auto"/>
              </w:rPr>
            </w:pPr>
          </w:p>
        </w:tc>
        <w:tc>
          <w:tcPr>
            <w:tcW w:w="128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126.97</w:t>
            </w:r>
          </w:p>
        </w:tc>
        <w:tc>
          <w:tcPr>
            <w:tcW w:w="0" w:type="dxa"/>
            <w:vAlign w:val="bottom"/>
          </w:tcPr>
          <w:p>
            <w:pPr>
              <w:spacing w:after="0"/>
              <w:rPr>
                <w:sz w:val="1"/>
                <w:szCs w:val="1"/>
                <w:color w:val="auto"/>
              </w:rPr>
            </w:pPr>
          </w:p>
        </w:tc>
      </w:tr>
      <w:tr>
        <w:trPr>
          <w:trHeight w:val="211"/>
        </w:trPr>
        <w:tc>
          <w:tcPr>
            <w:tcW w:w="5700" w:type="dxa"/>
            <w:vAlign w:val="bottom"/>
            <w:tcBorders>
              <w:bottom w:val="single" w:sz="8" w:color="EAEAEA"/>
            </w:tcBorders>
          </w:tcPr>
          <w:p>
            <w:pPr>
              <w:ind w:left="32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EA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174.25</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6"/>
                <w:szCs w:val="16"/>
                <w:color w:val="auto"/>
              </w:rPr>
              <w:t>Outstanding as of September 30, 2026</w:t>
            </w:r>
          </w:p>
        </w:tc>
        <w:tc>
          <w:tcPr>
            <w:tcW w:w="14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1,994</w:t>
            </w:r>
          </w:p>
        </w:tc>
        <w:tc>
          <w:tcPr>
            <w:tcW w:w="12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128.40</w:t>
            </w:r>
          </w:p>
        </w:tc>
        <w:tc>
          <w:tcPr>
            <w:tcW w:w="0" w:type="dxa"/>
            <w:vAlign w:val="bottom"/>
          </w:tcPr>
          <w:p>
            <w:pPr>
              <w:spacing w:after="0"/>
              <w:rPr>
                <w:sz w:val="1"/>
                <w:szCs w:val="1"/>
                <w:color w:val="auto"/>
              </w:rPr>
            </w:pPr>
          </w:p>
        </w:tc>
      </w:tr>
      <w:tr>
        <w:trPr>
          <w:trHeight w:val="20"/>
        </w:trPr>
        <w:tc>
          <w:tcPr>
            <w:tcW w:w="5700" w:type="dxa"/>
            <w:vAlign w:val="bottom"/>
            <w:tcBorders>
              <w:top w:val="single" w:sz="8" w:color="EAEAEA"/>
            </w:tcBorders>
          </w:tcPr>
          <w:p>
            <w:pPr>
              <w:spacing w:after="0" w:line="20" w:lineRule="exact"/>
              <w:rPr>
                <w:sz w:val="1"/>
                <w:szCs w:val="1"/>
                <w:color w:val="auto"/>
              </w:rPr>
            </w:pPr>
          </w:p>
        </w:tc>
        <w:tc>
          <w:tcPr>
            <w:tcW w:w="14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1280" w:type="dxa"/>
            <w:vAlign w:val="bottom"/>
            <w:tcBorders>
              <w:top w:val="single" w:sz="8" w:color="EAEA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The weighted-average fair value of shares granted was $147.82 and $181.16 per unit during the three months ended September 30, 2026 and 2025, respectively, and $122.01 and $184.61 per unit during the six months ended September 30, 2026 and 2025, respectively. The fair value of awards includes awards with performance and market conditions.</w:t>
      </w:r>
    </w:p>
    <w:p>
      <w:pPr>
        <w:spacing w:after="0" w:line="122"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Employee purchases under the ESPP were as follows: 88 shares in exchange for $6,585 of proceeds in the six months ended September 30, 2026, and 45 shares in exchange for $6,974 of proceeds in the six months ended September 30, 2025.</w:t>
      </w:r>
    </w:p>
    <w:p>
      <w:pPr>
        <w:spacing w:after="0" w:line="200" w:lineRule="exact"/>
        <w:rPr>
          <w:sz w:val="20"/>
          <w:szCs w:val="20"/>
          <w:color w:val="auto"/>
        </w:rPr>
      </w:pPr>
    </w:p>
    <w:p>
      <w:pPr>
        <w:spacing w:after="0" w:line="213" w:lineRule="exact"/>
        <w:rPr>
          <w:sz w:val="20"/>
          <w:szCs w:val="20"/>
          <w:color w:val="auto"/>
        </w:rPr>
      </w:pPr>
    </w:p>
    <w:p>
      <w:pPr>
        <w:ind w:left="340" w:hanging="334"/>
        <w:spacing w:after="0"/>
        <w:tabs>
          <w:tab w:leader="none" w:pos="340" w:val="left"/>
        </w:tabs>
        <w:numPr>
          <w:ilvl w:val="0"/>
          <w:numId w:val="10"/>
        </w:numPr>
        <w:rPr>
          <w:rFonts w:ascii="Arial" w:cs="Arial" w:eastAsia="Arial" w:hAnsi="Arial"/>
          <w:sz w:val="18"/>
          <w:szCs w:val="18"/>
          <w:b w:val="1"/>
          <w:bCs w:val="1"/>
          <w:color w:val="844896"/>
        </w:rPr>
      </w:pPr>
      <w:r>
        <w:rPr>
          <w:rFonts w:ascii="Arial" w:cs="Arial" w:eastAsia="Arial" w:hAnsi="Arial"/>
          <w:sz w:val="18"/>
          <w:szCs w:val="18"/>
          <w:b w:val="1"/>
          <w:bCs w:val="1"/>
          <w:color w:val="844896"/>
        </w:rPr>
        <w:t>Income Taxes</w:t>
      </w:r>
    </w:p>
    <w:p>
      <w:pPr>
        <w:spacing w:after="0" w:line="166"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Our effective tax rate ("ETR") was 24.9% and 2.5% for the three months ended September 30, 2026 and 2025, respectively, and 29.2% and 8.9% for the six months ended September 30, 2026 and 2025, respectively. The increase in ETR as of September 30, 2026 compared to the prior year was primarily due to changes in the mix of our earnings and tax expenses between the U.S. and foreign countries, as well as changes in the tax impact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0" w:lineRule="exact"/>
        <w:rPr>
          <w:sz w:val="20"/>
          <w:szCs w:val="20"/>
          <w:color w:val="auto"/>
        </w:rPr>
      </w:pPr>
    </w:p>
    <w:p>
      <w:pPr>
        <w:ind w:left="500" w:hanging="494"/>
        <w:spacing w:after="0"/>
        <w:tabs>
          <w:tab w:leader="none" w:pos="500" w:val="left"/>
        </w:tabs>
        <w:numPr>
          <w:ilvl w:val="0"/>
          <w:numId w:val="11"/>
        </w:numPr>
        <w:rPr>
          <w:rFonts w:ascii="Arial" w:cs="Arial" w:eastAsia="Arial" w:hAnsi="Arial"/>
          <w:sz w:val="18"/>
          <w:szCs w:val="18"/>
          <w:b w:val="1"/>
          <w:bCs w:val="1"/>
          <w:color w:val="844896"/>
        </w:rPr>
      </w:pPr>
      <w:r>
        <w:rPr>
          <w:rFonts w:ascii="Arial" w:cs="Arial" w:eastAsia="Arial" w:hAnsi="Arial"/>
          <w:sz w:val="18"/>
          <w:szCs w:val="18"/>
          <w:b w:val="1"/>
          <w:bCs w:val="1"/>
          <w:color w:val="844896"/>
        </w:rPr>
        <w:t>Segment Information</w:t>
      </w:r>
    </w:p>
    <w:p>
      <w:pPr>
        <w:spacing w:after="0" w:line="219"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We operate as a single reportable segment as we report financial information, including net income determined in accordance with GAAP, among other measures, on a consolidated basis to our Chief Executive Officer, who serves as the Chief Operating Decision Maker ("CODM"). The CODM uses consolidated net income to make operating decisions, allocate resources, and evaluate financial performance, primarily by monitoring actual results compared to forecasted results, as well as by reviewing year-over-year results and trending historical performance. The CODM also uses net income in competitive analysis by benchmarking to the Company’s competitors. The competitive analysis along with the monitoring of actual versus forecasted results are used in assessing the performance of the segment.</w:t>
      </w:r>
    </w:p>
    <w:p>
      <w:pPr>
        <w:spacing w:after="0" w:line="13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CODM reviews significant segment expenses for our single reportable segment. Significant segment expenses include cost of revenues, sales and marketing expenses, research and development expenses, general and administrative expenses, depreciation and amortization, restructuring, and other operating expenses, all of which are presented in our Consolidated Statements of Operations. Other segment items include interest income, interest expense, other income, net, and income tax expense, which are also presented in our Consolidated Statements of Operations.</w:t>
      </w:r>
    </w:p>
    <w:p>
      <w:pPr>
        <w:spacing w:after="0" w:line="128"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Revenues by geography are based upon the billing address of the customer. All transfers between geographic regions have been eliminated from consolidated revenues. The following table sets forth revenue by geographic area:</w:t>
      </w:r>
    </w:p>
    <w:p>
      <w:pPr>
        <w:spacing w:after="0" w:line="87"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6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w w:val="99"/>
              </w:rPr>
              <w:t>Six Months Ended September 30,</w:t>
            </w:r>
          </w:p>
        </w:tc>
      </w:tr>
      <w:tr>
        <w:trPr>
          <w:trHeight w:val="205"/>
        </w:trPr>
        <w:tc>
          <w:tcPr>
            <w:tcW w:w="4360" w:type="dxa"/>
            <w:vAlign w:val="bottom"/>
            <w:tcBorders>
              <w:bottom w:val="single" w:sz="8" w:color="EAEAEA"/>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EAEAEA"/>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EAEAEA"/>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r>
      <w:tr>
        <w:trPr>
          <w:trHeight w:val="205"/>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176,453</w:t>
            </w:r>
          </w:p>
        </w:tc>
        <w:tc>
          <w:tcPr>
            <w:tcW w:w="120" w:type="dxa"/>
            <w:vAlign w:val="bottom"/>
            <w:shd w:val="clear" w:color="auto" w:fill="EAEAEA"/>
          </w:tcPr>
          <w:p>
            <w:pPr>
              <w:spacing w:after="0"/>
              <w:rPr>
                <w:sz w:val="17"/>
                <w:szCs w:val="17"/>
                <w:color w:val="auto"/>
              </w:rPr>
            </w:pPr>
          </w:p>
        </w:tc>
        <w:tc>
          <w:tcPr>
            <w:tcW w:w="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150,608</w:t>
            </w:r>
          </w:p>
        </w:tc>
        <w:tc>
          <w:tcPr>
            <w:tcW w:w="100" w:type="dxa"/>
            <w:vAlign w:val="bottom"/>
            <w:shd w:val="clear" w:color="auto" w:fill="EAEAEA"/>
          </w:tcPr>
          <w:p>
            <w:pPr>
              <w:spacing w:after="0"/>
              <w:rPr>
                <w:sz w:val="17"/>
                <w:szCs w:val="17"/>
                <w:color w:val="auto"/>
              </w:rPr>
            </w:pPr>
          </w:p>
        </w:tc>
        <w:tc>
          <w:tcPr>
            <w:tcW w:w="16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347,725</w:t>
            </w:r>
          </w:p>
        </w:tc>
        <w:tc>
          <w:tcPr>
            <w:tcW w:w="120" w:type="dxa"/>
            <w:vAlign w:val="bottom"/>
            <w:shd w:val="clear" w:color="auto" w:fill="EAEAEA"/>
          </w:tcPr>
          <w:p>
            <w:pPr>
              <w:spacing w:after="0"/>
              <w:rPr>
                <w:sz w:val="17"/>
                <w:szCs w:val="17"/>
                <w:color w:val="auto"/>
              </w:rPr>
            </w:pPr>
          </w:p>
        </w:tc>
        <w:tc>
          <w:tcPr>
            <w:tcW w:w="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307,507</w:t>
            </w:r>
          </w:p>
        </w:tc>
      </w:tr>
      <w:tr>
        <w:trPr>
          <w:trHeight w:val="211"/>
        </w:trPr>
        <w:tc>
          <w:tcPr>
            <w:tcW w:w="4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135,936</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125,580</w:t>
            </w:r>
          </w:p>
        </w:tc>
        <w:tc>
          <w:tcPr>
            <w:tcW w:w="100" w:type="dxa"/>
            <w:vAlign w:val="bottom"/>
            <w:tcBorders>
              <w:bottom w:val="single" w:sz="8" w:color="EA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278,795</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250,659</w:t>
            </w:r>
          </w:p>
        </w:tc>
      </w:tr>
      <w:tr>
        <w:trPr>
          <w:trHeight w:val="230"/>
        </w:trPr>
        <w:tc>
          <w:tcPr>
            <w:tcW w:w="4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312,389</w:t>
            </w:r>
          </w:p>
        </w:tc>
        <w:tc>
          <w:tcPr>
            <w:tcW w:w="12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auto"/>
            </w:tcBorders>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276,188</w:t>
            </w:r>
          </w:p>
        </w:tc>
        <w:tc>
          <w:tcPr>
            <w:tcW w:w="100" w:type="dxa"/>
            <w:vAlign w:val="bottom"/>
            <w:tcBorders>
              <w:bottom w:val="single" w:sz="8" w:color="EAEAEA"/>
            </w:tcBorders>
            <w:shd w:val="clear" w:color="auto" w:fill="EAEAEA"/>
          </w:tcPr>
          <w:p>
            <w:pPr>
              <w:spacing w:after="0"/>
              <w:rPr>
                <w:sz w:val="19"/>
                <w:szCs w:val="19"/>
                <w:color w:val="auto"/>
              </w:rPr>
            </w:pPr>
          </w:p>
        </w:tc>
        <w:tc>
          <w:tcPr>
            <w:tcW w:w="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626,520</w:t>
            </w:r>
          </w:p>
        </w:tc>
        <w:tc>
          <w:tcPr>
            <w:tcW w:w="12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auto"/>
            </w:tcBorders>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558,166</w:t>
            </w: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100" w:type="dxa"/>
            <w:vAlign w:val="bottom"/>
            <w:tcBorders>
              <w:top w:val="single" w:sz="8" w:color="EAEAEA"/>
              <w:bottom w:val="single" w:sz="8" w:color="auto"/>
            </w:tcBorders>
          </w:tcPr>
          <w:p>
            <w:pPr>
              <w:spacing w:after="0" w:line="20" w:lineRule="exact"/>
              <w:rPr>
                <w:sz w:val="1"/>
                <w:szCs w:val="1"/>
                <w:color w:val="auto"/>
              </w:rPr>
            </w:pPr>
          </w:p>
        </w:tc>
        <w:tc>
          <w:tcPr>
            <w:tcW w:w="130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60" w:type="dxa"/>
            <w:vAlign w:val="bottom"/>
            <w:tcBorders>
              <w:top w:val="single" w:sz="8" w:color="EAEAEA"/>
              <w:bottom w:val="single" w:sz="8" w:color="auto"/>
            </w:tcBorders>
          </w:tcPr>
          <w:p>
            <w:pPr>
              <w:spacing w:after="0" w:line="20" w:lineRule="exact"/>
              <w:rPr>
                <w:sz w:val="1"/>
                <w:szCs w:val="1"/>
                <w:color w:val="auto"/>
              </w:rPr>
            </w:pPr>
          </w:p>
        </w:tc>
        <w:tc>
          <w:tcPr>
            <w:tcW w:w="12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No individual country other than the United States accounted for 10% or more of revenues for the three and six months ended September 30, 2026 and 2025. Revenue included in the "Other" caption above primarily relates to our operations in Europe, Australia, Canada, and Asia.</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0" w:lineRule="exact"/>
        <w:rPr>
          <w:sz w:val="20"/>
          <w:szCs w:val="20"/>
          <w:color w:val="auto"/>
        </w:rPr>
      </w:pPr>
    </w:p>
    <w:p>
      <w:pPr>
        <w:ind w:left="440" w:hanging="434"/>
        <w:spacing w:after="0"/>
        <w:tabs>
          <w:tab w:leader="none" w:pos="440" w:val="left"/>
        </w:tabs>
        <w:numPr>
          <w:ilvl w:val="0"/>
          <w:numId w:val="12"/>
        </w:numPr>
        <w:rPr>
          <w:rFonts w:ascii="Arial" w:cs="Arial" w:eastAsia="Arial" w:hAnsi="Arial"/>
          <w:sz w:val="18"/>
          <w:szCs w:val="18"/>
          <w:b w:val="1"/>
          <w:bCs w:val="1"/>
          <w:color w:val="844896"/>
        </w:rPr>
      </w:pPr>
      <w:r>
        <w:rPr>
          <w:rFonts w:ascii="Arial" w:cs="Arial" w:eastAsia="Arial" w:hAnsi="Arial"/>
          <w:sz w:val="18"/>
          <w:szCs w:val="18"/>
          <w:b w:val="1"/>
          <w:bCs w:val="1"/>
          <w:color w:val="844896"/>
        </w:rPr>
        <w:t>Restructuring</w:t>
      </w:r>
    </w:p>
    <w:p>
      <w:pPr>
        <w:spacing w:after="0" w:line="16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We initiated a restructuring plan in the first quarter of fiscal 2026 ("Plan A") which was completed in the fourth quarter of fiscal 2026. It was intended to optimize our Business Technology organization. The objective of this plan was to realign the workforce, invest in emerging capabilities, modernize the technology landscape, and streamline operations to operate with greater agility and customer focus. There were no charges incurred for the three and six months ended September 30, 2026 related to Plan A. For the three and six months ended September 30, 2025, restructuring charges related to this plan were composed of the following:</w:t>
      </w:r>
    </w:p>
    <w:p>
      <w:pPr>
        <w:spacing w:after="0" w:line="146"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Three Months Ended</w:t>
            </w:r>
          </w:p>
        </w:tc>
        <w:tc>
          <w:tcPr>
            <w:tcW w:w="220" w:type="dxa"/>
            <w:vAlign w:val="bottom"/>
          </w:tcPr>
          <w:p>
            <w:pPr>
              <w:spacing w:after="0"/>
              <w:rPr>
                <w:sz w:val="16"/>
                <w:szCs w:val="16"/>
                <w:color w:val="auto"/>
              </w:rPr>
            </w:pPr>
          </w:p>
        </w:tc>
        <w:tc>
          <w:tcPr>
            <w:tcW w:w="1960" w:type="dxa"/>
            <w:vAlign w:val="bottom"/>
          </w:tcPr>
          <w:p>
            <w:pPr>
              <w:jc w:val="right"/>
              <w:ind w:right="321"/>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4380" w:type="dxa"/>
            <w:vAlign w:val="bottom"/>
            <w:tcBorders>
              <w:bottom w:val="single" w:sz="8" w:color="EAEAEA"/>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September 30, 2025</w:t>
            </w: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September 30, 2025</w:t>
            </w:r>
          </w:p>
        </w:tc>
      </w:tr>
      <w:tr>
        <w:trPr>
          <w:trHeight w:val="205"/>
        </w:trPr>
        <w:tc>
          <w:tcPr>
            <w:tcW w:w="4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Employee severance and related costs</w:t>
            </w:r>
          </w:p>
        </w:tc>
        <w:tc>
          <w:tcPr>
            <w:tcW w:w="20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EAEAEA"/>
          </w:tcPr>
          <w:p>
            <w:pPr>
              <w:spacing w:after="0"/>
              <w:rPr>
                <w:sz w:val="17"/>
                <w:szCs w:val="17"/>
                <w:color w:val="auto"/>
              </w:rPr>
            </w:pPr>
          </w:p>
        </w:tc>
        <w:tc>
          <w:tcPr>
            <w:tcW w:w="22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1,180</w:t>
            </w:r>
          </w:p>
        </w:tc>
      </w:tr>
      <w:tr>
        <w:trPr>
          <w:trHeight w:val="211"/>
        </w:trPr>
        <w:tc>
          <w:tcPr>
            <w:tcW w:w="43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Stock-based compensation</w:t>
            </w: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EAEA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30"/>
        </w:trPr>
        <w:tc>
          <w:tcPr>
            <w:tcW w:w="43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restructuring charges</w:t>
            </w:r>
          </w:p>
        </w:tc>
        <w:tc>
          <w:tcPr>
            <w:tcW w:w="200" w:type="dxa"/>
            <w:vAlign w:val="bottom"/>
            <w:tcBorders>
              <w:bottom w:val="single" w:sz="8" w:color="auto"/>
            </w:tcBorders>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EAEAEA"/>
            </w:tcBorders>
            <w:shd w:val="clear" w:color="auto" w:fill="EAEAEA"/>
          </w:tcPr>
          <w:p>
            <w:pPr>
              <w:spacing w:after="0"/>
              <w:rPr>
                <w:sz w:val="19"/>
                <w:szCs w:val="19"/>
                <w:color w:val="auto"/>
              </w:rPr>
            </w:pPr>
          </w:p>
        </w:tc>
        <w:tc>
          <w:tcPr>
            <w:tcW w:w="220" w:type="dxa"/>
            <w:vAlign w:val="bottom"/>
            <w:tcBorders>
              <w:bottom w:val="single" w:sz="8" w:color="auto"/>
            </w:tcBorders>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1,666</w:t>
            </w:r>
          </w:p>
        </w:tc>
      </w:tr>
      <w:tr>
        <w:trPr>
          <w:trHeight w:val="20"/>
        </w:trPr>
        <w:tc>
          <w:tcPr>
            <w:tcW w:w="4380" w:type="dxa"/>
            <w:vAlign w:val="bottom"/>
            <w:tcBorders>
              <w:top w:val="single" w:sz="8" w:color="EAEAEA"/>
            </w:tcBorders>
          </w:tcPr>
          <w:p>
            <w:pPr>
              <w:spacing w:after="0" w:line="20" w:lineRule="exact"/>
              <w:rPr>
                <w:sz w:val="1"/>
                <w:szCs w:val="1"/>
                <w:color w:val="auto"/>
              </w:rPr>
            </w:pPr>
          </w:p>
        </w:tc>
        <w:tc>
          <w:tcPr>
            <w:tcW w:w="200" w:type="dxa"/>
            <w:vAlign w:val="bottom"/>
            <w:tcBorders>
              <w:top w:val="single" w:sz="8" w:color="EAEAEA"/>
              <w:bottom w:val="single" w:sz="8" w:color="auto"/>
            </w:tcBorders>
          </w:tcPr>
          <w:p>
            <w:pPr>
              <w:spacing w:after="0" w:line="20" w:lineRule="exact"/>
              <w:rPr>
                <w:sz w:val="1"/>
                <w:szCs w:val="1"/>
                <w:color w:val="auto"/>
              </w:rPr>
            </w:pPr>
          </w:p>
        </w:tc>
        <w:tc>
          <w:tcPr>
            <w:tcW w:w="19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220" w:type="dxa"/>
            <w:vAlign w:val="bottom"/>
            <w:tcBorders>
              <w:top w:val="single" w:sz="8" w:color="EAEAEA"/>
              <w:bottom w:val="single" w:sz="8" w:color="auto"/>
            </w:tcBorders>
          </w:tcPr>
          <w:p>
            <w:pPr>
              <w:spacing w:after="0" w:line="20" w:lineRule="exact"/>
              <w:rPr>
                <w:sz w:val="1"/>
                <w:szCs w:val="1"/>
                <w:color w:val="auto"/>
              </w:rPr>
            </w:pPr>
          </w:p>
        </w:tc>
        <w:tc>
          <w:tcPr>
            <w:tcW w:w="196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We initiated a restructuring plan in the third quarter of fiscal 2026 ("Plan B") intended to optimize our cost structure, improve organizational agility, and better align resources with strategic priorities. These restructuring activities encompass workforce reductions, office lease closures, and exit of operations in certain jurisdictions. The majority of these costs have been incurred and the remaining activities are anticipated to be completed in fiscal 2027. For the three and six months ended September 30, 2026, restructuring charges related to Plan B were composed of the following:</w:t>
      </w:r>
    </w:p>
    <w:p>
      <w:pPr>
        <w:spacing w:after="0" w:line="146"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Three Months Ended</w:t>
            </w:r>
          </w:p>
        </w:tc>
        <w:tc>
          <w:tcPr>
            <w:tcW w:w="220" w:type="dxa"/>
            <w:vAlign w:val="bottom"/>
          </w:tcPr>
          <w:p>
            <w:pPr>
              <w:spacing w:after="0"/>
              <w:rPr>
                <w:sz w:val="16"/>
                <w:szCs w:val="16"/>
                <w:color w:val="auto"/>
              </w:rPr>
            </w:pPr>
          </w:p>
        </w:tc>
        <w:tc>
          <w:tcPr>
            <w:tcW w:w="1960" w:type="dxa"/>
            <w:vAlign w:val="bottom"/>
          </w:tcPr>
          <w:p>
            <w:pPr>
              <w:jc w:val="right"/>
              <w:ind w:right="321"/>
              <w:spacing w:after="0"/>
              <w:rPr>
                <w:sz w:val="20"/>
                <w:szCs w:val="20"/>
                <w:color w:val="auto"/>
              </w:rPr>
            </w:pPr>
            <w:r>
              <w:rPr>
                <w:rFonts w:ascii="Arial" w:cs="Arial" w:eastAsia="Arial" w:hAnsi="Arial"/>
                <w:sz w:val="16"/>
                <w:szCs w:val="16"/>
                <w:b w:val="1"/>
                <w:bCs w:val="1"/>
                <w:color w:val="auto"/>
              </w:rPr>
              <w:t>Six Months Ended</w:t>
            </w:r>
          </w:p>
        </w:tc>
      </w:tr>
      <w:tr>
        <w:trPr>
          <w:trHeight w:val="212"/>
        </w:trPr>
        <w:tc>
          <w:tcPr>
            <w:tcW w:w="4380" w:type="dxa"/>
            <w:vAlign w:val="bottom"/>
            <w:tcBorders>
              <w:bottom w:val="single" w:sz="8" w:color="EAEAEA"/>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September 30, 2026</w:t>
            </w: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September 30, 2026</w:t>
            </w:r>
          </w:p>
        </w:tc>
      </w:tr>
      <w:tr>
        <w:trPr>
          <w:trHeight w:val="205"/>
        </w:trPr>
        <w:tc>
          <w:tcPr>
            <w:tcW w:w="4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Employee severance and related costs</w:t>
            </w:r>
          </w:p>
        </w:tc>
        <w:tc>
          <w:tcPr>
            <w:tcW w:w="20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EAEAEA"/>
          </w:tcPr>
          <w:p>
            <w:pPr>
              <w:spacing w:after="0"/>
              <w:rPr>
                <w:sz w:val="17"/>
                <w:szCs w:val="17"/>
                <w:color w:val="auto"/>
              </w:rPr>
            </w:pPr>
          </w:p>
        </w:tc>
        <w:tc>
          <w:tcPr>
            <w:tcW w:w="220" w:type="dxa"/>
            <w:vAlign w:val="bottom"/>
            <w:shd w:val="clear" w:color="auto" w:fill="EAEAEA"/>
          </w:tcPr>
          <w:p>
            <w:pPr>
              <w:jc w:val="right"/>
              <w:ind w:right="41"/>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1,383</w:t>
            </w:r>
          </w:p>
        </w:tc>
      </w:tr>
      <w:tr>
        <w:trPr>
          <w:trHeight w:val="211"/>
        </w:trPr>
        <w:tc>
          <w:tcPr>
            <w:tcW w:w="43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98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13"/>
        </w:trPr>
        <w:tc>
          <w:tcPr>
            <w:tcW w:w="438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costs</w:t>
            </w:r>
          </w:p>
        </w:tc>
        <w:tc>
          <w:tcPr>
            <w:tcW w:w="200" w:type="dxa"/>
            <w:vAlign w:val="bottom"/>
            <w:tcBorders>
              <w:bottom w:val="single" w:sz="8" w:color="auto"/>
            </w:tcBorders>
            <w:shd w:val="clear" w:color="auto" w:fill="EAEAEA"/>
          </w:tcPr>
          <w:p>
            <w:pPr>
              <w:spacing w:after="0"/>
              <w:rPr>
                <w:sz w:val="18"/>
                <w:szCs w:val="18"/>
                <w:color w:val="auto"/>
              </w:rPr>
            </w:pPr>
          </w:p>
        </w:tc>
        <w:tc>
          <w:tcPr>
            <w:tcW w:w="198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EAEAEA"/>
          </w:tcPr>
          <w:p>
            <w:pPr>
              <w:spacing w:after="0"/>
              <w:rPr>
                <w:sz w:val="18"/>
                <w:szCs w:val="18"/>
                <w:color w:val="auto"/>
              </w:rPr>
            </w:pPr>
          </w:p>
        </w:tc>
        <w:tc>
          <w:tcPr>
            <w:tcW w:w="220" w:type="dxa"/>
            <w:vAlign w:val="bottom"/>
            <w:tcBorders>
              <w:bottom w:val="single" w:sz="8" w:color="auto"/>
            </w:tcBorders>
            <w:shd w:val="clear" w:color="auto" w:fill="EAEAEA"/>
          </w:tcPr>
          <w:p>
            <w:pPr>
              <w:spacing w:after="0"/>
              <w:rPr>
                <w:sz w:val="18"/>
                <w:szCs w:val="18"/>
                <w:color w:val="auto"/>
              </w:rPr>
            </w:pPr>
          </w:p>
        </w:tc>
        <w:tc>
          <w:tcPr>
            <w:tcW w:w="19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672</w:t>
            </w:r>
          </w:p>
        </w:tc>
      </w:tr>
      <w:tr>
        <w:trPr>
          <w:trHeight w:val="204"/>
        </w:trPr>
        <w:tc>
          <w:tcPr>
            <w:tcW w:w="4380" w:type="dxa"/>
            <w:vAlign w:val="bottom"/>
          </w:tcPr>
          <w:p>
            <w:pPr>
              <w:ind w:left="20"/>
              <w:spacing w:after="0"/>
              <w:rPr>
                <w:sz w:val="20"/>
                <w:szCs w:val="20"/>
                <w:color w:val="auto"/>
              </w:rPr>
            </w:pPr>
            <w:r>
              <w:rPr>
                <w:rFonts w:ascii="Arial" w:cs="Arial" w:eastAsia="Arial" w:hAnsi="Arial"/>
                <w:sz w:val="16"/>
                <w:szCs w:val="16"/>
                <w:color w:val="auto"/>
              </w:rPr>
              <w:t>Total restructuring charges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r>
      <w:tr>
        <w:trPr>
          <w:trHeight w:val="21"/>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Restructuring Accrual</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accrual activity related to our restructuring plans for the six months ended September 30, 2026 was as follows:</w:t>
      </w:r>
    </w:p>
    <w:p>
      <w:pPr>
        <w:spacing w:after="0" w:line="299" w:lineRule="exact"/>
        <w:rPr>
          <w:sz w:val="20"/>
          <w:szCs w:val="20"/>
          <w:color w:val="auto"/>
        </w:rPr>
      </w:pPr>
    </w:p>
    <w:tbl>
      <w:tblPr>
        <w:tblLayout w:type="fixed"/>
        <w:tblInd w:w="120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b w:val="1"/>
                <w:bCs w:val="1"/>
                <w:color w:val="auto"/>
              </w:rPr>
              <w:t>Plan 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Plan B</w:t>
            </w:r>
          </w:p>
        </w:tc>
        <w:tc>
          <w:tcPr>
            <w:tcW w:w="360" w:type="dxa"/>
            <w:vAlign w:val="bottom"/>
          </w:tcPr>
          <w:p>
            <w:pPr>
              <w:spacing w:after="0"/>
              <w:rPr>
                <w:sz w:val="18"/>
                <w:szCs w:val="18"/>
                <w:color w:val="auto"/>
              </w:rPr>
            </w:pPr>
          </w:p>
        </w:tc>
        <w:tc>
          <w:tcPr>
            <w:tcW w:w="1280" w:type="dxa"/>
            <w:vAlign w:val="bottom"/>
          </w:tcPr>
          <w:p>
            <w:pPr>
              <w:jc w:val="right"/>
              <w:ind w:right="561"/>
              <w:spacing w:after="0"/>
              <w:rPr>
                <w:sz w:val="20"/>
                <w:szCs w:val="20"/>
                <w:color w:val="auto"/>
              </w:rPr>
            </w:pPr>
            <w:r>
              <w:rPr>
                <w:rFonts w:ascii="Arial" w:cs="Arial" w:eastAsia="Arial" w:hAnsi="Arial"/>
                <w:sz w:val="16"/>
                <w:szCs w:val="16"/>
                <w:b w:val="1"/>
                <w:bCs w:val="1"/>
                <w:color w:val="auto"/>
              </w:rPr>
              <w:t>Total</w:t>
            </w:r>
          </w:p>
        </w:tc>
      </w:tr>
      <w:tr>
        <w:trPr>
          <w:trHeight w:val="205"/>
        </w:trPr>
        <w:tc>
          <w:tcPr>
            <w:tcW w:w="4380" w:type="dxa"/>
            <w:vAlign w:val="bottom"/>
            <w:tcBorders>
              <w:top w:val="single" w:sz="8" w:color="EAEAEA"/>
            </w:tcBorders>
            <w:shd w:val="clear" w:color="auto" w:fill="EAEAEA"/>
          </w:tcPr>
          <w:p>
            <w:pPr>
              <w:spacing w:after="0"/>
              <w:rPr>
                <w:sz w:val="20"/>
                <w:szCs w:val="20"/>
                <w:color w:val="auto"/>
              </w:rPr>
            </w:pPr>
            <w:r>
              <w:rPr>
                <w:rFonts w:ascii="Arial" w:cs="Arial" w:eastAsia="Arial" w:hAnsi="Arial"/>
                <w:sz w:val="16"/>
                <w:szCs w:val="16"/>
                <w:color w:val="auto"/>
              </w:rPr>
              <w:t>Balance as of March 31, 2026</w:t>
            </w:r>
          </w:p>
        </w:tc>
        <w:tc>
          <w:tcPr>
            <w:tcW w:w="1180" w:type="dxa"/>
            <w:vAlign w:val="bottom"/>
            <w:tcBorders>
              <w:top w:val="single" w:sz="8" w:color="auto"/>
            </w:tcBorders>
            <w:shd w:val="clear" w:color="auto" w:fill="EAEAEA"/>
          </w:tcPr>
          <w:p>
            <w:pPr>
              <w:jc w:val="right"/>
              <w:ind w:right="100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EAEAEA"/>
            </w:tcBorders>
            <w:shd w:val="clear" w:color="auto" w:fill="EAEAEA"/>
          </w:tcPr>
          <w:p>
            <w:pPr>
              <w:spacing w:after="0"/>
              <w:rPr>
                <w:sz w:val="17"/>
                <w:szCs w:val="17"/>
                <w:color w:val="auto"/>
              </w:rPr>
            </w:pPr>
          </w:p>
        </w:tc>
        <w:tc>
          <w:tcPr>
            <w:tcW w:w="340" w:type="dxa"/>
            <w:vAlign w:val="bottom"/>
            <w:tcBorders>
              <w:top w:val="single" w:sz="8" w:color="auto"/>
            </w:tcBorders>
            <w:shd w:val="clear" w:color="auto" w:fill="EAEAEA"/>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4,667</w:t>
            </w:r>
          </w:p>
        </w:tc>
        <w:tc>
          <w:tcPr>
            <w:tcW w:w="120" w:type="dxa"/>
            <w:vAlign w:val="bottom"/>
            <w:tcBorders>
              <w:top w:val="single" w:sz="8" w:color="EAEAEA"/>
            </w:tcBorders>
            <w:shd w:val="clear" w:color="auto" w:fill="EAEAEA"/>
          </w:tcPr>
          <w:p>
            <w:pPr>
              <w:spacing w:after="0"/>
              <w:rPr>
                <w:sz w:val="17"/>
                <w:szCs w:val="17"/>
                <w:color w:val="auto"/>
              </w:rPr>
            </w:pPr>
          </w:p>
        </w:tc>
        <w:tc>
          <w:tcPr>
            <w:tcW w:w="360" w:type="dxa"/>
            <w:vAlign w:val="bottom"/>
            <w:tcBorders>
              <w:top w:val="single" w:sz="8" w:color="auto"/>
            </w:tcBorders>
            <w:shd w:val="clear" w:color="auto" w:fill="EAEAEA"/>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4,700</w:t>
            </w:r>
          </w:p>
        </w:tc>
      </w:tr>
      <w:tr>
        <w:trPr>
          <w:trHeight w:val="211"/>
        </w:trPr>
        <w:tc>
          <w:tcPr>
            <w:tcW w:w="4380" w:type="dxa"/>
            <w:vAlign w:val="bottom"/>
          </w:tcPr>
          <w:p>
            <w:pPr>
              <w:spacing w:after="0"/>
              <w:rPr>
                <w:sz w:val="20"/>
                <w:szCs w:val="20"/>
                <w:color w:val="auto"/>
              </w:rPr>
            </w:pPr>
            <w:r>
              <w:rPr>
                <w:rFonts w:ascii="Arial" w:cs="Arial" w:eastAsia="Arial" w:hAnsi="Arial"/>
                <w:sz w:val="16"/>
                <w:szCs w:val="16"/>
                <w:color w:val="auto"/>
              </w:rPr>
              <w:t>Employee severance and related costs</w:t>
            </w:r>
          </w:p>
        </w:tc>
        <w:tc>
          <w:tcPr>
            <w:tcW w:w="11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1,383</w:t>
            </w:r>
          </w:p>
        </w:tc>
      </w:tr>
      <w:tr>
        <w:trPr>
          <w:trHeight w:val="213"/>
        </w:trPr>
        <w:tc>
          <w:tcPr>
            <w:tcW w:w="4380" w:type="dxa"/>
            <w:vAlign w:val="bottom"/>
            <w:shd w:val="clear" w:color="auto" w:fill="EAEAEA"/>
          </w:tcPr>
          <w:p>
            <w:pPr>
              <w:spacing w:after="0"/>
              <w:rPr>
                <w:sz w:val="20"/>
                <w:szCs w:val="20"/>
                <w:color w:val="auto"/>
              </w:rPr>
            </w:pPr>
            <w:r>
              <w:rPr>
                <w:rFonts w:ascii="Arial" w:cs="Arial" w:eastAsia="Arial" w:hAnsi="Arial"/>
                <w:sz w:val="16"/>
                <w:szCs w:val="16"/>
                <w:color w:val="auto"/>
              </w:rPr>
              <w:t>Payments</w:t>
            </w:r>
          </w:p>
        </w:tc>
        <w:tc>
          <w:tcPr>
            <w:tcW w:w="1180" w:type="dxa"/>
            <w:vAlign w:val="bottom"/>
            <w:tcBorders>
              <w:bottom w:val="single" w:sz="8" w:color="auto"/>
            </w:tcBorders>
            <w:shd w:val="clear" w:color="auto" w:fill="EAEAEA"/>
          </w:tcPr>
          <w:p>
            <w:pPr>
              <w:spacing w:after="0"/>
              <w:rPr>
                <w:sz w:val="18"/>
                <w:szCs w:val="18"/>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EAEAEA"/>
          </w:tcPr>
          <w:p>
            <w:pPr>
              <w:spacing w:after="0"/>
              <w:rPr>
                <w:sz w:val="18"/>
                <w:szCs w:val="18"/>
                <w:color w:val="auto"/>
              </w:rPr>
            </w:pPr>
          </w:p>
        </w:tc>
        <w:tc>
          <w:tcPr>
            <w:tcW w:w="340" w:type="dxa"/>
            <w:vAlign w:val="bottom"/>
            <w:tcBorders>
              <w:bottom w:val="single" w:sz="8" w:color="auto"/>
            </w:tcBorders>
            <w:shd w:val="clear" w:color="auto" w:fill="EAEAEA"/>
          </w:tcPr>
          <w:p>
            <w:pPr>
              <w:spacing w:after="0"/>
              <w:rPr>
                <w:sz w:val="18"/>
                <w:szCs w:val="18"/>
                <w:color w:val="auto"/>
              </w:rPr>
            </w:pPr>
          </w:p>
        </w:tc>
        <w:tc>
          <w:tcPr>
            <w:tcW w:w="13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(5,289)</w:t>
            </w:r>
          </w:p>
        </w:tc>
        <w:tc>
          <w:tcPr>
            <w:tcW w:w="120" w:type="dxa"/>
            <w:vAlign w:val="bottom"/>
            <w:shd w:val="clear" w:color="auto" w:fill="EAEAEA"/>
          </w:tcPr>
          <w:p>
            <w:pPr>
              <w:spacing w:after="0"/>
              <w:rPr>
                <w:sz w:val="18"/>
                <w:szCs w:val="18"/>
                <w:color w:val="auto"/>
              </w:rPr>
            </w:pPr>
          </w:p>
        </w:tc>
        <w:tc>
          <w:tcPr>
            <w:tcW w:w="360" w:type="dxa"/>
            <w:vAlign w:val="bottom"/>
            <w:tcBorders>
              <w:bottom w:val="single" w:sz="8" w:color="auto"/>
            </w:tcBorders>
            <w:shd w:val="clear" w:color="auto" w:fill="EAEAEA"/>
          </w:tcPr>
          <w:p>
            <w:pPr>
              <w:spacing w:after="0"/>
              <w:rPr>
                <w:sz w:val="18"/>
                <w:szCs w:val="18"/>
                <w:color w:val="auto"/>
              </w:rPr>
            </w:pPr>
          </w:p>
        </w:tc>
        <w:tc>
          <w:tcPr>
            <w:tcW w:w="12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(5,322)</w:t>
            </w:r>
          </w:p>
        </w:tc>
      </w:tr>
      <w:tr>
        <w:trPr>
          <w:trHeight w:val="204"/>
        </w:trPr>
        <w:tc>
          <w:tcPr>
            <w:tcW w:w="4380" w:type="dxa"/>
            <w:vAlign w:val="bottom"/>
          </w:tcPr>
          <w:p>
            <w:pPr>
              <w:spacing w:after="0"/>
              <w:rPr>
                <w:sz w:val="20"/>
                <w:szCs w:val="20"/>
                <w:color w:val="auto"/>
              </w:rPr>
            </w:pPr>
            <w:r>
              <w:rPr>
                <w:rFonts w:ascii="Arial" w:cs="Arial" w:eastAsia="Arial" w:hAnsi="Arial"/>
                <w:sz w:val="16"/>
                <w:szCs w:val="16"/>
                <w:color w:val="auto"/>
              </w:rPr>
              <w:t>Balance as of September 30, 2026</w:t>
            </w:r>
          </w:p>
        </w:tc>
        <w:tc>
          <w:tcPr>
            <w:tcW w:w="118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761</w:t>
            </w:r>
          </w:p>
        </w:tc>
      </w:tr>
      <w:tr>
        <w:trPr>
          <w:trHeight w:val="21"/>
        </w:trPr>
        <w:tc>
          <w:tcPr>
            <w:tcW w:w="4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0" w:lineRule="exact"/>
        <w:rPr>
          <w:sz w:val="20"/>
          <w:szCs w:val="20"/>
          <w:color w:val="auto"/>
        </w:rPr>
      </w:pPr>
    </w:p>
    <w:p>
      <w:pPr>
        <w:ind w:left="440" w:hanging="434"/>
        <w:spacing w:after="0"/>
        <w:tabs>
          <w:tab w:leader="none" w:pos="440" w:val="left"/>
        </w:tabs>
        <w:numPr>
          <w:ilvl w:val="0"/>
          <w:numId w:val="13"/>
        </w:numPr>
        <w:rPr>
          <w:rFonts w:ascii="Arial" w:cs="Arial" w:eastAsia="Arial" w:hAnsi="Arial"/>
          <w:sz w:val="18"/>
          <w:szCs w:val="18"/>
          <w:b w:val="1"/>
          <w:bCs w:val="1"/>
          <w:color w:val="844896"/>
        </w:rPr>
      </w:pPr>
      <w:r>
        <w:rPr>
          <w:rFonts w:ascii="Arial" w:cs="Arial" w:eastAsia="Arial" w:hAnsi="Arial"/>
          <w:sz w:val="18"/>
          <w:szCs w:val="18"/>
          <w:b w:val="1"/>
          <w:bCs w:val="1"/>
          <w:color w:val="844896"/>
        </w:rPr>
        <w:t>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6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On September 5, 2025, we issued $900,000 aggregate principal amount of the Notes, including the exercise in full by the initial purchasers of the Notes of their option to purchase an additional $115,000 aggregate principal amount of the Notes. The Notes were issued pursuant to an Indenture, dated September 5, 2025 (the "Indenture"), between Commvault and U.S. Bank Trust Company, National Association, as trustee. The Notes are senior, unsecured obligations and do not bear regular interest; however, special interest and additional interest, if any, may accrue on the Notes at a combined rate per annum not exceeding 0.50% upon the occurrence of certain events as described in the Indenture. The Notes mature on September 15, 2030, unless earlier converted, redeemed, or repurchased. The total net proceeds from the offering, after deducting debt issuance costs, were $878,447.</w:t>
      </w:r>
    </w:p>
    <w:p>
      <w:pPr>
        <w:spacing w:after="0" w:line="134"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Noteholders will have the right to convert their Notes before March 15, 2030 only under the following circumstances: (1) during any fiscal quarter (and only during such fiscal quarter) commencing after the fiscal quarter ending on December 31, 2025, if the Last Reported Sale Price (as defined in the Indenture) per share of our common stock exceeds 130% of the conversion price (as described below) for each of at least 20 Trading Days (as defined in the Indenture) (whether or not consecutive) during a period of 30 consecutive Trading Days ending on, and including, the last Trading Day of the immediately preceding fiscal quarter; (2) during the five consecutive business days immediately after any ten consecutive Trading Day period (the "Measurement Period") in which the Trading Price (as defined in the Indenture) per $1,000 principal amount of Notes for each Trading Day of the Measurement Period was less than 98% of the product of the Last Reported Sale Price per share of the common stock on such Trading Day and the conversion rate (as described below) on each Trading Day; (3) upon the occurrence of specified corporate events or distributions on the common stock as set forth in the Indenture; or (4) if the Company calls such Notes for redemption.</w:t>
      </w:r>
    </w:p>
    <w:p>
      <w:pPr>
        <w:spacing w:after="0" w:line="132"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On or after March 15, 2030, until the close of business on the second Scheduled Trading Day (as defined in the Indenture) immediately before the maturity date, the Notes will be convertible at the option of the noteholders at any time, in multiples of $1,000 principal amount. The conversion rate for the Notes will initially be 4.2215 shares of common stock per $1,000 principal amount of Notes, which is equivalent to an initial conversion price of approximately $236.88 per share of common stock. The conversion rate is subject to adjustment upon certain events. Upon conversion, consideration due will consist of cash, up to the principal amount of the Notes to be converted, and, for any conversion value in excess of principal, cash or shares of our common stock, at our election.</w:t>
      </w:r>
    </w:p>
    <w:p>
      <w:pPr>
        <w:spacing w:after="0" w:line="13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We may not redeem the Notes at our option at any time before September 22, 2028. We will have the option to redeem the Notes, in whole or in part, on or after September 22, 2028 and before the 41st Scheduled Trading Day immediately before the maturity date, at a cash redemption price equal to the principal amount of the Notes to be redeemed, plus accrued and unpaid special interest and additional interest, if any, to, but excluding, the redemption date, but only if (i) the Notes are Freely Tradable (as defined in the Indenture); and (ii)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 Pursuant to the partial redemption limitation, we may not elect to redeem less than all of the outstanding Notes unless at least $100,000 aggregate principal amount of Notes are outstanding and not subject to redemption as of the time we send the related redemption notice.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net carrying amount of the Notes was as follows:</w:t>
      </w:r>
    </w:p>
    <w:p>
      <w:pPr>
        <w:spacing w:after="0" w:line="206" w:lineRule="exact"/>
        <w:rPr>
          <w:sz w:val="20"/>
          <w:szCs w:val="20"/>
          <w:color w:val="auto"/>
        </w:rPr>
      </w:pPr>
    </w:p>
    <w:tbl>
      <w:tblPr>
        <w:tblLayout w:type="fixed"/>
        <w:tblInd w:w="2080" w:type="dxa"/>
        <w:tblCellMar>
          <w:top w:w="0" w:type="dxa"/>
          <w:left w:w="0" w:type="dxa"/>
          <w:bottom w:w="0" w:type="dxa"/>
          <w:right w:w="0" w:type="dxa"/>
        </w:tblCellMar>
      </w:tblPr>
      <w:tr>
        <w:trPr>
          <w:trHeight w:val="213"/>
        </w:trPr>
        <w:tc>
          <w:tcPr>
            <w:tcW w:w="5720" w:type="dxa"/>
            <w:vAlign w:val="bottom"/>
            <w:tcBorders>
              <w:bottom w:val="single" w:sz="8" w:color="EAEA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September 30, 2026</w:t>
            </w:r>
          </w:p>
        </w:tc>
      </w:tr>
      <w:tr>
        <w:trPr>
          <w:trHeight w:val="205"/>
        </w:trPr>
        <w:tc>
          <w:tcPr>
            <w:tcW w:w="5720" w:type="dxa"/>
            <w:vAlign w:val="bottom"/>
            <w:shd w:val="clear" w:color="auto" w:fill="EAEAEA"/>
          </w:tcPr>
          <w:p>
            <w:pPr>
              <w:spacing w:after="0"/>
              <w:rPr>
                <w:sz w:val="20"/>
                <w:szCs w:val="20"/>
                <w:color w:val="auto"/>
              </w:rPr>
            </w:pPr>
            <w:r>
              <w:rPr>
                <w:rFonts w:ascii="Arial" w:cs="Arial" w:eastAsia="Arial" w:hAnsi="Arial"/>
                <w:sz w:val="16"/>
                <w:szCs w:val="16"/>
                <w:color w:val="auto"/>
              </w:rPr>
              <w:t>Principal amount</w:t>
            </w:r>
          </w:p>
        </w:tc>
        <w:tc>
          <w:tcPr>
            <w:tcW w:w="18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900,000</w:t>
            </w:r>
          </w:p>
        </w:tc>
      </w:tr>
      <w:tr>
        <w:trPr>
          <w:trHeight w:val="211"/>
        </w:trPr>
        <w:tc>
          <w:tcPr>
            <w:tcW w:w="5720" w:type="dxa"/>
            <w:vAlign w:val="bottom"/>
            <w:tcBorders>
              <w:bottom w:val="single" w:sz="8" w:color="EAEAEA"/>
            </w:tcBorders>
          </w:tcPr>
          <w:p>
            <w:pPr>
              <w:spacing w:after="0"/>
              <w:rPr>
                <w:sz w:val="20"/>
                <w:szCs w:val="20"/>
                <w:color w:val="auto"/>
              </w:rPr>
            </w:pPr>
            <w:r>
              <w:rPr>
                <w:rFonts w:ascii="Arial" w:cs="Arial" w:eastAsia="Arial" w:hAnsi="Arial"/>
                <w:sz w:val="16"/>
                <w:szCs w:val="16"/>
                <w:color w:val="auto"/>
              </w:rPr>
              <w:t>Unamortized debt issuance costs</w:t>
            </w: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(17,011)</w:t>
            </w:r>
          </w:p>
        </w:tc>
      </w:tr>
      <w:tr>
        <w:trPr>
          <w:trHeight w:val="230"/>
        </w:trPr>
        <w:tc>
          <w:tcPr>
            <w:tcW w:w="572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6"/>
                <w:szCs w:val="16"/>
                <w:color w:val="auto"/>
              </w:rPr>
              <w:t>Net carrying amount</w:t>
            </w:r>
          </w:p>
        </w:tc>
        <w:tc>
          <w:tcPr>
            <w:tcW w:w="18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882,989</w:t>
            </w:r>
          </w:p>
        </w:tc>
      </w:tr>
      <w:tr>
        <w:trPr>
          <w:trHeight w:val="20"/>
        </w:trPr>
        <w:tc>
          <w:tcPr>
            <w:tcW w:w="5720" w:type="dxa"/>
            <w:vAlign w:val="bottom"/>
            <w:tcBorders>
              <w:top w:val="single" w:sz="8" w:color="EAEAEA"/>
            </w:tcBorders>
          </w:tcPr>
          <w:p>
            <w:pPr>
              <w:spacing w:after="0" w:line="20" w:lineRule="exact"/>
              <w:rPr>
                <w:sz w:val="1"/>
                <w:szCs w:val="1"/>
                <w:color w:val="auto"/>
              </w:rPr>
            </w:pPr>
          </w:p>
        </w:tc>
        <w:tc>
          <w:tcPr>
            <w:tcW w:w="180" w:type="dxa"/>
            <w:vAlign w:val="bottom"/>
            <w:tcBorders>
              <w:top w:val="single" w:sz="8" w:color="EAEAEA"/>
              <w:bottom w:val="single" w:sz="8" w:color="auto"/>
            </w:tcBorders>
          </w:tcPr>
          <w:p>
            <w:pPr>
              <w:spacing w:after="0" w:line="20" w:lineRule="exact"/>
              <w:rPr>
                <w:sz w:val="1"/>
                <w:szCs w:val="1"/>
                <w:color w:val="auto"/>
              </w:rPr>
            </w:pPr>
          </w:p>
        </w:tc>
        <w:tc>
          <w:tcPr>
            <w:tcW w:w="1840" w:type="dxa"/>
            <w:vAlign w:val="bottom"/>
            <w:tcBorders>
              <w:top w:val="single" w:sz="8" w:color="EAEAEA"/>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Amortization of debt issuance costs incurred related to the Notes for the three and six months ended September 30, 2026 was $1,063 and $2,126, respectively. Amortization of debt issuance costs incurred related to the Notes for the three and six months ended September 30, 2025 was $306. The debt issuance costs are being amortized into interest expense on the Consolidated Statements of Operations over the term of the Notes at an effective interest rate of 0.48%.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16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In connection with the pricing of the Notes and the exercise in full by the initial purchasers of their option to purchase additional Notes, we entered into capped call transactions (the "Capped Calls") with certain affiliates of certain initial purchasers of the Notes and other financial institutions.</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Capped Calls each have an initial strike price of $236.88 per share, subject to certain adjustments, which corresponds to the initial conversion price of the Notes. The Capped Calls have an initial cap price of $357.56 per share, subject to certain adjustments. The Capped Calls are generally expected to reduce potential dilution to our common stock upon any conversion of the Notes and/or offset any cash payments we are required to make in excess of the principal amount of the converted Notes, as the case may be, with such reduction and/or offset subject to a cap.</w:t>
      </w:r>
    </w:p>
    <w:p>
      <w:pPr>
        <w:spacing w:after="0" w:line="128"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For accounting purposes, the Capped Calls are treated as separate transactions from, and not part of, the terms of the Notes. As these transactions meet certain accounting criteria, the Capped Calls are recorded in stockholders' equity and are not accounted for as derivatives. The Capped Calls will not be remeasured as long as they continue to meet the conditions for equity classification.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64"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We maintain a $300,000 senior secured revolving credit facility that expires in April 2030 (the "Credit Facility") with JPMorgan Chase Bank, N.A., as administrative agent, and the lenders party thereto.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or investments, make loans or advances, sell or transfer assets, pay dividends or distributions, and engage in certain transactions with affiliates. Outstanding borrowings under the Credit Facility accrue interest at a per annum rate determined by the Company’s election of either the Secured Overnight Financing Rate plus a margin ranging from 1.50% to 2.00%, or a base rate, which is generally the greater of a prime rate plus a margin ranging from 0.50% to 1.00%. The applicable margin in each case is contingent upon the Company’s leverage ratio. Additionally, the unused balance on the Credit Facility is subject to an unused commitment fee ranging from 0.25% to 0.35% per annum based on the Company's leverage ratio. As of September 30, 2026, there were no borrowings under the Credit Facility and we were in compliance with all covenants.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have deferred the expense related to debt issuance costs associated with the Credit Facility, which are classified as other assets, and will amortize the costs into interest expense over the term of the Credit Facility. Unamortized amounts as of September 30, 2026 were $1,448. The amortization of debt issuance costs and interest expense related to the Credit Facility incurred for the three and six months ended September 30, 2026 and 2025 was as follows:</w:t>
      </w:r>
    </w:p>
    <w:p>
      <w:pPr>
        <w:spacing w:after="0" w:line="170"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02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78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Six Months Ended September 30,</w:t>
            </w:r>
          </w:p>
        </w:tc>
      </w:tr>
      <w:tr>
        <w:trPr>
          <w:trHeight w:val="205"/>
        </w:trPr>
        <w:tc>
          <w:tcPr>
            <w:tcW w:w="4360" w:type="dxa"/>
            <w:vAlign w:val="bottom"/>
            <w:tcBorders>
              <w:bottom w:val="single" w:sz="8" w:color="EAEAEA"/>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EAEAEA"/>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EAEAEA"/>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r>
      <w:tr>
        <w:trPr>
          <w:trHeight w:val="205"/>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shd w:val="clear" w:color="auto" w:fill="EAEAEA"/>
          </w:tcPr>
          <w:p>
            <w:pPr>
              <w:jc w:val="right"/>
              <w:ind w:right="78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EAEAEA"/>
          </w:tcPr>
          <w:p>
            <w:pPr>
              <w:spacing w:after="0"/>
              <w:rPr>
                <w:sz w:val="17"/>
                <w:szCs w:val="17"/>
                <w:color w:val="auto"/>
              </w:rPr>
            </w:pPr>
          </w:p>
        </w:tc>
        <w:tc>
          <w:tcPr>
            <w:tcW w:w="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EAEAEA"/>
          </w:tcPr>
          <w:p>
            <w:pPr>
              <w:spacing w:after="0"/>
              <w:rPr>
                <w:sz w:val="17"/>
                <w:szCs w:val="17"/>
                <w:color w:val="auto"/>
              </w:rPr>
            </w:pPr>
          </w:p>
        </w:tc>
        <w:tc>
          <w:tcPr>
            <w:tcW w:w="14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EAEAEA"/>
          </w:tcPr>
          <w:p>
            <w:pPr>
              <w:spacing w:after="0"/>
              <w:rPr>
                <w:sz w:val="17"/>
                <w:szCs w:val="17"/>
                <w:color w:val="auto"/>
              </w:rPr>
            </w:pPr>
          </w:p>
        </w:tc>
        <w:tc>
          <w:tcPr>
            <w:tcW w:w="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187</w:t>
            </w:r>
          </w:p>
        </w:tc>
      </w:tr>
      <w:tr>
        <w:trPr>
          <w:trHeight w:val="211"/>
        </w:trPr>
        <w:tc>
          <w:tcPr>
            <w:tcW w:w="4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EAEA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360</w:t>
            </w:r>
          </w:p>
        </w:tc>
      </w:tr>
      <w:tr>
        <w:trPr>
          <w:trHeight w:val="231"/>
        </w:trPr>
        <w:tc>
          <w:tcPr>
            <w:tcW w:w="4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charges</w:t>
            </w:r>
          </w:p>
        </w:tc>
        <w:tc>
          <w:tcPr>
            <w:tcW w:w="960" w:type="dxa"/>
            <w:vAlign w:val="bottom"/>
            <w:tcBorders>
              <w:bottom w:val="single" w:sz="8" w:color="auto"/>
            </w:tcBorders>
            <w:shd w:val="clear" w:color="auto" w:fill="EAEAEA"/>
          </w:tcPr>
          <w:p>
            <w:pPr>
              <w:jc w:val="right"/>
              <w:ind w:right="78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auto"/>
            </w:tcBorders>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EAEAEA"/>
            </w:tcBorders>
            <w:shd w:val="clear" w:color="auto" w:fill="EAEAEA"/>
          </w:tcPr>
          <w:p>
            <w:pPr>
              <w:spacing w:after="0"/>
              <w:rPr>
                <w:sz w:val="19"/>
                <w:szCs w:val="19"/>
                <w:color w:val="auto"/>
              </w:rPr>
            </w:pPr>
          </w:p>
        </w:tc>
        <w:tc>
          <w:tcPr>
            <w:tcW w:w="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auto"/>
            </w:tcBorders>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547</w:t>
            </w: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960" w:type="dxa"/>
            <w:vAlign w:val="bottom"/>
            <w:tcBorders>
              <w:top w:val="single" w:sz="8" w:color="EAEAEA"/>
              <w:bottom w:val="single" w:sz="8" w:color="auto"/>
            </w:tcBorders>
          </w:tcPr>
          <w:p>
            <w:pPr>
              <w:spacing w:after="0" w:line="20" w:lineRule="exact"/>
              <w:rPr>
                <w:sz w:val="1"/>
                <w:szCs w:val="1"/>
                <w:color w:val="auto"/>
              </w:rPr>
            </w:pPr>
          </w:p>
        </w:tc>
        <w:tc>
          <w:tcPr>
            <w:tcW w:w="44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40" w:type="dxa"/>
            <w:vAlign w:val="bottom"/>
            <w:tcBorders>
              <w:top w:val="single" w:sz="8" w:color="EAEAEA"/>
              <w:bottom w:val="single" w:sz="8" w:color="auto"/>
            </w:tcBorders>
          </w:tcPr>
          <w:p>
            <w:pPr>
              <w:spacing w:after="0" w:line="20" w:lineRule="exact"/>
              <w:rPr>
                <w:sz w:val="1"/>
                <w:szCs w:val="1"/>
                <w:color w:val="auto"/>
              </w:rPr>
            </w:pPr>
          </w:p>
        </w:tc>
        <w:tc>
          <w:tcPr>
            <w:tcW w:w="1260" w:type="dxa"/>
            <w:vAlign w:val="bottom"/>
            <w:tcBorders>
              <w:top w:val="single" w:sz="8" w:color="EAEAEA"/>
              <w:bottom w:val="single" w:sz="8" w:color="auto"/>
            </w:tcBorders>
          </w:tcPr>
          <w:p>
            <w:pPr>
              <w:spacing w:after="0" w:line="20" w:lineRule="exact"/>
              <w:rPr>
                <w:sz w:val="1"/>
                <w:szCs w:val="1"/>
                <w:color w:val="auto"/>
              </w:rPr>
            </w:pPr>
          </w:p>
        </w:tc>
        <w:tc>
          <w:tcPr>
            <w:tcW w:w="12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10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2. Management’s Discussion and Analysis of Financial Condition and Results of Operations</w:t>
      </w:r>
    </w:p>
    <w:p>
      <w:pPr>
        <w:spacing w:after="0" w:line="166"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2026, as such risks and uncertainties may be updated from time to time in our periodic filings with the Securities and Exchange Commission. Our actual results may differ materially from those contained in or implied by any forward-looking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Overview</w:t>
      </w:r>
    </w:p>
    <w:p>
      <w:pPr>
        <w:spacing w:after="0" w:line="166"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Commvault Systems, Inc. ("Commvault") is a provider of cyber resiliency solutions designed to help the enterprise protect, secure, and recover their data, applications, and identity systems in a world of increasing cyber threats and attacks. Commvault’s offerings provide cyber resilience, including data protection, cyber recovery, data security, and governance, aiming to enable customers' continuous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44896"/>
        </w:rPr>
        <w:t>Industry</w:t>
      </w:r>
    </w:p>
    <w:p>
      <w:pPr>
        <w:spacing w:after="0" w:line="164"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Our industry continues to be reshaped by accelerating data growth, increasingly sophisticated cyberattacks, the rapid adoption of artificial intelligence ("AI"), and the expansion of hybrid, multi-cloud, cloud-native, and software-as-a-service ("SaaS") environments. Customers increasingly require a cyber resilience platform that brings together data security, identity resilience, real-time governance, threat detection, and verified clean recovery for structured and unstructured data, cloud-native applications, and AI workloads. Commvault Cloud is designed to help organizations secure, govern, and recover data and workloads anywhere to anywhere, while supporting compliance and operational resilience at scale.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844896"/>
        </w:rPr>
        <w:t>Sources of Revenues</w:t>
      </w:r>
    </w:p>
    <w:p>
      <w:pPr>
        <w:spacing w:after="0" w:line="16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generate revenues through subscription arrangements, which include term-based licenses, term-based support, and SaaS, as well as perpetual licenses, perpetual support, and other services. A significant portion of our revenues comes from subscription arrangements. These arrangements are economically and contractually similar, as customers generally receive access to our software for a specified term under binding agreements. We are focused on these types of recurring revenue arrangements.</w:t>
      </w:r>
    </w:p>
    <w:p>
      <w:pPr>
        <w:spacing w:after="0" w:line="127"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We expect our subscription arrangements will continue to generate revenues from the renewals of term-based licenses, term-based support, and SaaS offerings sold in prior years. Any of our pricing models (capacity, instance-based, consumption, etc.) can be sold either through term-based licensing or cloud-based SaaS offerings. In term-based license arrangements, software revenue is generally recognized when the software is delivered or made available for download. Term-based support revenue and revenue related to our SaaS offerings are generally recognized ratably over the contract period or, in consumption arrangements, as the solutions are consumed.</w:t>
      </w:r>
    </w:p>
    <w:p>
      <w:pPr>
        <w:spacing w:after="0" w:line="88" w:lineRule="exact"/>
        <w:rPr>
          <w:sz w:val="20"/>
          <w:szCs w:val="20"/>
          <w:color w:val="auto"/>
        </w:rPr>
      </w:pPr>
    </w:p>
    <w:p>
      <w:pPr>
        <w:jc w:val="both"/>
        <w:ind w:firstLine="636"/>
        <w:spacing w:after="0" w:line="224" w:lineRule="exact"/>
        <w:rPr>
          <w:sz w:val="20"/>
          <w:szCs w:val="20"/>
          <w:color w:val="auto"/>
        </w:rPr>
      </w:pPr>
      <w:r>
        <w:rPr>
          <w:rFonts w:ascii="Arial" w:cs="Arial" w:eastAsia="Arial" w:hAnsi="Arial"/>
          <w:sz w:val="18"/>
          <w:szCs w:val="18"/>
          <w:color w:val="auto"/>
        </w:rPr>
        <w:t>Our term-based support and perpetual support revenues include support services for term</w:t>
      </w:r>
      <w:r>
        <w:rPr>
          <w:rFonts w:ascii="MS PGothic" w:cs="MS PGothic" w:eastAsia="MS PGothic" w:hAnsi="MS PGothic"/>
          <w:sz w:val="18"/>
          <w:szCs w:val="18"/>
          <w:color w:val="auto"/>
        </w:rPr>
        <w:t>‑</w:t>
      </w:r>
      <w:r>
        <w:rPr>
          <w:rFonts w:ascii="Arial" w:cs="Arial" w:eastAsia="Arial" w:hAnsi="Arial"/>
          <w:sz w:val="18"/>
          <w:szCs w:val="18"/>
          <w:color w:val="auto"/>
        </w:rPr>
        <w:t>based license customers and support contracts for perpetual license customers, respectively. These support offerings include software updates on a when-and-if-available basis, telephone support, integrated web-based support, and other premium support offerings. We sell our customer support contracts as a percentage of net software purchases. Support revenue is recognized ratably over the term of the support agreement, which is typically one to three years for term-based support and one year for perpetual support.</w:t>
      </w:r>
    </w:p>
    <w:p>
      <w:pPr>
        <w:spacing w:after="0" w:line="142"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Our other services revenue consists primarily of professional service offerings, including consultation, assessment and design, installation services, and customer education. Revenues related to other services can vary period over period based on the timing services are delivered and are typically recognized as the services are performed.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We sell to end-user customers both directly through our sales force and indirectly through our global network of value-added reseller partners, systems integrators, corporate resellers, original equipment manufacturers, and marketplaces. Revenues generated through indirect distribution channels accounted for approximately 90% of our total revenues in both the six months ended September 30, 2026 and 2025. Revenue generated through direct distribution channels accounted for approximately 10% of our total revenues in both the six months ended September 30, 2026 and 2025. Deals initiated by our direct sales force are sometimes transacted through indirect channels based on end-user customer requirements, which are not always in our control and can cause this overall percentage split to vary from period to period. As such, there may be fluctuations in the dollars and percentage of revenues generated through our distribution channels from time to time. We believe that the growth of our revenues, derived from both our indirect channel partners and direct sales force, are key attributes to our long-term growth strategy. We intend to continue to invest in both our channel relationships and direct sales force in the future, but we continue to expect more revenues to be generated through indirect distribution channels over the long term. The failure of our indirect distribution channels or our direct sales force to effectively sell our products and services could have a material adverse effect on our revenues and results of operations.</w:t>
      </w:r>
    </w:p>
    <w:p>
      <w:pPr>
        <w:spacing w:after="0" w:line="126"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have non-exclusive distribution agreements with certain partners who enable a more efficient and effective distribution channel for our solutions by managing our resellers and leveraging their own industry experience. For the six months ended September 30, 2026 and 2025, Partner A accounted for approximately 31% and 32% of our total revenues, respectively. Separately, Partner B accounted for approximately 12% of our total revenues for both the six months ended September 30, 2026 and 2025. If any of these partners were to discontinue or materially reduce their sales of our solutions, terminate their agreements with us, or experience operational or financial difficulties, and if we were unable to effectively replace them or assume management of the affected distribution activities, our business, revenues, and results of operations could be materially adversely affected.</w:t>
      </w:r>
    </w:p>
    <w:p>
      <w:pPr>
        <w:spacing w:after="0" w:line="134" w:lineRule="exact"/>
        <w:rPr>
          <w:sz w:val="20"/>
          <w:szCs w:val="20"/>
          <w:color w:val="auto"/>
        </w:rPr>
      </w:pPr>
    </w:p>
    <w:p>
      <w:pPr>
        <w:jc w:val="both"/>
        <w:ind w:firstLine="636"/>
        <w:spacing w:after="0" w:line="219" w:lineRule="exact"/>
        <w:rPr>
          <w:sz w:val="20"/>
          <w:szCs w:val="20"/>
          <w:color w:val="auto"/>
        </w:rPr>
      </w:pPr>
      <w:r>
        <w:rPr>
          <w:rFonts w:ascii="Arial" w:cs="Arial" w:eastAsia="Arial" w:hAnsi="Arial"/>
          <w:sz w:val="18"/>
          <w:szCs w:val="18"/>
          <w:color w:val="auto"/>
        </w:rPr>
        <w:t>We also sell our solutions through cloud-based marketplace offerings operated by third-party platform providers. Revenue from marketplace transactions is typically recorded on a gross basis, and amounts paid to the marketplace providers are capitalized as contract costs and amortized over the term of the related arrangement. Amortization of capitalized marketplace costs was $1.2 million for both the six months ended September 30, 2026 and 2025. Transactions through third</w:t>
      </w:r>
      <w:r>
        <w:rPr>
          <w:rFonts w:ascii="MS PGothic" w:cs="MS PGothic" w:eastAsia="MS PGothic" w:hAnsi="MS PGothic"/>
          <w:sz w:val="18"/>
          <w:szCs w:val="18"/>
          <w:color w:val="auto"/>
        </w:rPr>
        <w:t>‑</w:t>
      </w:r>
      <w:r>
        <w:rPr>
          <w:rFonts w:ascii="Arial" w:cs="Arial" w:eastAsia="Arial" w:hAnsi="Arial"/>
          <w:sz w:val="18"/>
          <w:szCs w:val="18"/>
          <w:color w:val="auto"/>
        </w:rPr>
        <w:t>party cloud marketplace providers represented approximately 12% of our total revenues for the six months ended September 30, 2026 and less than 10% of our total revenues for the six months ended September 30, 2025. These transactions include sales to both new and existing customers and may include new purchases, renewals, expansions for existing customers, and subscriptions for both on</w:t>
      </w:r>
      <w:r>
        <w:rPr>
          <w:rFonts w:ascii="MS PGothic" w:cs="MS PGothic" w:eastAsia="MS PGothic" w:hAnsi="MS PGothic"/>
          <w:sz w:val="18"/>
          <w:szCs w:val="18"/>
          <w:color w:val="auto"/>
        </w:rPr>
        <w:t>‑</w:t>
      </w:r>
      <w:r>
        <w:rPr>
          <w:rFonts w:ascii="Arial" w:cs="Arial" w:eastAsia="Arial" w:hAnsi="Arial"/>
          <w:sz w:val="18"/>
          <w:szCs w:val="18"/>
          <w:color w:val="auto"/>
        </w:rPr>
        <w:t>premise and SaaS offerings.</w:t>
      </w:r>
    </w:p>
    <w:p>
      <w:pPr>
        <w:spacing w:after="0" w:line="116"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For additional information on how we recognize revenue, see Note 3 of the Notes to Consolidated Financial Statements included in Part I, Item 1 of this Quarterly Report on Form 10-Q.</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 xml:space="preserve">Key Performance Indicators </w:t>
      </w:r>
      <w:r>
        <w:rPr>
          <w:rFonts w:ascii="Arial" w:cs="Arial" w:eastAsia="Arial" w:hAnsi="Arial"/>
          <w:sz w:val="18"/>
          <w:szCs w:val="18"/>
          <w:i w:val="1"/>
          <w:iCs w:val="1"/>
          <w:color w:val="844896"/>
        </w:rPr>
        <w:t>($ in millions)</w:t>
      </w:r>
    </w:p>
    <w:p>
      <w:pPr>
        <w:spacing w:after="0" w:line="166"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monitor the following key performance indicators to help evaluate the state of our business. We believe the below metrics are material to investors to understand the growth and performance of our business, as they help normalize certain variable factors. Metrics such as Subscription Annualized Recurring Revenue ("Subscription ARR"), SaaS ARR, and Subscription Net Dollar Retention Rate ("Subscription NRR") provide a consistent view of our recurring revenue profile. Subscription ARR and SaaS ARR exclude non-recurring elements and reflect the annualized value of active contracts, while Subscription NRR measures net expansion within our existing Subscription customer base. Together, we believe these metrics offer meaningful insight into the health and trajectory of our recurring revenue streams. Total ARR, which also included the annualized maintenance contract on perpetual licenses, is no longer disclosed.</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Subscription ARR</w:t>
      </w:r>
    </w:p>
    <w:p>
      <w:pPr>
        <w:spacing w:after="0" w:line="124" w:lineRule="exact"/>
        <w:rPr>
          <w:sz w:val="20"/>
          <w:szCs w:val="20"/>
          <w:color w:val="auto"/>
        </w:rPr>
      </w:pPr>
    </w:p>
    <w:p>
      <w:pPr>
        <w:jc w:val="both"/>
        <w:ind w:firstLine="636"/>
        <w:spacing w:after="0" w:line="220" w:lineRule="exact"/>
        <w:rPr>
          <w:sz w:val="20"/>
          <w:szCs w:val="20"/>
          <w:color w:val="auto"/>
        </w:rPr>
      </w:pPr>
      <w:r>
        <w:rPr>
          <w:rFonts w:ascii="Arial" w:cs="Arial" w:eastAsia="Arial" w:hAnsi="Arial"/>
          <w:sz w:val="18"/>
          <w:szCs w:val="18"/>
          <w:color w:val="auto"/>
        </w:rPr>
        <w:t>Subscription ARR represents the annualized value of all active contracts as of the end of a reporting period attributable to term</w:t>
      </w:r>
      <w:r>
        <w:rPr>
          <w:rFonts w:ascii="MS PGothic" w:cs="MS PGothic" w:eastAsia="MS PGothic" w:hAnsi="MS PGothic"/>
          <w:sz w:val="18"/>
          <w:szCs w:val="18"/>
          <w:color w:val="auto"/>
        </w:rPr>
        <w:t>‑</w:t>
      </w:r>
      <w:r>
        <w:rPr>
          <w:rFonts w:ascii="Arial" w:cs="Arial" w:eastAsia="Arial" w:hAnsi="Arial"/>
          <w:sz w:val="18"/>
          <w:szCs w:val="18"/>
          <w:color w:val="auto"/>
        </w:rPr>
        <w:t>based licenses, maintenance and support services associated with term license arrangements, enterprise support, SaaS subscriptions, and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calculated by dividing the total active contract value by the number of days in the contract term and multiplying the result by 365. For consumption-based arrangements on a pay as you go model without a fixed commitment, the applicable ARR is calculated by annualizing the revenue contractually expected to be received in a given month based on actual monthly usage from a prior month. We believe Subscription ARR provides useful insight into the growth of our subscription-based offerings and reflects both new customer acquisition and expansion within our existing customer base. As our most strategically significant and rapidly expanding revenue streams, our subscription arrangements are central to our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long-term growth strategy and operational focus. Beginning in fiscal 2027, Subscription ARR has been reclassified to include enterprise support, further aligning Subscription ARR with Subscription revenue. Enterprise support consists of recurring customer success services that provide our customers with enhanced support, strategic guidance and dedicated technical expertise. Prior to fiscal 2027, enterprise support was included only in Total ARR.</w:t>
      </w:r>
    </w:p>
    <w:p>
      <w:pPr>
        <w:spacing w:after="0" w:line="104" w:lineRule="exact"/>
        <w:rPr>
          <w:sz w:val="20"/>
          <w:szCs w:val="20"/>
          <w:color w:val="auto"/>
        </w:rPr>
      </w:pPr>
    </w:p>
    <w:tbl>
      <w:tblPr>
        <w:tblLayout w:type="fixed"/>
        <w:tblInd w:w="214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05"/>
        </w:trPr>
        <w:tc>
          <w:tcPr>
            <w:tcW w:w="4200" w:type="dxa"/>
            <w:vAlign w:val="bottom"/>
            <w:tcBorders>
              <w:bottom w:val="single" w:sz="8" w:color="EAEAEA"/>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EAEAEA"/>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r>
      <w:tr>
        <w:trPr>
          <w:trHeight w:val="205"/>
        </w:trPr>
        <w:tc>
          <w:tcPr>
            <w:tcW w:w="4200" w:type="dxa"/>
            <w:vAlign w:val="bottom"/>
            <w:shd w:val="clear" w:color="auto" w:fill="EAEAEA"/>
          </w:tcPr>
          <w:p>
            <w:pPr>
              <w:ind w:left="20"/>
              <w:spacing w:after="0"/>
              <w:rPr>
                <w:sz w:val="20"/>
                <w:szCs w:val="20"/>
                <w:color w:val="auto"/>
              </w:rPr>
            </w:pPr>
            <w:r>
              <w:rPr>
                <w:rFonts w:ascii="Arial" w:cs="Arial" w:eastAsia="Arial" w:hAnsi="Arial"/>
                <w:sz w:val="16"/>
                <w:szCs w:val="16"/>
                <w:color w:val="auto"/>
              </w:rPr>
              <w:t>Subscription ARR</w:t>
            </w:r>
          </w:p>
        </w:tc>
        <w:tc>
          <w:tcPr>
            <w:tcW w:w="320" w:type="dxa"/>
            <w:vAlign w:val="bottom"/>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AEAEA"/>
          </w:tcPr>
          <w:p>
            <w:pPr>
              <w:jc w:val="right"/>
              <w:ind w:right="141"/>
              <w:spacing w:after="0"/>
              <w:rPr>
                <w:sz w:val="20"/>
                <w:szCs w:val="20"/>
                <w:color w:val="auto"/>
              </w:rPr>
            </w:pPr>
            <w:r>
              <w:rPr>
                <w:rFonts w:ascii="Arial" w:cs="Arial" w:eastAsia="Arial" w:hAnsi="Arial"/>
                <w:sz w:val="16"/>
                <w:szCs w:val="16"/>
                <w:color w:val="auto"/>
              </w:rPr>
              <w:t>1,103.9</w:t>
            </w:r>
          </w:p>
        </w:tc>
        <w:tc>
          <w:tcPr>
            <w:tcW w:w="100" w:type="dxa"/>
            <w:vAlign w:val="bottom"/>
            <w:shd w:val="clear" w:color="auto" w:fill="EAEAEA"/>
          </w:tcPr>
          <w:p>
            <w:pPr>
              <w:spacing w:after="0"/>
              <w:rPr>
                <w:sz w:val="17"/>
                <w:szCs w:val="17"/>
                <w:color w:val="auto"/>
              </w:rPr>
            </w:pPr>
          </w:p>
        </w:tc>
        <w:tc>
          <w:tcPr>
            <w:tcW w:w="520" w:type="dxa"/>
            <w:vAlign w:val="bottom"/>
            <w:shd w:val="clear" w:color="auto" w:fill="EAEAEA"/>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918.1</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 Growth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29 %</w:t>
            </w:r>
          </w:p>
        </w:tc>
      </w:tr>
    </w:tbl>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SaaS ARR</w:t>
      </w:r>
    </w:p>
    <w:p>
      <w:pPr>
        <w:spacing w:after="0" w:line="164"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SaaS ARR includes only the cloud-hosted portion of Subscription ARR and is calculated using the same methodology. We believe this metric provides insight into customer adoption trends and expansion within our cloud-based offerings. As SaaS continues to represent a growing share of our total revenue, we view this metric as a key indicator of our ability to meet the evolving needs of our customer base. Continued adoption and conversion to SaaS arrangements are critical to sustaining our long-term growth and aligning with customer preferences for cloud-delivered solutions.</w:t>
      </w:r>
    </w:p>
    <w:p>
      <w:pPr>
        <w:spacing w:after="0" w:line="104" w:lineRule="exact"/>
        <w:rPr>
          <w:sz w:val="20"/>
          <w:szCs w:val="20"/>
          <w:color w:val="auto"/>
        </w:rPr>
      </w:pPr>
    </w:p>
    <w:tbl>
      <w:tblPr>
        <w:tblLayout w:type="fixed"/>
        <w:tblInd w:w="214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05"/>
        </w:trPr>
        <w:tc>
          <w:tcPr>
            <w:tcW w:w="4200" w:type="dxa"/>
            <w:vAlign w:val="bottom"/>
            <w:tcBorders>
              <w:bottom w:val="single" w:sz="8" w:color="EAEAEA"/>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EAEAEA"/>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w w:val="95"/>
              </w:rPr>
              <w:t>2025</w:t>
            </w:r>
          </w:p>
        </w:tc>
      </w:tr>
      <w:tr>
        <w:trPr>
          <w:trHeight w:val="205"/>
        </w:trPr>
        <w:tc>
          <w:tcPr>
            <w:tcW w:w="4200" w:type="dxa"/>
            <w:vAlign w:val="bottom"/>
            <w:shd w:val="clear" w:color="auto" w:fill="EAEAEA"/>
          </w:tcPr>
          <w:p>
            <w:pPr>
              <w:ind w:left="20"/>
              <w:spacing w:after="0"/>
              <w:rPr>
                <w:sz w:val="20"/>
                <w:szCs w:val="20"/>
                <w:color w:val="auto"/>
              </w:rPr>
            </w:pPr>
            <w:r>
              <w:rPr>
                <w:rFonts w:ascii="Arial" w:cs="Arial" w:eastAsia="Arial" w:hAnsi="Arial"/>
                <w:sz w:val="16"/>
                <w:szCs w:val="16"/>
                <w:color w:val="auto"/>
              </w:rPr>
              <w:t>SaaS ARR</w:t>
            </w:r>
          </w:p>
        </w:tc>
        <w:tc>
          <w:tcPr>
            <w:tcW w:w="320" w:type="dxa"/>
            <w:vAlign w:val="bottom"/>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454.4</w:t>
            </w:r>
          </w:p>
        </w:tc>
        <w:tc>
          <w:tcPr>
            <w:tcW w:w="120" w:type="dxa"/>
            <w:vAlign w:val="bottom"/>
            <w:shd w:val="clear" w:color="auto" w:fill="EAEAEA"/>
          </w:tcPr>
          <w:p>
            <w:pPr>
              <w:spacing w:after="0"/>
              <w:rPr>
                <w:sz w:val="17"/>
                <w:szCs w:val="17"/>
                <w:color w:val="auto"/>
              </w:rPr>
            </w:pPr>
          </w:p>
        </w:tc>
        <w:tc>
          <w:tcPr>
            <w:tcW w:w="520" w:type="dxa"/>
            <w:vAlign w:val="bottom"/>
            <w:shd w:val="clear" w:color="auto" w:fill="EAEAEA"/>
          </w:tcPr>
          <w:p>
            <w:pPr>
              <w:jc w:val="right"/>
              <w:ind w:right="3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335.7</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 Growth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56 %</w:t>
            </w:r>
          </w:p>
        </w:tc>
      </w:tr>
    </w:tbl>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Subscription NRR</w:t>
      </w:r>
    </w:p>
    <w:p>
      <w:pPr>
        <w:spacing w:after="0" w:line="16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Subscription NRR includes all contracts attributable to term-based licenses, maintenance and support services associated with term license arrangements, enterprise support, SaaS subscriptions, and consumption-based arrangements. Subscription NRR is calculated as the percentage of Subscription ARR retained from existing customers at the start of an annual period after accounting for expansion revenue, churn, and downgrades, measured on an annualized basis using the trailing four quarter average. Acquired Subscription ARR is excluded until the acquisition is fully integrated, which we generally expect to occur twelve months from the close date. We believe our Subscription NRR offers valuable insight into the year-over-year expansion of our existing customer base, reflecting both increased utilization of current products and services as well as the adoption of additional offerings.</w:t>
      </w:r>
    </w:p>
    <w:p>
      <w:pPr>
        <w:spacing w:after="0" w:line="97"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September 30,</w:t>
      </w:r>
    </w:p>
    <w:p>
      <w:pPr>
        <w:spacing w:after="0" w:line="29" w:lineRule="exact"/>
        <w:rPr>
          <w:sz w:val="20"/>
          <w:szCs w:val="20"/>
          <w:color w:val="auto"/>
        </w:rPr>
      </w:pPr>
    </w:p>
    <w:tbl>
      <w:tblPr>
        <w:tblLayout w:type="fixed"/>
        <w:tblInd w:w="2140" w:type="dxa"/>
        <w:tblCellMar>
          <w:top w:w="0" w:type="dxa"/>
          <w:left w:w="0" w:type="dxa"/>
          <w:bottom w:w="0" w:type="dxa"/>
          <w:right w:w="0" w:type="dxa"/>
        </w:tblCellMar>
      </w:tblPr>
      <w:tr>
        <w:trPr>
          <w:trHeight w:val="205"/>
        </w:trPr>
        <w:tc>
          <w:tcPr>
            <w:tcW w:w="4300" w:type="dxa"/>
            <w:vAlign w:val="bottom"/>
            <w:tcBorders>
              <w:bottom w:val="single" w:sz="8" w:color="EAEAEA"/>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AEAEA"/>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2025</w:t>
            </w:r>
          </w:p>
        </w:tc>
      </w:tr>
      <w:tr>
        <w:trPr>
          <w:trHeight w:val="205"/>
        </w:trPr>
        <w:tc>
          <w:tcPr>
            <w:tcW w:w="4300" w:type="dxa"/>
            <w:vAlign w:val="bottom"/>
            <w:shd w:val="clear" w:color="auto" w:fill="EAEAEA"/>
          </w:tcPr>
          <w:p>
            <w:pPr>
              <w:ind w:left="20"/>
              <w:spacing w:after="0"/>
              <w:rPr>
                <w:sz w:val="20"/>
                <w:szCs w:val="20"/>
                <w:color w:val="auto"/>
              </w:rPr>
            </w:pPr>
            <w:r>
              <w:rPr>
                <w:rFonts w:ascii="Arial" w:cs="Arial" w:eastAsia="Arial" w:hAnsi="Arial"/>
                <w:sz w:val="16"/>
                <w:szCs w:val="16"/>
                <w:color w:val="auto"/>
              </w:rPr>
              <w:t>Subscription NRR</w:t>
            </w:r>
          </w:p>
        </w:tc>
        <w:tc>
          <w:tcPr>
            <w:tcW w:w="880" w:type="dxa"/>
            <w:vAlign w:val="bottom"/>
            <w:shd w:val="clear" w:color="auto" w:fill="EAEAEA"/>
          </w:tcPr>
          <w:p>
            <w:pPr>
              <w:spacing w:after="0"/>
              <w:rPr>
                <w:sz w:val="17"/>
                <w:szCs w:val="17"/>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113 %</w:t>
            </w:r>
          </w:p>
        </w:tc>
        <w:tc>
          <w:tcPr>
            <w:tcW w:w="100" w:type="dxa"/>
            <w:vAlign w:val="bottom"/>
            <w:shd w:val="clear" w:color="auto" w:fill="EAEAEA"/>
          </w:tcPr>
          <w:p>
            <w:pPr>
              <w:spacing w:after="0"/>
              <w:rPr>
                <w:sz w:val="17"/>
                <w:szCs w:val="17"/>
                <w:color w:val="auto"/>
              </w:rPr>
            </w:pP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114 %</w:t>
            </w:r>
          </w:p>
        </w:tc>
      </w:tr>
    </w:tbl>
    <w:p>
      <w:pPr>
        <w:spacing w:after="0" w:line="341"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These metrics are operating metrics and do not have standardized definitions or direct comparisons under U.S. generally accepted accounting principles ("GAAP"). As such, they may not be comparable to similarly titled measures used by other companies and should be considered as a supplement to, and not as a substitute for, financial information prepared in accordance with GAAP. Management uses these metrics to assess the health of our recurring revenue base and to inform strategic decision-making. These metrics should be viewed independently of GAAP revenue, deferred revenue, and unbilled revenue and are not intended to be combined with or to replace those items. Subscription ARR and SaaS ARR are not forecasts of future revenues.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Foreign Currency Exchange Rates’ Impact on Results of Operations</w:t>
      </w:r>
    </w:p>
    <w:p>
      <w:pPr>
        <w:spacing w:after="0" w:line="166"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Sales outside the United States were 44% and 45% of our total revenues for the six months ended September 30, 2026 and 2025, respectively. The income statements of our non-U.S. operations are translated into U.S. dollars at the average exchange rates for each applicable month in a period. To the extent the U.S. dollar weakens against foreign currencies, the translation of these foreign currency-denominated transactions generally results in increased revenues, operating expenses, and income from operations for our non-U.S. operations. Similarly, our revenues, operating expenses, and income from operations will generally decrease for our non-U.S. operations if the U.S. dollar strengthens against foreign currencies.</w:t>
      </w:r>
    </w:p>
    <w:p>
      <w:pPr>
        <w:spacing w:after="0" w:line="132"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Using the average foreign currency exchange rates from the three months ended September 30, 2025, our total revenues would have been higher by $0.9 million, our cost of revenues would have been higher by $0.1 million, and our operating expenses would have been higher by $1.4 million from non-U.S. operations for the three months ended September 30, 2026. Using the average foreign currency exchange rates from the six months ended September 30, 2025, our total revenues would have been lower by $1.5 million, our cost of revenues would have been higher by less than $0.1 million, and our operating expenses would have been higher by $2.2 million from non-U.S. operations for the six months ended September 30, 2026.</w:t>
      </w:r>
    </w:p>
    <w:p>
      <w:pPr>
        <w:spacing w:after="0" w:line="13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approximately $0.2 million and $0.9 million for the three months ended September 30, 2026 and 2025, respectively. We recognized net foreign currency transaction losses of approximately $0.1 million and $2.1 million for the six months ended September 30, 2026 and 2025, respectively.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Critical Accounting Policies</w:t>
      </w:r>
    </w:p>
    <w:p>
      <w:pPr>
        <w:spacing w:after="0" w:line="166"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In presenting our consolidated financial statements in conformity with GAAP,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 on various other assumptions that we believe to be reasonable and appropriate. Actual results may differ significantly from these estimates. To the extent that there are material differences between these estimates and actual results, our future financial statement presentation, financial condition, results of operations, and cash flows may be affected.</w:t>
      </w:r>
    </w:p>
    <w:p>
      <w:pPr>
        <w:spacing w:after="0" w:line="13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74" w:lineRule="exact"/>
        <w:rPr>
          <w:sz w:val="20"/>
          <w:szCs w:val="20"/>
          <w:color w:val="auto"/>
        </w:rPr>
      </w:pPr>
    </w:p>
    <w:p>
      <w:pPr>
        <w:ind w:left="1900" w:hanging="225"/>
        <w:spacing w:after="0"/>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1" w:lineRule="exact"/>
        <w:rPr>
          <w:rFonts w:ascii="Arial" w:cs="Arial" w:eastAsia="Arial" w:hAnsi="Arial"/>
          <w:sz w:val="18"/>
          <w:szCs w:val="18"/>
          <w:color w:val="auto"/>
        </w:rPr>
      </w:pPr>
    </w:p>
    <w:p>
      <w:pPr>
        <w:ind w:left="1900" w:hanging="225"/>
        <w:spacing w:after="0"/>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11" w:lineRule="exact"/>
        <w:rPr>
          <w:rFonts w:ascii="Arial" w:cs="Arial" w:eastAsia="Arial" w:hAnsi="Arial"/>
          <w:sz w:val="18"/>
          <w:szCs w:val="18"/>
          <w:color w:val="auto"/>
        </w:rPr>
      </w:pPr>
    </w:p>
    <w:p>
      <w:pPr>
        <w:ind w:left="1900" w:hanging="225"/>
        <w:spacing w:after="0"/>
        <w:tabs>
          <w:tab w:leader="none" w:pos="1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Purchased Intangible Assets</w:t>
      </w:r>
    </w:p>
    <w:p>
      <w:pPr>
        <w:spacing w:after="0" w:line="16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There have been no significant changes in our critical accounting policies during the six months ended September 30, 2026 as compared to the critical accounting policies and estimates disclosed in "Management’s Discussion and Analysis of Financial Condition and Results of Operations - Critical Accounting Policies" included in our Annual Report on Form 10-K for the fiscal year ended March 31, 2026.</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Results of Operations</w:t>
      </w:r>
    </w:p>
    <w:p>
      <w:pPr>
        <w:spacing w:after="0" w:line="166"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i w:val="1"/>
          <w:iCs w:val="1"/>
          <w:color w:val="auto"/>
        </w:rPr>
        <w:t>Amounts reported in millions are rounded based on the amounts in thousands. As a result, the sum of the components reported in millions may not equal the total amount reported in millions due to rounding.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2026 compared to three months ended September 30, 2025</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Revenues ($ in millions)</w:t>
      </w:r>
    </w:p>
    <w:p>
      <w:pPr>
        <w:spacing w:after="0" w:line="47" w:lineRule="exact"/>
        <w:rPr>
          <w:sz w:val="20"/>
          <w:szCs w:val="20"/>
          <w:color w:val="auto"/>
        </w:rPr>
      </w:pPr>
    </w:p>
    <w:tbl>
      <w:tblPr>
        <w:tblLayout w:type="fixed"/>
        <w:tblInd w:w="124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12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1500" w:type="dxa"/>
            <w:vAlign w:val="bottom"/>
          </w:tcPr>
          <w:p>
            <w:pPr>
              <w:spacing w:after="0"/>
              <w:rPr>
                <w:sz w:val="18"/>
                <w:szCs w:val="18"/>
                <w:color w:val="auto"/>
              </w:rPr>
            </w:pPr>
          </w:p>
        </w:tc>
      </w:tr>
      <w:tr>
        <w:trPr>
          <w:trHeight w:val="205"/>
        </w:trPr>
        <w:tc>
          <w:tcPr>
            <w:tcW w:w="4360" w:type="dxa"/>
            <w:vAlign w:val="bottom"/>
            <w:tcBorders>
              <w:bottom w:val="single" w:sz="8" w:color="EAEAEA"/>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7"/>
                <w:szCs w:val="17"/>
                <w:color w:val="auto"/>
              </w:rPr>
            </w:pPr>
          </w:p>
        </w:tc>
        <w:tc>
          <w:tcPr>
            <w:tcW w:w="15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 Change</w:t>
            </w:r>
          </w:p>
        </w:tc>
      </w:tr>
      <w:tr>
        <w:trPr>
          <w:trHeight w:val="192"/>
        </w:trPr>
        <w:tc>
          <w:tcPr>
            <w:tcW w:w="4360" w:type="dxa"/>
            <w:vAlign w:val="bottom"/>
            <w:shd w:val="clear" w:color="auto" w:fill="EAEAEA"/>
          </w:tcPr>
          <w:p>
            <w:pPr>
              <w:spacing w:after="0"/>
              <w:rPr>
                <w:sz w:val="20"/>
                <w:szCs w:val="20"/>
                <w:color w:val="auto"/>
              </w:rPr>
            </w:pPr>
            <w:r>
              <w:rPr>
                <w:rFonts w:ascii="Arial" w:cs="Arial" w:eastAsia="Arial" w:hAnsi="Arial"/>
                <w:sz w:val="16"/>
                <w:szCs w:val="16"/>
                <w:color w:val="auto"/>
              </w:rPr>
              <w:t>Subscription:</w:t>
            </w:r>
          </w:p>
        </w:tc>
        <w:tc>
          <w:tcPr>
            <w:tcW w:w="940" w:type="dxa"/>
            <w:vAlign w:val="bottom"/>
            <w:shd w:val="clear" w:color="auto" w:fill="EAEAEA"/>
          </w:tcPr>
          <w:p>
            <w:pPr>
              <w:spacing w:after="0"/>
              <w:rPr>
                <w:sz w:val="16"/>
                <w:szCs w:val="16"/>
                <w:color w:val="auto"/>
              </w:rPr>
            </w:pPr>
          </w:p>
        </w:tc>
        <w:tc>
          <w:tcPr>
            <w:tcW w:w="5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320" w:type="dxa"/>
            <w:vAlign w:val="bottom"/>
            <w:shd w:val="clear" w:color="auto" w:fill="EAEAEA"/>
          </w:tcPr>
          <w:p>
            <w:pPr>
              <w:spacing w:after="0"/>
              <w:rPr>
                <w:sz w:val="16"/>
                <w:szCs w:val="16"/>
                <w:color w:val="auto"/>
              </w:rPr>
            </w:pPr>
          </w:p>
        </w:tc>
        <w:tc>
          <w:tcPr>
            <w:tcW w:w="11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500" w:type="dxa"/>
            <w:vAlign w:val="bottom"/>
            <w:shd w:val="clear" w:color="auto" w:fill="EAEAEA"/>
          </w:tcPr>
          <w:p>
            <w:pPr>
              <w:spacing w:after="0"/>
              <w:rPr>
                <w:sz w:val="16"/>
                <w:szCs w:val="16"/>
                <w:color w:val="auto"/>
              </w:rPr>
            </w:pPr>
          </w:p>
        </w:tc>
      </w:tr>
      <w:tr>
        <w:trPr>
          <w:trHeight w:val="211"/>
        </w:trPr>
        <w:tc>
          <w:tcPr>
            <w:tcW w:w="4360" w:type="dxa"/>
            <w:vAlign w:val="bottom"/>
          </w:tcPr>
          <w:p>
            <w:pPr>
              <w:ind w:left="220"/>
              <w:spacing w:after="0"/>
              <w:rPr>
                <w:sz w:val="20"/>
                <w:szCs w:val="20"/>
                <w:color w:val="auto"/>
              </w:rPr>
            </w:pPr>
            <w:r>
              <w:rPr>
                <w:rFonts w:ascii="Arial" w:cs="Arial" w:eastAsia="Arial" w:hAnsi="Arial"/>
                <w:sz w:val="16"/>
                <w:szCs w:val="16"/>
                <w:color w:val="auto"/>
              </w:rPr>
              <w:t>Term-based license</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3"/>
        </w:trPr>
        <w:tc>
          <w:tcPr>
            <w:tcW w:w="4360" w:type="dxa"/>
            <w:vAlign w:val="bottom"/>
            <w:shd w:val="clear" w:color="auto" w:fill="EAEAEA"/>
          </w:tcPr>
          <w:p>
            <w:pPr>
              <w:ind w:left="220"/>
              <w:spacing w:after="0"/>
              <w:rPr>
                <w:sz w:val="20"/>
                <w:szCs w:val="20"/>
                <w:color w:val="auto"/>
              </w:rPr>
            </w:pPr>
            <w:r>
              <w:rPr>
                <w:rFonts w:ascii="Arial" w:cs="Arial" w:eastAsia="Arial" w:hAnsi="Arial"/>
                <w:sz w:val="16"/>
                <w:szCs w:val="16"/>
                <w:color w:val="auto"/>
              </w:rPr>
              <w:t>Term-based support</w:t>
            </w:r>
          </w:p>
        </w:tc>
        <w:tc>
          <w:tcPr>
            <w:tcW w:w="940" w:type="dxa"/>
            <w:vAlign w:val="bottom"/>
            <w:shd w:val="clear" w:color="auto" w:fill="EAEAEA"/>
          </w:tcPr>
          <w:p>
            <w:pPr>
              <w:spacing w:after="0"/>
              <w:rPr>
                <w:sz w:val="18"/>
                <w:szCs w:val="18"/>
                <w:color w:val="auto"/>
              </w:rPr>
            </w:pPr>
          </w:p>
        </w:tc>
        <w:tc>
          <w:tcPr>
            <w:tcW w:w="5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4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EAEAEA"/>
          </w:tcPr>
          <w:p>
            <w:pPr>
              <w:spacing w:after="0"/>
              <w:rPr>
                <w:sz w:val="18"/>
                <w:szCs w:val="18"/>
                <w:color w:val="auto"/>
              </w:rPr>
            </w:pPr>
          </w:p>
        </w:tc>
        <w:tc>
          <w:tcPr>
            <w:tcW w:w="15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15 %</w:t>
            </w:r>
          </w:p>
        </w:tc>
      </w:tr>
      <w:tr>
        <w:trPr>
          <w:trHeight w:val="211"/>
        </w:trPr>
        <w:tc>
          <w:tcPr>
            <w:tcW w:w="4360" w:type="dxa"/>
            <w:vAlign w:val="bottom"/>
            <w:tcBorders>
              <w:bottom w:val="single" w:sz="8" w:color="EAEAEA"/>
            </w:tcBorders>
          </w:tcPr>
          <w:p>
            <w:pPr>
              <w:ind w:left="220"/>
              <w:spacing w:after="0"/>
              <w:rPr>
                <w:sz w:val="20"/>
                <w:szCs w:val="20"/>
                <w:color w:val="auto"/>
              </w:rPr>
            </w:pPr>
            <w:r>
              <w:rPr>
                <w:rFonts w:ascii="Arial" w:cs="Arial" w:eastAsia="Arial" w:hAnsi="Arial"/>
                <w:sz w:val="16"/>
                <w:szCs w:val="16"/>
                <w:color w:val="auto"/>
              </w:rPr>
              <w:t>SaaS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EAEAEA"/>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r>
      <w:tr>
        <w:trPr>
          <w:trHeight w:val="206"/>
        </w:trPr>
        <w:tc>
          <w:tcPr>
            <w:tcW w:w="4360" w:type="dxa"/>
            <w:vAlign w:val="bottom"/>
            <w:shd w:val="clear" w:color="auto" w:fill="EAEAEA"/>
          </w:tcPr>
          <w:p>
            <w:pPr>
              <w:spacing w:after="0"/>
              <w:rPr>
                <w:sz w:val="20"/>
                <w:szCs w:val="20"/>
                <w:color w:val="auto"/>
              </w:rPr>
            </w:pPr>
            <w:r>
              <w:rPr>
                <w:rFonts w:ascii="Arial" w:cs="Arial" w:eastAsia="Arial" w:hAnsi="Arial"/>
                <w:sz w:val="16"/>
                <w:szCs w:val="16"/>
                <w:color w:val="auto"/>
              </w:rPr>
              <w:t>Total subscription</w:t>
            </w:r>
          </w:p>
        </w:tc>
        <w:tc>
          <w:tcPr>
            <w:tcW w:w="940" w:type="dxa"/>
            <w:vAlign w:val="bottom"/>
            <w:shd w:val="clear" w:color="auto" w:fill="EAEAEA"/>
          </w:tcPr>
          <w:p>
            <w:pPr>
              <w:spacing w:after="0"/>
              <w:rPr>
                <w:sz w:val="17"/>
                <w:szCs w:val="17"/>
                <w:color w:val="auto"/>
              </w:rPr>
            </w:pPr>
          </w:p>
        </w:tc>
        <w:tc>
          <w:tcPr>
            <w:tcW w:w="5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268.5</w:t>
            </w: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114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222.4</w:t>
            </w:r>
          </w:p>
        </w:tc>
        <w:tc>
          <w:tcPr>
            <w:tcW w:w="100" w:type="dxa"/>
            <w:vAlign w:val="bottom"/>
            <w:shd w:val="clear" w:color="auto" w:fill="EAEAEA"/>
          </w:tcPr>
          <w:p>
            <w:pPr>
              <w:spacing w:after="0"/>
              <w:rPr>
                <w:sz w:val="17"/>
                <w:szCs w:val="17"/>
                <w:color w:val="auto"/>
              </w:rPr>
            </w:pPr>
          </w:p>
        </w:tc>
        <w:tc>
          <w:tcPr>
            <w:tcW w:w="15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21 %</w:t>
            </w:r>
          </w:p>
        </w:tc>
      </w:tr>
      <w:tr>
        <w:trPr>
          <w:trHeight w:val="211"/>
        </w:trPr>
        <w:tc>
          <w:tcPr>
            <w:tcW w:w="4360" w:type="dxa"/>
            <w:vAlign w:val="bottom"/>
          </w:tcPr>
          <w:p>
            <w:pPr>
              <w:spacing w:after="0"/>
              <w:rPr>
                <w:sz w:val="20"/>
                <w:szCs w:val="20"/>
                <w:color w:val="auto"/>
              </w:rPr>
            </w:pPr>
            <w:r>
              <w:rPr>
                <w:rFonts w:ascii="Arial" w:cs="Arial" w:eastAsia="Arial" w:hAnsi="Arial"/>
                <w:sz w:val="16"/>
                <w:szCs w:val="16"/>
                <w:color w:val="auto"/>
              </w:rPr>
              <w:t>Perpetual license</w:t>
            </w:r>
          </w:p>
        </w:tc>
        <w:tc>
          <w:tcPr>
            <w:tcW w:w="9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4360" w:type="dxa"/>
            <w:vAlign w:val="bottom"/>
            <w:shd w:val="clear" w:color="auto" w:fill="EAEAEA"/>
          </w:tcPr>
          <w:p>
            <w:pPr>
              <w:spacing w:after="0"/>
              <w:rPr>
                <w:sz w:val="20"/>
                <w:szCs w:val="20"/>
                <w:color w:val="auto"/>
              </w:rPr>
            </w:pPr>
            <w:r>
              <w:rPr>
                <w:rFonts w:ascii="Arial" w:cs="Arial" w:eastAsia="Arial" w:hAnsi="Arial"/>
                <w:sz w:val="16"/>
                <w:szCs w:val="16"/>
                <w:color w:val="auto"/>
              </w:rPr>
              <w:t>Perpetual support</w:t>
            </w:r>
          </w:p>
        </w:tc>
        <w:tc>
          <w:tcPr>
            <w:tcW w:w="940" w:type="dxa"/>
            <w:vAlign w:val="bottom"/>
            <w:shd w:val="clear" w:color="auto" w:fill="EAEAEA"/>
          </w:tcPr>
          <w:p>
            <w:pPr>
              <w:spacing w:after="0"/>
              <w:rPr>
                <w:sz w:val="18"/>
                <w:szCs w:val="18"/>
                <w:color w:val="auto"/>
              </w:rPr>
            </w:pPr>
          </w:p>
        </w:tc>
        <w:tc>
          <w:tcPr>
            <w:tcW w:w="5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14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EAEAEA"/>
          </w:tcPr>
          <w:p>
            <w:pPr>
              <w:spacing w:after="0"/>
              <w:rPr>
                <w:sz w:val="18"/>
                <w:szCs w:val="18"/>
                <w:color w:val="auto"/>
              </w:rPr>
            </w:pPr>
          </w:p>
        </w:tc>
        <w:tc>
          <w:tcPr>
            <w:tcW w:w="15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(23)%</w:t>
            </w:r>
          </w:p>
        </w:tc>
      </w:tr>
      <w:tr>
        <w:trPr>
          <w:trHeight w:val="211"/>
        </w:trPr>
        <w:tc>
          <w:tcPr>
            <w:tcW w:w="4360" w:type="dxa"/>
            <w:vAlign w:val="bottom"/>
            <w:tcBorders>
              <w:bottom w:val="single" w:sz="8" w:color="EAEAEA"/>
            </w:tcBorders>
          </w:tcPr>
          <w:p>
            <w:pPr>
              <w:spacing w:after="0"/>
              <w:rPr>
                <w:sz w:val="20"/>
                <w:szCs w:val="20"/>
                <w:color w:val="auto"/>
              </w:rPr>
            </w:pPr>
            <w:r>
              <w:rPr>
                <w:rFonts w:ascii="Arial" w:cs="Arial" w:eastAsia="Arial" w:hAnsi="Arial"/>
                <w:sz w:val="16"/>
                <w:szCs w:val="16"/>
                <w:color w:val="auto"/>
              </w:rPr>
              <w:t>Other services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EAEAEA"/>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30"/>
        </w:trPr>
        <w:tc>
          <w:tcPr>
            <w:tcW w:w="436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6"/>
                <w:szCs w:val="16"/>
                <w:color w:val="auto"/>
              </w:rPr>
              <w:t>Total revenues</w:t>
            </w:r>
          </w:p>
        </w:tc>
        <w:tc>
          <w:tcPr>
            <w:tcW w:w="940" w:type="dxa"/>
            <w:vAlign w:val="bottom"/>
            <w:tcBorders>
              <w:bottom w:val="single" w:sz="8" w:color="auto"/>
            </w:tcBorders>
            <w:shd w:val="clear" w:color="auto" w:fill="EAEAEA"/>
          </w:tcPr>
          <w:p>
            <w:pPr>
              <w:jc w:val="right"/>
              <w:ind w:right="7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312.4</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276.2</w:t>
            </w:r>
          </w:p>
        </w:tc>
        <w:tc>
          <w:tcPr>
            <w:tcW w:w="100" w:type="dxa"/>
            <w:vAlign w:val="bottom"/>
            <w:tcBorders>
              <w:bottom w:val="single" w:sz="8" w:color="EAEAEA"/>
            </w:tcBorders>
            <w:shd w:val="clear" w:color="auto" w:fill="EAEAEA"/>
          </w:tcPr>
          <w:p>
            <w:pPr>
              <w:spacing w:after="0"/>
              <w:rPr>
                <w:sz w:val="19"/>
                <w:szCs w:val="19"/>
                <w:color w:val="auto"/>
              </w:rPr>
            </w:pPr>
          </w:p>
        </w:tc>
        <w:tc>
          <w:tcPr>
            <w:tcW w:w="1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940" w:type="dxa"/>
            <w:vAlign w:val="bottom"/>
            <w:tcBorders>
              <w:top w:val="single" w:sz="8" w:color="EAEAEA"/>
              <w:bottom w:val="single" w:sz="8" w:color="auto"/>
            </w:tcBorders>
          </w:tcPr>
          <w:p>
            <w:pPr>
              <w:spacing w:after="0" w:line="20" w:lineRule="exact"/>
              <w:rPr>
                <w:sz w:val="1"/>
                <w:szCs w:val="1"/>
                <w:color w:val="auto"/>
              </w:rPr>
            </w:pPr>
          </w:p>
        </w:tc>
        <w:tc>
          <w:tcPr>
            <w:tcW w:w="52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14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50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Total revenues increased $36.2 million, or 13%, for the three months ended September 30, 2026, primarily driven by growth across our subscription offerings, including term-based license, term-based support, and SaaS revenue. Total subscription revenue increased $46.2 million, or 21%, and represented 86% of total revenue compared to 81% in the prior-year period, reflecting continued customer adoption of our subscription-based offerings and the ongoing shift away from perpetual license and support products.</w:t>
      </w:r>
    </w:p>
    <w:p>
      <w:pPr>
        <w:spacing w:after="0" w:line="127"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SaaS revenue increased 33% year over year, driven by the continued expansion of our SaaS business and the recognition of revenue from SaaS contracts entered into in current and prior periods. Term-based support revenue increased 15% year over year, reflecting the maintenance and related support components of active term-based license contracts.</w:t>
      </w:r>
    </w:p>
    <w:p>
      <w:pPr>
        <w:spacing w:after="0" w:line="12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Term-based license revenue increased 13% year over year, led by a 17% increase in revenue from transactions greater than $0.1 million, while revenue from transactions less than $0.1 million remained generally consistent with the prior-year period. Term-based license revenue may fluctuate from period to period based on renewal timing, contract duration, and seasonal purchasing patterns across our global markets.</w:t>
      </w:r>
    </w:p>
    <w:p>
      <w:pPr>
        <w:spacing w:after="0" w:line="127"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These increases were partially offset by decreases of $4.9 million in perpetual license revenue and $7.1 million in perpetual support revenue, reflecting the continued transition of our business toward subscription-based offerings.</w:t>
      </w:r>
    </w:p>
    <w:p>
      <w:pPr>
        <w:spacing w:after="0" w:line="110"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Other services revenue increased $2.0 million, or 18%, year over year. Other services revenue consists primarily of professional services and may fluctuate based on customer demand and the timing of service delivery, with revenue generally recognized as services are performed.</w:t>
      </w:r>
    </w:p>
    <w:p>
      <w:pPr>
        <w:spacing w:after="0" w:line="12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track total revenues on a geographic basis. Our Americas region includes the United States, Canada, and Latin America. Our International region primarily includes Europe, the Middle East, Africa, Australia, India, and Southeast Asia. Americas and International represented 62% and 38% of our total revenues, respectively, for the three months ended September 30, 2026. Total revenues increased 15% in the Americas region and 9% in the International region compared to the prior-year period.</w:t>
      </w:r>
    </w:p>
    <w:p>
      <w:pPr>
        <w:spacing w:after="0" w:line="127"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Revenue growth in the Americas region was primarily driven by 34% growth in SaaS revenue, 11% growth in term-based license revenue, and 12% growth in term-based support revenue, partially offset by a decline in perpetual support revenue.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Revenue growth in the International region was primarily driven by 30% growth in SaaS revenue, 18% growth in term-based license revenue, and 21% growth in term-based support revenue, partially offset by decreases in perpetual license and perpetual support revenues.</w:t>
      </w:r>
    </w:p>
    <w:p>
      <w:pPr>
        <w:spacing w:after="0" w:line="110" w:lineRule="exact"/>
        <w:rPr>
          <w:sz w:val="20"/>
          <w:szCs w:val="20"/>
          <w:color w:val="auto"/>
        </w:rPr>
      </w:pPr>
    </w:p>
    <w:p>
      <w:pPr>
        <w:ind w:right="220" w:firstLine="636"/>
        <w:spacing w:after="0" w:line="274" w:lineRule="auto"/>
        <w:rPr>
          <w:sz w:val="20"/>
          <w:szCs w:val="20"/>
          <w:color w:val="auto"/>
        </w:rPr>
      </w:pPr>
      <w:r>
        <w:rPr>
          <w:rFonts w:ascii="Arial" w:cs="Arial" w:eastAsia="Arial" w:hAnsi="Arial"/>
          <w:sz w:val="18"/>
          <w:szCs w:val="18"/>
          <w:color w:val="auto"/>
        </w:rPr>
        <w:t>Our International revenues are subject to changes in foreign exchange rates as further discussed in the "Foreign Currency Exchange Rates' Impact on Results of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Cost of Revenues and Gross Margin ($ in millions)</w:t>
      </w:r>
    </w:p>
    <w:p>
      <w:pPr>
        <w:spacing w:after="0" w:line="365"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6"/>
                <w:szCs w:val="16"/>
                <w:b w:val="1"/>
                <w:bCs w:val="1"/>
                <w:color w:val="auto"/>
              </w:rPr>
              <w:t>Three Months Ended September 30,</w:t>
            </w:r>
          </w:p>
        </w:tc>
        <w:tc>
          <w:tcPr>
            <w:tcW w:w="1060" w:type="dxa"/>
            <w:vAlign w:val="bottom"/>
            <w:tcBorders>
              <w:bottom w:val="single" w:sz="8" w:color="auto"/>
            </w:tcBorders>
          </w:tcPr>
          <w:p>
            <w:pPr>
              <w:spacing w:after="0"/>
              <w:rPr>
                <w:sz w:val="18"/>
                <w:szCs w:val="18"/>
                <w:color w:val="auto"/>
              </w:rPr>
            </w:pPr>
          </w:p>
        </w:tc>
      </w:tr>
      <w:tr>
        <w:trPr>
          <w:trHeight w:val="205"/>
        </w:trPr>
        <w:tc>
          <w:tcPr>
            <w:tcW w:w="4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jc w:val="right"/>
              <w:ind w:right="110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2025</w:t>
            </w:r>
          </w:p>
        </w:tc>
        <w:tc>
          <w:tcPr>
            <w:tcW w:w="1060" w:type="dxa"/>
            <w:vAlign w:val="bottom"/>
            <w:tcBorders>
              <w:bottom w:val="single" w:sz="8" w:color="auto"/>
            </w:tcBorders>
          </w:tcPr>
          <w:p>
            <w:pPr>
              <w:spacing w:after="0"/>
              <w:rPr>
                <w:sz w:val="17"/>
                <w:szCs w:val="17"/>
                <w:color w:val="auto"/>
              </w:rPr>
            </w:pPr>
          </w:p>
        </w:tc>
      </w:tr>
      <w:tr>
        <w:trPr>
          <w:trHeight w:val="152"/>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361"/>
              <w:spacing w:after="0" w:line="152" w:lineRule="exact"/>
              <w:rPr>
                <w:sz w:val="20"/>
                <w:szCs w:val="20"/>
                <w:color w:val="auto"/>
              </w:rPr>
            </w:pPr>
            <w:r>
              <w:rPr>
                <w:rFonts w:ascii="Arial" w:cs="Arial" w:eastAsia="Arial" w:hAnsi="Arial"/>
                <w:sz w:val="16"/>
                <w:szCs w:val="16"/>
                <w:color w:val="auto"/>
              </w:rPr>
              <w:t>Cost of</w:t>
            </w:r>
          </w:p>
        </w:tc>
        <w:tc>
          <w:tcPr>
            <w:tcW w:w="1380" w:type="dxa"/>
            <w:vAlign w:val="bottom"/>
          </w:tcPr>
          <w:p>
            <w:pPr>
              <w:jc w:val="center"/>
              <w:spacing w:after="0" w:line="152" w:lineRule="exact"/>
              <w:rPr>
                <w:sz w:val="20"/>
                <w:szCs w:val="20"/>
                <w:color w:val="auto"/>
              </w:rPr>
            </w:pPr>
            <w:r>
              <w:rPr>
                <w:rFonts w:ascii="Arial" w:cs="Arial" w:eastAsia="Arial" w:hAnsi="Arial"/>
                <w:sz w:val="16"/>
                <w:szCs w:val="16"/>
                <w:color w:val="auto"/>
                <w:w w:val="98"/>
              </w:rPr>
              <w:t>Gross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661"/>
              <w:spacing w:after="0" w:line="152" w:lineRule="exact"/>
              <w:rPr>
                <w:sz w:val="20"/>
                <w:szCs w:val="20"/>
                <w:color w:val="auto"/>
              </w:rPr>
            </w:pPr>
            <w:r>
              <w:rPr>
                <w:rFonts w:ascii="Arial" w:cs="Arial" w:eastAsia="Arial" w:hAnsi="Arial"/>
                <w:sz w:val="16"/>
                <w:szCs w:val="16"/>
                <w:color w:val="auto"/>
              </w:rPr>
              <w:t>Cost of</w:t>
            </w:r>
          </w:p>
        </w:tc>
        <w:tc>
          <w:tcPr>
            <w:tcW w:w="1060" w:type="dxa"/>
            <w:vAlign w:val="bottom"/>
          </w:tcPr>
          <w:p>
            <w:pPr>
              <w:jc w:val="right"/>
              <w:ind w:right="421"/>
              <w:spacing w:after="0" w:line="152" w:lineRule="exact"/>
              <w:rPr>
                <w:sz w:val="20"/>
                <w:szCs w:val="20"/>
                <w:color w:val="auto"/>
              </w:rPr>
            </w:pPr>
            <w:r>
              <w:rPr>
                <w:rFonts w:ascii="Arial" w:cs="Arial" w:eastAsia="Arial" w:hAnsi="Arial"/>
                <w:sz w:val="16"/>
                <w:szCs w:val="16"/>
                <w:color w:val="auto"/>
              </w:rPr>
              <w:t>Gross</w:t>
            </w:r>
          </w:p>
        </w:tc>
      </w:tr>
      <w:tr>
        <w:trPr>
          <w:trHeight w:val="211"/>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41"/>
              <w:spacing w:after="0"/>
              <w:rPr>
                <w:sz w:val="20"/>
                <w:szCs w:val="20"/>
                <w:color w:val="auto"/>
              </w:rPr>
            </w:pPr>
            <w:r>
              <w:rPr>
                <w:rFonts w:ascii="Arial" w:cs="Arial" w:eastAsia="Arial" w:hAnsi="Arial"/>
                <w:sz w:val="16"/>
                <w:szCs w:val="16"/>
                <w:color w:val="auto"/>
              </w:rPr>
              <w:t>Revenues</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Margin</w:t>
            </w:r>
          </w:p>
        </w:tc>
        <w:tc>
          <w:tcPr>
            <w:tcW w:w="200" w:type="dxa"/>
            <w:vAlign w:val="bottom"/>
          </w:tcPr>
          <w:p>
            <w:pPr>
              <w:spacing w:after="0"/>
              <w:rPr>
                <w:sz w:val="18"/>
                <w:szCs w:val="18"/>
                <w:color w:val="auto"/>
              </w:rPr>
            </w:pPr>
          </w:p>
        </w:tc>
        <w:tc>
          <w:tcPr>
            <w:tcW w:w="1460" w:type="dxa"/>
            <w:vAlign w:val="bottom"/>
          </w:tcPr>
          <w:p>
            <w:pPr>
              <w:jc w:val="right"/>
              <w:ind w:right="561"/>
              <w:spacing w:after="0"/>
              <w:rPr>
                <w:sz w:val="20"/>
                <w:szCs w:val="20"/>
                <w:color w:val="auto"/>
              </w:rPr>
            </w:pPr>
            <w:r>
              <w:rPr>
                <w:rFonts w:ascii="Arial" w:cs="Arial" w:eastAsia="Arial" w:hAnsi="Arial"/>
                <w:sz w:val="16"/>
                <w:szCs w:val="16"/>
                <w:color w:val="auto"/>
              </w:rPr>
              <w:t>Revenues</w:t>
            </w: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Margin</w:t>
            </w:r>
          </w:p>
        </w:tc>
      </w:tr>
      <w:tr>
        <w:trPr>
          <w:trHeight w:val="206"/>
        </w:trPr>
        <w:tc>
          <w:tcPr>
            <w:tcW w:w="430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Term-based license</w:t>
            </w:r>
          </w:p>
        </w:tc>
        <w:tc>
          <w:tcPr>
            <w:tcW w:w="200" w:type="dxa"/>
            <w:vAlign w:val="bottom"/>
            <w:tcBorders>
              <w:top w:val="single" w:sz="8" w:color="auto"/>
            </w:tcBorders>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EAEAEA"/>
          </w:tcPr>
          <w:p>
            <w:pPr>
              <w:jc w:val="right"/>
              <w:ind w:right="21"/>
              <w:spacing w:after="0"/>
              <w:rPr>
                <w:sz w:val="20"/>
                <w:szCs w:val="20"/>
                <w:color w:val="auto"/>
              </w:rPr>
            </w:pPr>
            <w:r>
              <w:rPr>
                <w:rFonts w:ascii="Arial" w:cs="Arial" w:eastAsia="Arial" w:hAnsi="Arial"/>
                <w:sz w:val="16"/>
                <w:szCs w:val="16"/>
                <w:color w:val="auto"/>
              </w:rPr>
              <w:t>3.5</w:t>
            </w:r>
          </w:p>
        </w:tc>
        <w:tc>
          <w:tcPr>
            <w:tcW w:w="138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96.7 %</w:t>
            </w:r>
          </w:p>
        </w:tc>
        <w:tc>
          <w:tcPr>
            <w:tcW w:w="100" w:type="dxa"/>
            <w:vAlign w:val="bottom"/>
            <w:tcBorders>
              <w:top w:val="single" w:sz="8" w:color="EAEAEA"/>
            </w:tcBorders>
            <w:shd w:val="clear" w:color="auto" w:fill="EAEAEA"/>
          </w:tcPr>
          <w:p>
            <w:pPr>
              <w:spacing w:after="0"/>
              <w:rPr>
                <w:sz w:val="17"/>
                <w:szCs w:val="17"/>
                <w:color w:val="auto"/>
              </w:rPr>
            </w:pPr>
          </w:p>
        </w:tc>
        <w:tc>
          <w:tcPr>
            <w:tcW w:w="200" w:type="dxa"/>
            <w:vAlign w:val="bottom"/>
            <w:tcBorders>
              <w:top w:val="single" w:sz="8" w:color="auto"/>
            </w:tcBorders>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EAEAEA"/>
          </w:tcPr>
          <w:p>
            <w:pPr>
              <w:jc w:val="right"/>
              <w:ind w:right="341"/>
              <w:spacing w:after="0"/>
              <w:rPr>
                <w:sz w:val="20"/>
                <w:szCs w:val="20"/>
                <w:color w:val="auto"/>
              </w:rPr>
            </w:pPr>
            <w:r>
              <w:rPr>
                <w:rFonts w:ascii="Arial" w:cs="Arial" w:eastAsia="Arial" w:hAnsi="Arial"/>
                <w:sz w:val="16"/>
                <w:szCs w:val="16"/>
                <w:color w:val="auto"/>
              </w:rPr>
              <w:t>2.4</w:t>
            </w:r>
          </w:p>
        </w:tc>
        <w:tc>
          <w:tcPr>
            <w:tcW w:w="106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97.4 %</w:t>
            </w:r>
          </w:p>
        </w:tc>
      </w:tr>
      <w:tr>
        <w:trPr>
          <w:trHeight w:val="211"/>
        </w:trPr>
        <w:tc>
          <w:tcPr>
            <w:tcW w:w="4300" w:type="dxa"/>
            <w:vAlign w:val="bottom"/>
          </w:tcPr>
          <w:p>
            <w:pPr>
              <w:ind w:left="20"/>
              <w:spacing w:after="0"/>
              <w:rPr>
                <w:sz w:val="20"/>
                <w:szCs w:val="20"/>
                <w:color w:val="auto"/>
              </w:rPr>
            </w:pPr>
            <w:r>
              <w:rPr>
                <w:rFonts w:ascii="Arial" w:cs="Arial" w:eastAsia="Arial" w:hAnsi="Arial"/>
                <w:sz w:val="16"/>
                <w:szCs w:val="16"/>
                <w:color w:val="auto"/>
              </w:rPr>
              <w:t>SaaS</w:t>
            </w:r>
          </w:p>
        </w:tc>
        <w:tc>
          <w:tcPr>
            <w:tcW w:w="20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31.8</w:t>
            </w:r>
          </w:p>
        </w:tc>
        <w:tc>
          <w:tcPr>
            <w:tcW w:w="1380" w:type="dxa"/>
            <w:vAlign w:val="bottom"/>
          </w:tcPr>
          <w:p>
            <w:pPr>
              <w:jc w:val="right"/>
              <w:spacing w:after="0"/>
              <w:rPr>
                <w:sz w:val="20"/>
                <w:szCs w:val="20"/>
                <w:color w:val="auto"/>
              </w:rPr>
            </w:pPr>
            <w:r>
              <w:rPr>
                <w:rFonts w:ascii="Arial" w:cs="Arial" w:eastAsia="Arial" w:hAnsi="Arial"/>
                <w:sz w:val="16"/>
                <w:szCs w:val="16"/>
                <w:color w:val="auto"/>
              </w:rPr>
              <w:t>70.0 %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41"/>
              <w:spacing w:after="0"/>
              <w:rPr>
                <w:sz w:val="20"/>
                <w:szCs w:val="20"/>
                <w:color w:val="auto"/>
              </w:rPr>
            </w:pPr>
            <w:r>
              <w:rPr>
                <w:rFonts w:ascii="Arial" w:cs="Arial" w:eastAsia="Arial" w:hAnsi="Arial"/>
                <w:sz w:val="16"/>
                <w:szCs w:val="16"/>
                <w:color w:val="auto"/>
              </w:rPr>
              <w:t>29.2</w:t>
            </w:r>
          </w:p>
        </w:tc>
        <w:tc>
          <w:tcPr>
            <w:tcW w:w="1060" w:type="dxa"/>
            <w:vAlign w:val="bottom"/>
          </w:tcPr>
          <w:p>
            <w:pPr>
              <w:jc w:val="right"/>
              <w:spacing w:after="0"/>
              <w:rPr>
                <w:sz w:val="20"/>
                <w:szCs w:val="20"/>
                <w:color w:val="auto"/>
              </w:rPr>
            </w:pPr>
            <w:r>
              <w:rPr>
                <w:rFonts w:ascii="Arial" w:cs="Arial" w:eastAsia="Arial" w:hAnsi="Arial"/>
                <w:sz w:val="16"/>
                <w:szCs w:val="16"/>
                <w:color w:val="auto"/>
              </w:rPr>
              <w:t>63.5 %</w:t>
            </w:r>
          </w:p>
        </w:tc>
      </w:tr>
      <w:tr>
        <w:trPr>
          <w:trHeight w:val="213"/>
        </w:trPr>
        <w:tc>
          <w:tcPr>
            <w:tcW w:w="4300" w:type="dxa"/>
            <w:vAlign w:val="bottom"/>
            <w:shd w:val="clear" w:color="auto" w:fill="EAEAEA"/>
          </w:tcPr>
          <w:p>
            <w:pPr>
              <w:ind w:left="20"/>
              <w:spacing w:after="0"/>
              <w:rPr>
                <w:sz w:val="20"/>
                <w:szCs w:val="20"/>
                <w:color w:val="auto"/>
              </w:rPr>
            </w:pPr>
            <w:r>
              <w:rPr>
                <w:rFonts w:ascii="Arial" w:cs="Arial" w:eastAsia="Arial" w:hAnsi="Arial"/>
                <w:sz w:val="16"/>
                <w:szCs w:val="16"/>
                <w:color w:val="auto"/>
              </w:rPr>
              <w:t>Perpetual license</w:t>
            </w:r>
          </w:p>
        </w:tc>
        <w:tc>
          <w:tcPr>
            <w:tcW w:w="200" w:type="dxa"/>
            <w:vAlign w:val="bottom"/>
            <w:shd w:val="clear" w:color="auto" w:fill="EAEAEA"/>
          </w:tcPr>
          <w:p>
            <w:pPr>
              <w:spacing w:after="0"/>
              <w:rPr>
                <w:sz w:val="18"/>
                <w:szCs w:val="18"/>
                <w:color w:val="auto"/>
              </w:rPr>
            </w:pPr>
          </w:p>
        </w:tc>
        <w:tc>
          <w:tcPr>
            <w:tcW w:w="114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auto"/>
              </w:rPr>
              <w:t>0.2</w:t>
            </w:r>
          </w:p>
        </w:tc>
        <w:tc>
          <w:tcPr>
            <w:tcW w:w="13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96.8 %</w:t>
            </w:r>
          </w:p>
        </w:tc>
        <w:tc>
          <w:tcPr>
            <w:tcW w:w="100" w:type="dxa"/>
            <w:vAlign w:val="bottom"/>
            <w:shd w:val="clear" w:color="auto" w:fill="EAEAEA"/>
          </w:tcPr>
          <w:p>
            <w:pPr>
              <w:spacing w:after="0"/>
              <w:rPr>
                <w:sz w:val="18"/>
                <w:szCs w:val="18"/>
                <w:color w:val="auto"/>
              </w:rPr>
            </w:pPr>
          </w:p>
        </w:tc>
        <w:tc>
          <w:tcPr>
            <w:tcW w:w="200" w:type="dxa"/>
            <w:vAlign w:val="bottom"/>
            <w:shd w:val="clear" w:color="auto" w:fill="EAEAEA"/>
          </w:tcPr>
          <w:p>
            <w:pPr>
              <w:spacing w:after="0"/>
              <w:rPr>
                <w:sz w:val="18"/>
                <w:szCs w:val="18"/>
                <w:color w:val="auto"/>
              </w:rPr>
            </w:pPr>
          </w:p>
        </w:tc>
        <w:tc>
          <w:tcPr>
            <w:tcW w:w="1460" w:type="dxa"/>
            <w:vAlign w:val="bottom"/>
            <w:shd w:val="clear" w:color="auto" w:fill="EAEAEA"/>
          </w:tcPr>
          <w:p>
            <w:pPr>
              <w:jc w:val="right"/>
              <w:ind w:right="341"/>
              <w:spacing w:after="0"/>
              <w:rPr>
                <w:sz w:val="20"/>
                <w:szCs w:val="20"/>
                <w:color w:val="auto"/>
              </w:rPr>
            </w:pPr>
            <w:r>
              <w:rPr>
                <w:rFonts w:ascii="Arial" w:cs="Arial" w:eastAsia="Arial" w:hAnsi="Arial"/>
                <w:sz w:val="16"/>
                <w:szCs w:val="16"/>
                <w:color w:val="auto"/>
              </w:rPr>
              <w:t>0.2</w:t>
            </w:r>
          </w:p>
        </w:tc>
        <w:tc>
          <w:tcPr>
            <w:tcW w:w="106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98.4 %</w:t>
            </w:r>
          </w:p>
        </w:tc>
      </w:tr>
      <w:tr>
        <w:trPr>
          <w:trHeight w:val="211"/>
        </w:trPr>
        <w:tc>
          <w:tcPr>
            <w:tcW w:w="4300" w:type="dxa"/>
            <w:vAlign w:val="bottom"/>
          </w:tcPr>
          <w:p>
            <w:pPr>
              <w:ind w:left="20"/>
              <w:spacing w:after="0"/>
              <w:rPr>
                <w:sz w:val="20"/>
                <w:szCs w:val="20"/>
                <w:color w:val="auto"/>
              </w:rPr>
            </w:pPr>
            <w:r>
              <w:rPr>
                <w:rFonts w:ascii="Arial" w:cs="Arial" w:eastAsia="Arial" w:hAnsi="Arial"/>
                <w:sz w:val="16"/>
                <w:szCs w:val="16"/>
                <w:color w:val="auto"/>
              </w:rPr>
              <w:t>Customer support</w:t>
            </w:r>
          </w:p>
        </w:tc>
        <w:tc>
          <w:tcPr>
            <w:tcW w:w="20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14.3</w:t>
            </w:r>
          </w:p>
        </w:tc>
        <w:tc>
          <w:tcPr>
            <w:tcW w:w="1380" w:type="dxa"/>
            <w:vAlign w:val="bottom"/>
          </w:tcPr>
          <w:p>
            <w:pPr>
              <w:jc w:val="right"/>
              <w:spacing w:after="0"/>
              <w:rPr>
                <w:sz w:val="20"/>
                <w:szCs w:val="20"/>
                <w:color w:val="auto"/>
              </w:rPr>
            </w:pPr>
            <w:r>
              <w:rPr>
                <w:rFonts w:ascii="Arial" w:cs="Arial" w:eastAsia="Arial" w:hAnsi="Arial"/>
                <w:sz w:val="16"/>
                <w:szCs w:val="16"/>
                <w:color w:val="auto"/>
              </w:rPr>
              <w:t>82.2 %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41"/>
              <w:spacing w:after="0"/>
              <w:rPr>
                <w:sz w:val="20"/>
                <w:szCs w:val="20"/>
                <w:color w:val="auto"/>
              </w:rPr>
            </w:pPr>
            <w:r>
              <w:rPr>
                <w:rFonts w:ascii="Arial" w:cs="Arial" w:eastAsia="Arial" w:hAnsi="Arial"/>
                <w:sz w:val="16"/>
                <w:szCs w:val="16"/>
                <w:color w:val="auto"/>
              </w:rPr>
              <w:t>14.8</w:t>
            </w:r>
          </w:p>
        </w:tc>
        <w:tc>
          <w:tcPr>
            <w:tcW w:w="1060" w:type="dxa"/>
            <w:vAlign w:val="bottom"/>
          </w:tcPr>
          <w:p>
            <w:pPr>
              <w:jc w:val="right"/>
              <w:spacing w:after="0"/>
              <w:rPr>
                <w:sz w:val="20"/>
                <w:szCs w:val="20"/>
                <w:color w:val="auto"/>
              </w:rPr>
            </w:pPr>
            <w:r>
              <w:rPr>
                <w:rFonts w:ascii="Arial" w:cs="Arial" w:eastAsia="Arial" w:hAnsi="Arial"/>
                <w:sz w:val="16"/>
                <w:szCs w:val="16"/>
                <w:color w:val="auto"/>
              </w:rPr>
              <w:t>81.5 %</w:t>
            </w:r>
          </w:p>
        </w:tc>
      </w:tr>
      <w:tr>
        <w:trPr>
          <w:trHeight w:val="213"/>
        </w:trPr>
        <w:tc>
          <w:tcPr>
            <w:tcW w:w="430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services</w:t>
            </w:r>
          </w:p>
        </w:tc>
        <w:tc>
          <w:tcPr>
            <w:tcW w:w="200" w:type="dxa"/>
            <w:vAlign w:val="bottom"/>
            <w:tcBorders>
              <w:bottom w:val="single" w:sz="8" w:color="auto"/>
            </w:tcBorders>
            <w:shd w:val="clear" w:color="auto" w:fill="EAEAEA"/>
          </w:tcPr>
          <w:p>
            <w:pPr>
              <w:spacing w:after="0"/>
              <w:rPr>
                <w:sz w:val="18"/>
                <w:szCs w:val="18"/>
                <w:color w:val="auto"/>
              </w:rPr>
            </w:pPr>
          </w:p>
        </w:tc>
        <w:tc>
          <w:tcPr>
            <w:tcW w:w="1140" w:type="dxa"/>
            <w:vAlign w:val="bottom"/>
            <w:tcBorders>
              <w:bottom w:val="single" w:sz="8" w:color="auto"/>
            </w:tcBorders>
            <w:shd w:val="clear" w:color="auto" w:fill="EAEAEA"/>
          </w:tcPr>
          <w:p>
            <w:pPr>
              <w:jc w:val="right"/>
              <w:ind w:right="21"/>
              <w:spacing w:after="0"/>
              <w:rPr>
                <w:sz w:val="20"/>
                <w:szCs w:val="20"/>
                <w:color w:val="auto"/>
              </w:rPr>
            </w:pPr>
            <w:r>
              <w:rPr>
                <w:rFonts w:ascii="Arial" w:cs="Arial" w:eastAsia="Arial" w:hAnsi="Arial"/>
                <w:sz w:val="16"/>
                <w:szCs w:val="16"/>
                <w:color w:val="auto"/>
              </w:rPr>
              <w:t>9.0</w:t>
            </w:r>
          </w:p>
        </w:tc>
        <w:tc>
          <w:tcPr>
            <w:tcW w:w="13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31.6 %</w:t>
            </w:r>
          </w:p>
        </w:tc>
        <w:tc>
          <w:tcPr>
            <w:tcW w:w="100" w:type="dxa"/>
            <w:vAlign w:val="bottom"/>
            <w:shd w:val="clear" w:color="auto" w:fill="EAEAEA"/>
          </w:tcPr>
          <w:p>
            <w:pPr>
              <w:spacing w:after="0"/>
              <w:rPr>
                <w:sz w:val="18"/>
                <w:szCs w:val="18"/>
                <w:color w:val="auto"/>
              </w:rPr>
            </w:pPr>
          </w:p>
        </w:tc>
        <w:tc>
          <w:tcPr>
            <w:tcW w:w="200" w:type="dxa"/>
            <w:vAlign w:val="bottom"/>
            <w:tcBorders>
              <w:bottom w:val="single" w:sz="8" w:color="auto"/>
            </w:tcBorders>
            <w:shd w:val="clear" w:color="auto" w:fill="EAEAEA"/>
          </w:tcPr>
          <w:p>
            <w:pPr>
              <w:spacing w:after="0"/>
              <w:rPr>
                <w:sz w:val="18"/>
                <w:szCs w:val="18"/>
                <w:color w:val="auto"/>
              </w:rPr>
            </w:pPr>
          </w:p>
        </w:tc>
        <w:tc>
          <w:tcPr>
            <w:tcW w:w="1460" w:type="dxa"/>
            <w:vAlign w:val="bottom"/>
            <w:tcBorders>
              <w:bottom w:val="single" w:sz="8" w:color="auto"/>
            </w:tcBorders>
            <w:shd w:val="clear" w:color="auto" w:fill="EAEAEA"/>
          </w:tcPr>
          <w:p>
            <w:pPr>
              <w:jc w:val="right"/>
              <w:ind w:right="341"/>
              <w:spacing w:after="0"/>
              <w:rPr>
                <w:sz w:val="20"/>
                <w:szCs w:val="20"/>
                <w:color w:val="auto"/>
              </w:rPr>
            </w:pPr>
            <w:r>
              <w:rPr>
                <w:rFonts w:ascii="Arial" w:cs="Arial" w:eastAsia="Arial" w:hAnsi="Arial"/>
                <w:sz w:val="16"/>
                <w:szCs w:val="16"/>
                <w:color w:val="auto"/>
              </w:rPr>
              <w:t>8.4</w:t>
            </w:r>
          </w:p>
        </w:tc>
        <w:tc>
          <w:tcPr>
            <w:tcW w:w="10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25.1 %</w:t>
            </w:r>
          </w:p>
        </w:tc>
      </w:tr>
      <w:tr>
        <w:trPr>
          <w:trHeight w:val="204"/>
        </w:trPr>
        <w:tc>
          <w:tcPr>
            <w:tcW w:w="4300" w:type="dxa"/>
            <w:vAlign w:val="bottom"/>
          </w:tcPr>
          <w:p>
            <w:pPr>
              <w:ind w:left="20"/>
              <w:spacing w:after="0"/>
              <w:rPr>
                <w:sz w:val="20"/>
                <w:szCs w:val="20"/>
                <w:color w:val="auto"/>
              </w:rPr>
            </w:pPr>
            <w:r>
              <w:rPr>
                <w:rFonts w:ascii="Arial" w:cs="Arial" w:eastAsia="Arial" w:hAnsi="Arial"/>
                <w:sz w:val="16"/>
                <w:szCs w:val="16"/>
                <w:color w:val="auto"/>
              </w:rPr>
              <w:t>Total cost of revenues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55.0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80.1 %</w:t>
            </w:r>
          </w:p>
        </w:tc>
      </w:tr>
      <w:tr>
        <w:trPr>
          <w:trHeight w:val="21"/>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both"/>
        <w:ind w:firstLine="636"/>
        <w:spacing w:after="0" w:line="304" w:lineRule="auto"/>
        <w:rPr>
          <w:sz w:val="20"/>
          <w:szCs w:val="20"/>
          <w:color w:val="auto"/>
        </w:rPr>
      </w:pPr>
      <w:r>
        <w:rPr>
          <w:rFonts w:ascii="Arial" w:cs="Arial" w:eastAsia="Arial" w:hAnsi="Arial"/>
          <w:sz w:val="17"/>
          <w:szCs w:val="17"/>
          <w:color w:val="auto"/>
        </w:rPr>
        <w:t>Total cost of revenues increased $3.8 million for the three months ended September 30, 2026, primarily due to increased infrastructure costs associated with the continued expansion of our SaaS offerings. Gross margin increased to 81.2%, from 80.1% in the prior-year period.</w:t>
      </w:r>
    </w:p>
    <w:p>
      <w:pPr>
        <w:spacing w:after="0" w:line="8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Cost of SaaS revenue increased $2.6 million for the three months ended September 30, 2026, primarily due to higher infrastructure costs to support growth in our SaaS offerings. SaaS gross margin increased to 70.0% from 63.5% in the prior-year period, reflecting infrastructure and product optimization initiatives, increased scale, and improved economics under strategic agreements with our hyperscale cloud partners. As our SaaS business continues to represent a larger percentage of total revenue, changes in hosting cost, utilization, and operating efficiencies may have a meaningful impact on consolidated gross margin.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Operating Expenses ($ in millions)</w:t>
      </w:r>
    </w:p>
    <w:p>
      <w:pPr>
        <w:spacing w:after="0" w:line="365" w:lineRule="exact"/>
        <w:rPr>
          <w:sz w:val="20"/>
          <w:szCs w:val="20"/>
          <w:color w:val="auto"/>
        </w:rPr>
      </w:pPr>
    </w:p>
    <w:tbl>
      <w:tblPr>
        <w:tblLayout w:type="fixed"/>
        <w:tblInd w:w="92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80" w:type="dxa"/>
            <w:vAlign w:val="bottom"/>
          </w:tcPr>
          <w:p>
            <w:pPr>
              <w:spacing w:after="0"/>
              <w:rPr>
                <w:sz w:val="18"/>
                <w:szCs w:val="18"/>
                <w:color w:val="auto"/>
              </w:rPr>
            </w:pPr>
          </w:p>
        </w:tc>
      </w:tr>
      <w:tr>
        <w:trPr>
          <w:trHeight w:val="205"/>
        </w:trPr>
        <w:tc>
          <w:tcPr>
            <w:tcW w:w="4720" w:type="dxa"/>
            <w:vAlign w:val="bottom"/>
            <w:tcBorders>
              <w:bottom w:val="single" w:sz="8" w:color="EAEAEA"/>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7"/>
                <w:szCs w:val="17"/>
                <w:color w:val="auto"/>
              </w:rPr>
            </w:pPr>
          </w:p>
        </w:tc>
        <w:tc>
          <w:tcPr>
            <w:tcW w:w="1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Change</w:t>
            </w:r>
          </w:p>
        </w:tc>
      </w:tr>
      <w:tr>
        <w:trPr>
          <w:trHeight w:val="205"/>
        </w:trPr>
        <w:tc>
          <w:tcPr>
            <w:tcW w:w="4720" w:type="dxa"/>
            <w:vAlign w:val="bottom"/>
            <w:shd w:val="clear" w:color="auto" w:fill="EAEAEA"/>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EAEAEA"/>
          </w:tcPr>
          <w:p>
            <w:pPr>
              <w:spacing w:after="0"/>
              <w:rPr>
                <w:sz w:val="17"/>
                <w:szCs w:val="17"/>
                <w:color w:val="auto"/>
              </w:rPr>
            </w:pPr>
          </w:p>
        </w:tc>
        <w:tc>
          <w:tcPr>
            <w:tcW w:w="34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EAEAEA"/>
          </w:tcPr>
          <w:p>
            <w:pPr>
              <w:spacing w:after="0"/>
              <w:rPr>
                <w:sz w:val="17"/>
                <w:szCs w:val="17"/>
                <w:color w:val="auto"/>
              </w:rPr>
            </w:pPr>
          </w:p>
        </w:tc>
        <w:tc>
          <w:tcPr>
            <w:tcW w:w="14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11 %</w:t>
            </w:r>
          </w:p>
        </w:tc>
      </w:tr>
      <w:tr>
        <w:trPr>
          <w:trHeight w:val="211"/>
        </w:trPr>
        <w:tc>
          <w:tcPr>
            <w:tcW w:w="4720" w:type="dxa"/>
            <w:vAlign w:val="bottom"/>
          </w:tcPr>
          <w:p>
            <w:pPr>
              <w:jc w:val="center"/>
              <w:ind w:right="2701"/>
              <w:spacing w:after="0"/>
              <w:rPr>
                <w:sz w:val="20"/>
                <w:szCs w:val="20"/>
                <w:color w:val="auto"/>
              </w:rPr>
            </w:pPr>
            <w:r>
              <w:rPr>
                <w:rFonts w:ascii="Arial" w:cs="Arial" w:eastAsia="Arial" w:hAnsi="Arial"/>
                <w:sz w:val="16"/>
                <w:szCs w:val="16"/>
                <w:color w:val="auto"/>
              </w:rPr>
              <w:t>Percentage of revenues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720" w:type="dxa"/>
            <w:vAlign w:val="bottom"/>
            <w:shd w:val="clear" w:color="auto" w:fill="EAEAEA"/>
          </w:tcPr>
          <w:p>
            <w:pPr>
              <w:jc w:val="center"/>
              <w:ind w:right="2661"/>
              <w:spacing w:after="0"/>
              <w:rPr>
                <w:sz w:val="20"/>
                <w:szCs w:val="20"/>
                <w:color w:val="auto"/>
              </w:rPr>
            </w:pPr>
            <w:r>
              <w:rPr>
                <w:rFonts w:ascii="Arial" w:cs="Arial" w:eastAsia="Arial" w:hAnsi="Arial"/>
                <w:sz w:val="16"/>
                <w:szCs w:val="16"/>
                <w:color w:val="auto"/>
                <w:w w:val="99"/>
              </w:rPr>
              <w:t>Research and development</w:t>
            </w:r>
          </w:p>
        </w:tc>
        <w:tc>
          <w:tcPr>
            <w:tcW w:w="14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EAEAEA"/>
          </w:tcPr>
          <w:p>
            <w:pPr>
              <w:spacing w:after="0"/>
              <w:rPr>
                <w:sz w:val="18"/>
                <w:szCs w:val="18"/>
                <w:color w:val="auto"/>
              </w:rPr>
            </w:pPr>
          </w:p>
        </w:tc>
        <w:tc>
          <w:tcPr>
            <w:tcW w:w="34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EAEAEA"/>
          </w:tcPr>
          <w:p>
            <w:pPr>
              <w:spacing w:after="0"/>
              <w:rPr>
                <w:sz w:val="18"/>
                <w:szCs w:val="18"/>
                <w:color w:val="auto"/>
              </w:rPr>
            </w:pPr>
          </w:p>
        </w:tc>
        <w:tc>
          <w:tcPr>
            <w:tcW w:w="14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6 %</w:t>
            </w:r>
          </w:p>
        </w:tc>
      </w:tr>
      <w:tr>
        <w:trPr>
          <w:trHeight w:val="211"/>
        </w:trPr>
        <w:tc>
          <w:tcPr>
            <w:tcW w:w="4720" w:type="dxa"/>
            <w:vAlign w:val="bottom"/>
          </w:tcPr>
          <w:p>
            <w:pPr>
              <w:jc w:val="center"/>
              <w:ind w:right="2701"/>
              <w:spacing w:after="0"/>
              <w:rPr>
                <w:sz w:val="20"/>
                <w:szCs w:val="20"/>
                <w:color w:val="auto"/>
              </w:rPr>
            </w:pPr>
            <w:r>
              <w:rPr>
                <w:rFonts w:ascii="Arial" w:cs="Arial" w:eastAsia="Arial" w:hAnsi="Arial"/>
                <w:sz w:val="16"/>
                <w:szCs w:val="16"/>
                <w:color w:val="auto"/>
              </w:rPr>
              <w:t>Percentage of revenues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3"/>
        </w:trPr>
        <w:tc>
          <w:tcPr>
            <w:tcW w:w="4720" w:type="dxa"/>
            <w:vAlign w:val="bottom"/>
            <w:shd w:val="clear" w:color="auto" w:fill="EAEAEA"/>
          </w:tcPr>
          <w:p>
            <w:pPr>
              <w:jc w:val="center"/>
              <w:ind w:right="2701"/>
              <w:spacing w:after="0"/>
              <w:rPr>
                <w:sz w:val="20"/>
                <w:szCs w:val="20"/>
                <w:color w:val="auto"/>
              </w:rPr>
            </w:pPr>
            <w:r>
              <w:rPr>
                <w:rFonts w:ascii="Arial" w:cs="Arial" w:eastAsia="Arial" w:hAnsi="Arial"/>
                <w:sz w:val="16"/>
                <w:szCs w:val="16"/>
                <w:color w:val="auto"/>
                <w:w w:val="99"/>
              </w:rPr>
              <w:t>General and administrative</w:t>
            </w:r>
          </w:p>
        </w:tc>
        <w:tc>
          <w:tcPr>
            <w:tcW w:w="14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EAEAEA"/>
          </w:tcPr>
          <w:p>
            <w:pPr>
              <w:spacing w:after="0"/>
              <w:rPr>
                <w:sz w:val="18"/>
                <w:szCs w:val="18"/>
                <w:color w:val="auto"/>
              </w:rPr>
            </w:pPr>
          </w:p>
        </w:tc>
        <w:tc>
          <w:tcPr>
            <w:tcW w:w="34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EAEAEA"/>
          </w:tcPr>
          <w:p>
            <w:pPr>
              <w:spacing w:after="0"/>
              <w:rPr>
                <w:sz w:val="18"/>
                <w:szCs w:val="18"/>
                <w:color w:val="auto"/>
              </w:rPr>
            </w:pPr>
          </w:p>
        </w:tc>
        <w:tc>
          <w:tcPr>
            <w:tcW w:w="148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4720" w:type="dxa"/>
            <w:vAlign w:val="bottom"/>
          </w:tcPr>
          <w:p>
            <w:pPr>
              <w:jc w:val="center"/>
              <w:ind w:right="2701"/>
              <w:spacing w:after="0"/>
              <w:rPr>
                <w:sz w:val="20"/>
                <w:szCs w:val="20"/>
                <w:color w:val="auto"/>
              </w:rPr>
            </w:pPr>
            <w:r>
              <w:rPr>
                <w:rFonts w:ascii="Arial" w:cs="Arial" w:eastAsia="Arial" w:hAnsi="Arial"/>
                <w:sz w:val="16"/>
                <w:szCs w:val="16"/>
                <w:color w:val="auto"/>
              </w:rPr>
              <w:t>Percentage of revenues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00" w:lineRule="exact"/>
        <w:rPr>
          <w:sz w:val="20"/>
          <w:szCs w:val="20"/>
          <w:color w:val="auto"/>
        </w:rPr>
      </w:pPr>
    </w:p>
    <w:p>
      <w:pPr>
        <w:spacing w:after="0" w:line="223" w:lineRule="exact"/>
        <w:rPr>
          <w:sz w:val="20"/>
          <w:szCs w:val="20"/>
          <w:color w:val="auto"/>
        </w:rPr>
      </w:pPr>
    </w:p>
    <w:p>
      <w:pPr>
        <w:ind w:left="640" w:hanging="318"/>
        <w:spacing w:after="0" w:line="223" w:lineRule="exact"/>
        <w:rPr>
          <w:sz w:val="20"/>
          <w:szCs w:val="20"/>
          <w:color w:val="auto"/>
        </w:rPr>
      </w:pPr>
      <w:r>
        <w:rPr>
          <w:rFonts w:ascii="Arial" w:cs="Arial" w:eastAsia="Arial" w:hAnsi="Arial"/>
          <w:sz w:val="18"/>
          <w:szCs w:val="18"/>
          <w:color w:val="auto"/>
        </w:rPr>
        <w:t>– Sales and marketing expenses increased $13.3 million, or 11%, primarily driven by a $9.6 million increase in employee compensation and related expenses, including higher sales commissions, bonuses, and payroll taxes associated with increased headcount and higher revenue levels. Sales and marketing expenses also increased due to a $1.9 million increase in stock-based compensation and a $2.2 million increase in spending on certain marketing activities, including in</w:t>
      </w:r>
      <w:r>
        <w:rPr>
          <w:rFonts w:ascii="MS PGothic" w:cs="MS PGothic" w:eastAsia="MS PGothic" w:hAnsi="MS PGothic"/>
          <w:sz w:val="18"/>
          <w:szCs w:val="18"/>
          <w:color w:val="auto"/>
        </w:rPr>
        <w:t>‑</w:t>
      </w:r>
      <w:r>
        <w:rPr>
          <w:rFonts w:ascii="Arial" w:cs="Arial" w:eastAsia="Arial" w:hAnsi="Arial"/>
          <w:sz w:val="18"/>
          <w:szCs w:val="18"/>
          <w:color w:val="auto"/>
        </w:rPr>
        <w:t>person events.</w:t>
      </w:r>
    </w:p>
    <w:p>
      <w:pPr>
        <w:spacing w:after="0" w:line="63" w:lineRule="exact"/>
        <w:rPr>
          <w:sz w:val="20"/>
          <w:szCs w:val="20"/>
          <w:color w:val="auto"/>
        </w:rPr>
      </w:pPr>
    </w:p>
    <w:p>
      <w:pPr>
        <w:ind w:left="640" w:hanging="318"/>
        <w:spacing w:after="0" w:line="260" w:lineRule="auto"/>
        <w:rPr>
          <w:sz w:val="20"/>
          <w:szCs w:val="20"/>
          <w:color w:val="auto"/>
        </w:rPr>
      </w:pPr>
      <w:r>
        <w:rPr>
          <w:rFonts w:ascii="Arial" w:cs="Arial" w:eastAsia="Arial" w:hAnsi="Arial"/>
          <w:sz w:val="18"/>
          <w:szCs w:val="18"/>
          <w:color w:val="auto"/>
        </w:rPr>
        <w:t>– Research and development expenses increased $2.4 million, or 6%, primarily driven by a $1.4 million increase in employee compensation and related expenses, a $0.3 million increase in stock-based compensation, and a $0.8 million increase in internal software and support expenses.</w:t>
      </w:r>
    </w:p>
    <w:p>
      <w:pPr>
        <w:spacing w:after="0" w:line="69" w:lineRule="exact"/>
        <w:rPr>
          <w:sz w:val="20"/>
          <w:szCs w:val="20"/>
          <w:color w:val="auto"/>
        </w:rPr>
      </w:pPr>
    </w:p>
    <w:p>
      <w:pPr>
        <w:ind w:left="640" w:hanging="318"/>
        <w:spacing w:after="0" w:line="260"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decreased $0.3 million, or 1%, year over year, remaining largely in line with the prior-year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was primarily driven by a $4.7 million reduction in third-party consulting expenses, partially offset by a $2.2 million increase in employee compensation and related expenses and a $1.6 million increase in stock-based compensation.</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Interest Income</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Interest income was $8.4 million in the three months ended September 30, 2026 compared to $3.1 million in the three months ended September 30, 2025. The increase was primarily driven by investments in money market funds beginning in the third quarter of fiscal 2026.</w:t>
      </w:r>
    </w:p>
    <w:p>
      <w:pPr>
        <w:spacing w:after="0" w:line="3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Income Tax Expense</w:t>
      </w:r>
    </w:p>
    <w:p>
      <w:pPr>
        <w:spacing w:after="0" w:line="16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Our effective tax rate ("ETR") was 24.9% and 2.5% for the three months ended September 30, 2026 and 2025, respectively. The increase in ETR compared to the prior year was primarily due to changes in the mix of our earnings and tax expenses between the U.S. and foreign countries, as well as changes in the tax impact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2026 compared to six months ended September 30, 2025</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Revenues ($ in millions)</w:t>
      </w:r>
    </w:p>
    <w:p>
      <w:pPr>
        <w:spacing w:after="0" w:line="47" w:lineRule="exact"/>
        <w:rPr>
          <w:sz w:val="20"/>
          <w:szCs w:val="20"/>
          <w:color w:val="auto"/>
        </w:rPr>
      </w:pPr>
    </w:p>
    <w:tbl>
      <w:tblPr>
        <w:tblLayout w:type="fixed"/>
        <w:tblInd w:w="130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2980" w:type="dxa"/>
            <w:vAlign w:val="bottom"/>
            <w:gridSpan w:val="6"/>
          </w:tcPr>
          <w:p>
            <w:pPr>
              <w:ind w:left="180"/>
              <w:spacing w:after="0"/>
              <w:rPr>
                <w:sz w:val="20"/>
                <w:szCs w:val="20"/>
                <w:color w:val="auto"/>
              </w:rPr>
            </w:pPr>
            <w:r>
              <w:rPr>
                <w:rFonts w:ascii="Arial" w:cs="Arial" w:eastAsia="Arial" w:hAnsi="Arial"/>
                <w:sz w:val="16"/>
                <w:szCs w:val="16"/>
                <w:b w:val="1"/>
                <w:bCs w:val="1"/>
                <w:color w:val="auto"/>
              </w:rPr>
              <w:t>Six Months Ended September 30,</w:t>
            </w:r>
          </w:p>
        </w:tc>
        <w:tc>
          <w:tcPr>
            <w:tcW w:w="1520" w:type="dxa"/>
            <w:vAlign w:val="bottom"/>
          </w:tcPr>
          <w:p>
            <w:pPr>
              <w:spacing w:after="0"/>
              <w:rPr>
                <w:sz w:val="18"/>
                <w:szCs w:val="18"/>
                <w:color w:val="auto"/>
              </w:rPr>
            </w:pPr>
          </w:p>
        </w:tc>
      </w:tr>
      <w:tr>
        <w:trPr>
          <w:trHeight w:val="205"/>
        </w:trPr>
        <w:tc>
          <w:tcPr>
            <w:tcW w:w="4360" w:type="dxa"/>
            <w:vAlign w:val="bottom"/>
            <w:tcBorders>
              <w:bottom w:val="single" w:sz="8" w:color="EAEAEA"/>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EAEAEA"/>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7"/>
                <w:szCs w:val="17"/>
                <w:color w:val="auto"/>
              </w:rPr>
            </w:pPr>
          </w:p>
        </w:tc>
        <w:tc>
          <w:tcPr>
            <w:tcW w:w="15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192"/>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Subscription:</w:t>
            </w:r>
          </w:p>
        </w:tc>
        <w:tc>
          <w:tcPr>
            <w:tcW w:w="880" w:type="dxa"/>
            <w:vAlign w:val="bottom"/>
            <w:shd w:val="clear" w:color="auto" w:fill="EAEAEA"/>
          </w:tcPr>
          <w:p>
            <w:pPr>
              <w:spacing w:after="0"/>
              <w:rPr>
                <w:sz w:val="16"/>
                <w:szCs w:val="16"/>
                <w:color w:val="auto"/>
              </w:rPr>
            </w:pPr>
          </w:p>
        </w:tc>
        <w:tc>
          <w:tcPr>
            <w:tcW w:w="5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320" w:type="dxa"/>
            <w:vAlign w:val="bottom"/>
            <w:shd w:val="clear" w:color="auto" w:fill="EAEAEA"/>
          </w:tcPr>
          <w:p>
            <w:pPr>
              <w:spacing w:after="0"/>
              <w:rPr>
                <w:sz w:val="16"/>
                <w:szCs w:val="16"/>
                <w:color w:val="auto"/>
              </w:rPr>
            </w:pPr>
          </w:p>
        </w:tc>
        <w:tc>
          <w:tcPr>
            <w:tcW w:w="108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1520" w:type="dxa"/>
            <w:vAlign w:val="bottom"/>
            <w:shd w:val="clear" w:color="auto" w:fill="EAEAEA"/>
          </w:tcPr>
          <w:p>
            <w:pPr>
              <w:spacing w:after="0"/>
              <w:rPr>
                <w:sz w:val="16"/>
                <w:szCs w:val="16"/>
                <w:color w:val="auto"/>
              </w:rPr>
            </w:pPr>
          </w:p>
        </w:tc>
      </w:tr>
      <w:tr>
        <w:trPr>
          <w:trHeight w:val="211"/>
        </w:trPr>
        <w:tc>
          <w:tcPr>
            <w:tcW w:w="4360" w:type="dxa"/>
            <w:vAlign w:val="bottom"/>
          </w:tcPr>
          <w:p>
            <w:pPr>
              <w:ind w:left="220"/>
              <w:spacing w:after="0"/>
              <w:rPr>
                <w:sz w:val="20"/>
                <w:szCs w:val="20"/>
                <w:color w:val="auto"/>
              </w:rPr>
            </w:pPr>
            <w:r>
              <w:rPr>
                <w:rFonts w:ascii="Arial" w:cs="Arial" w:eastAsia="Arial" w:hAnsi="Arial"/>
                <w:sz w:val="16"/>
                <w:szCs w:val="16"/>
                <w:color w:val="auto"/>
              </w:rPr>
              <w:t>Term-based license</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w w:val="99"/>
              </w:rPr>
              <w:t>215.4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3"/>
        </w:trPr>
        <w:tc>
          <w:tcPr>
            <w:tcW w:w="4360" w:type="dxa"/>
            <w:vAlign w:val="bottom"/>
            <w:shd w:val="clear" w:color="auto" w:fill="EAEAEA"/>
          </w:tcPr>
          <w:p>
            <w:pPr>
              <w:ind w:left="220"/>
              <w:spacing w:after="0"/>
              <w:rPr>
                <w:sz w:val="20"/>
                <w:szCs w:val="20"/>
                <w:color w:val="auto"/>
              </w:rPr>
            </w:pPr>
            <w:r>
              <w:rPr>
                <w:rFonts w:ascii="Arial" w:cs="Arial" w:eastAsia="Arial" w:hAnsi="Arial"/>
                <w:sz w:val="16"/>
                <w:szCs w:val="16"/>
                <w:color w:val="auto"/>
              </w:rPr>
              <w:t>Term-based support</w:t>
            </w:r>
          </w:p>
        </w:tc>
        <w:tc>
          <w:tcPr>
            <w:tcW w:w="880" w:type="dxa"/>
            <w:vAlign w:val="bottom"/>
            <w:shd w:val="clear" w:color="auto" w:fill="EAEAEA"/>
          </w:tcPr>
          <w:p>
            <w:pPr>
              <w:spacing w:after="0"/>
              <w:rPr>
                <w:sz w:val="18"/>
                <w:szCs w:val="18"/>
                <w:color w:val="auto"/>
              </w:rPr>
            </w:pPr>
          </w:p>
        </w:tc>
        <w:tc>
          <w:tcPr>
            <w:tcW w:w="5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w w:val="99"/>
              </w:rPr>
              <w:t>113.4</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08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EAEAEA"/>
          </w:tcPr>
          <w:p>
            <w:pPr>
              <w:spacing w:after="0"/>
              <w:rPr>
                <w:sz w:val="18"/>
                <w:szCs w:val="18"/>
                <w:color w:val="auto"/>
              </w:rPr>
            </w:pP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17 %</w:t>
            </w:r>
          </w:p>
        </w:tc>
      </w:tr>
      <w:tr>
        <w:trPr>
          <w:trHeight w:val="211"/>
        </w:trPr>
        <w:tc>
          <w:tcPr>
            <w:tcW w:w="4360" w:type="dxa"/>
            <w:vAlign w:val="bottom"/>
            <w:tcBorders>
              <w:bottom w:val="single" w:sz="8" w:color="EAEAEA"/>
            </w:tcBorders>
          </w:tcPr>
          <w:p>
            <w:pPr>
              <w:ind w:left="220"/>
              <w:spacing w:after="0"/>
              <w:rPr>
                <w:sz w:val="20"/>
                <w:szCs w:val="20"/>
                <w:color w:val="auto"/>
              </w:rPr>
            </w:pPr>
            <w:r>
              <w:rPr>
                <w:rFonts w:ascii="Arial" w:cs="Arial" w:eastAsia="Arial" w:hAnsi="Arial"/>
                <w:sz w:val="16"/>
                <w:szCs w:val="16"/>
                <w:color w:val="auto"/>
              </w:rPr>
              <w:t>SaaS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206.8</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EAEAEA"/>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r>
      <w:tr>
        <w:trPr>
          <w:trHeight w:val="206"/>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Total subscription</w:t>
            </w:r>
          </w:p>
        </w:tc>
        <w:tc>
          <w:tcPr>
            <w:tcW w:w="880" w:type="dxa"/>
            <w:vAlign w:val="bottom"/>
            <w:shd w:val="clear" w:color="auto" w:fill="EAEAEA"/>
          </w:tcPr>
          <w:p>
            <w:pPr>
              <w:spacing w:after="0"/>
              <w:rPr>
                <w:sz w:val="17"/>
                <w:szCs w:val="17"/>
                <w:color w:val="auto"/>
              </w:rPr>
            </w:pPr>
          </w:p>
        </w:tc>
        <w:tc>
          <w:tcPr>
            <w:tcW w:w="5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w w:val="99"/>
              </w:rPr>
              <w:t>535.5</w:t>
            </w:r>
          </w:p>
        </w:tc>
        <w:tc>
          <w:tcPr>
            <w:tcW w:w="100" w:type="dxa"/>
            <w:vAlign w:val="bottom"/>
            <w:shd w:val="clear" w:color="auto" w:fill="EAEAEA"/>
          </w:tcPr>
          <w:p>
            <w:pPr>
              <w:spacing w:after="0"/>
              <w:rPr>
                <w:sz w:val="17"/>
                <w:szCs w:val="17"/>
                <w:color w:val="auto"/>
              </w:rPr>
            </w:pPr>
          </w:p>
        </w:tc>
        <w:tc>
          <w:tcPr>
            <w:tcW w:w="320" w:type="dxa"/>
            <w:vAlign w:val="bottom"/>
            <w:shd w:val="clear" w:color="auto" w:fill="EAEAEA"/>
          </w:tcPr>
          <w:p>
            <w:pPr>
              <w:spacing w:after="0"/>
              <w:rPr>
                <w:sz w:val="17"/>
                <w:szCs w:val="17"/>
                <w:color w:val="auto"/>
              </w:rPr>
            </w:pPr>
          </w:p>
        </w:tc>
        <w:tc>
          <w:tcPr>
            <w:tcW w:w="108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451.7</w:t>
            </w:r>
          </w:p>
        </w:tc>
        <w:tc>
          <w:tcPr>
            <w:tcW w:w="100" w:type="dxa"/>
            <w:vAlign w:val="bottom"/>
            <w:shd w:val="clear" w:color="auto" w:fill="EAEAEA"/>
          </w:tcPr>
          <w:p>
            <w:pPr>
              <w:spacing w:after="0"/>
              <w:rPr>
                <w:sz w:val="17"/>
                <w:szCs w:val="17"/>
                <w:color w:val="auto"/>
              </w:rPr>
            </w:pP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19 %</w:t>
            </w:r>
          </w:p>
        </w:tc>
      </w:tr>
      <w:tr>
        <w:trPr>
          <w:trHeight w:val="211"/>
        </w:trPr>
        <w:tc>
          <w:tcPr>
            <w:tcW w:w="4360" w:type="dxa"/>
            <w:vAlign w:val="bottom"/>
          </w:tcPr>
          <w:p>
            <w:pPr>
              <w:ind w:left="20"/>
              <w:spacing w:after="0"/>
              <w:rPr>
                <w:sz w:val="20"/>
                <w:szCs w:val="20"/>
                <w:color w:val="auto"/>
              </w:rPr>
            </w:pPr>
            <w:r>
              <w:rPr>
                <w:rFonts w:ascii="Arial" w:cs="Arial" w:eastAsia="Arial" w:hAnsi="Arial"/>
                <w:sz w:val="16"/>
                <w:szCs w:val="16"/>
                <w:color w:val="auto"/>
              </w:rPr>
              <w:t>Perpetual license</w:t>
            </w:r>
          </w:p>
        </w:tc>
        <w:tc>
          <w:tcPr>
            <w:tcW w:w="88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4360" w:type="dxa"/>
            <w:vAlign w:val="bottom"/>
            <w:shd w:val="clear" w:color="auto" w:fill="EAEAEA"/>
          </w:tcPr>
          <w:p>
            <w:pPr>
              <w:ind w:left="20"/>
              <w:spacing w:after="0"/>
              <w:rPr>
                <w:sz w:val="20"/>
                <w:szCs w:val="20"/>
                <w:color w:val="auto"/>
              </w:rPr>
            </w:pPr>
            <w:r>
              <w:rPr>
                <w:rFonts w:ascii="Arial" w:cs="Arial" w:eastAsia="Arial" w:hAnsi="Arial"/>
                <w:sz w:val="16"/>
                <w:szCs w:val="16"/>
                <w:color w:val="auto"/>
              </w:rPr>
              <w:t>Perpetual support</w:t>
            </w:r>
          </w:p>
        </w:tc>
        <w:tc>
          <w:tcPr>
            <w:tcW w:w="880" w:type="dxa"/>
            <w:vAlign w:val="bottom"/>
            <w:shd w:val="clear" w:color="auto" w:fill="EAEAEA"/>
          </w:tcPr>
          <w:p>
            <w:pPr>
              <w:spacing w:after="0"/>
              <w:rPr>
                <w:sz w:val="18"/>
                <w:szCs w:val="18"/>
                <w:color w:val="auto"/>
              </w:rPr>
            </w:pPr>
          </w:p>
        </w:tc>
        <w:tc>
          <w:tcPr>
            <w:tcW w:w="50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EAEAEA"/>
          </w:tcPr>
          <w:p>
            <w:pPr>
              <w:spacing w:after="0"/>
              <w:rPr>
                <w:sz w:val="18"/>
                <w:szCs w:val="18"/>
                <w:color w:val="auto"/>
              </w:rPr>
            </w:pPr>
          </w:p>
        </w:tc>
        <w:tc>
          <w:tcPr>
            <w:tcW w:w="320" w:type="dxa"/>
            <w:vAlign w:val="bottom"/>
            <w:shd w:val="clear" w:color="auto" w:fill="EAEAEA"/>
          </w:tcPr>
          <w:p>
            <w:pPr>
              <w:spacing w:after="0"/>
              <w:rPr>
                <w:sz w:val="18"/>
                <w:szCs w:val="18"/>
                <w:color w:val="auto"/>
              </w:rPr>
            </w:pPr>
          </w:p>
        </w:tc>
        <w:tc>
          <w:tcPr>
            <w:tcW w:w="108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EAEAEA"/>
          </w:tcPr>
          <w:p>
            <w:pPr>
              <w:spacing w:after="0"/>
              <w:rPr>
                <w:sz w:val="18"/>
                <w:szCs w:val="18"/>
                <w:color w:val="auto"/>
              </w:rPr>
            </w:pPr>
          </w:p>
        </w:tc>
        <w:tc>
          <w:tcPr>
            <w:tcW w:w="15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(21)%</w:t>
            </w:r>
          </w:p>
        </w:tc>
      </w:tr>
      <w:tr>
        <w:trPr>
          <w:trHeight w:val="211"/>
        </w:trPr>
        <w:tc>
          <w:tcPr>
            <w:tcW w:w="436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Other services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EA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EAEAEA"/>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r>
        <w:trPr>
          <w:trHeight w:val="230"/>
        </w:trPr>
        <w:tc>
          <w:tcPr>
            <w:tcW w:w="436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Total revenues</w:t>
            </w:r>
          </w:p>
        </w:tc>
        <w:tc>
          <w:tcPr>
            <w:tcW w:w="880" w:type="dxa"/>
            <w:vAlign w:val="bottom"/>
            <w:tcBorders>
              <w:bottom w:val="single" w:sz="8" w:color="auto"/>
            </w:tcBorders>
            <w:shd w:val="clear" w:color="auto" w:fill="EAEAEA"/>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w w:val="99"/>
              </w:rPr>
              <w:t>626.5</w:t>
            </w:r>
          </w:p>
        </w:tc>
        <w:tc>
          <w:tcPr>
            <w:tcW w:w="100" w:type="dxa"/>
            <w:vAlign w:val="bottom"/>
            <w:tcBorders>
              <w:bottom w:val="single" w:sz="8" w:color="EAEAEA"/>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558.2</w:t>
            </w:r>
          </w:p>
        </w:tc>
        <w:tc>
          <w:tcPr>
            <w:tcW w:w="100" w:type="dxa"/>
            <w:vAlign w:val="bottom"/>
            <w:tcBorders>
              <w:bottom w:val="single" w:sz="8" w:color="EAEAEA"/>
            </w:tcBorders>
            <w:shd w:val="clear" w:color="auto" w:fill="EAEAEA"/>
          </w:tcPr>
          <w:p>
            <w:pPr>
              <w:spacing w:after="0"/>
              <w:rPr>
                <w:sz w:val="19"/>
                <w:szCs w:val="19"/>
                <w:color w:val="auto"/>
              </w:rPr>
            </w:pPr>
          </w:p>
        </w:tc>
        <w:tc>
          <w:tcPr>
            <w:tcW w:w="1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4360" w:type="dxa"/>
            <w:vAlign w:val="bottom"/>
            <w:tcBorders>
              <w:top w:val="single" w:sz="8" w:color="EAEAEA"/>
            </w:tcBorders>
          </w:tcPr>
          <w:p>
            <w:pPr>
              <w:spacing w:after="0" w:line="20" w:lineRule="exact"/>
              <w:rPr>
                <w:sz w:val="1"/>
                <w:szCs w:val="1"/>
                <w:color w:val="auto"/>
              </w:rPr>
            </w:pPr>
          </w:p>
        </w:tc>
        <w:tc>
          <w:tcPr>
            <w:tcW w:w="880" w:type="dxa"/>
            <w:vAlign w:val="bottom"/>
            <w:tcBorders>
              <w:top w:val="single" w:sz="8" w:color="EAEAEA"/>
              <w:bottom w:val="single" w:sz="8" w:color="auto"/>
            </w:tcBorders>
          </w:tcPr>
          <w:p>
            <w:pPr>
              <w:spacing w:after="0" w:line="20" w:lineRule="exact"/>
              <w:rPr>
                <w:sz w:val="1"/>
                <w:szCs w:val="1"/>
                <w:color w:val="auto"/>
              </w:rPr>
            </w:pPr>
          </w:p>
        </w:tc>
        <w:tc>
          <w:tcPr>
            <w:tcW w:w="50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20" w:type="dxa"/>
            <w:vAlign w:val="bottom"/>
            <w:tcBorders>
              <w:top w:val="single" w:sz="8" w:color="EAEAEA"/>
              <w:bottom w:val="single" w:sz="8" w:color="auto"/>
            </w:tcBorders>
          </w:tcPr>
          <w:p>
            <w:pPr>
              <w:spacing w:after="0" w:line="20" w:lineRule="exact"/>
              <w:rPr>
                <w:sz w:val="1"/>
                <w:szCs w:val="1"/>
                <w:color w:val="auto"/>
              </w:rPr>
            </w:pPr>
          </w:p>
        </w:tc>
        <w:tc>
          <w:tcPr>
            <w:tcW w:w="108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1520" w:type="dxa"/>
            <w:vAlign w:val="bottom"/>
            <w:tcBorders>
              <w:top w:val="single" w:sz="8" w:color="EAEAEA"/>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Total revenues increased $68.4 million, or 12%, for the six months ended September 30, 2026, primarily driven by continued growth in subscription revenue, including term-based license, term-based support, and SaaS offerings. Total subscription revenue increased $83.9 million, or 19%, and represented 85% of total revenue compared to 81% in the prior-year period, reflecting continued customer adoption of our subscription-based offerings and the ongoing transition away from perpetual license and support products.</w:t>
      </w:r>
    </w:p>
    <w:p>
      <w:pPr>
        <w:spacing w:after="0" w:line="127"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SaaS revenue increased 36% year over year, reflecting the continued expansion of our SaaS business and the recognition of revenue from SaaS contracts entered into in current and prior periods. Term-based support revenue increased 17% year over year, reflecting the maintenance and related support components of active term-based license contracts.</w:t>
      </w:r>
    </w:p>
    <w:p>
      <w:pPr>
        <w:spacing w:after="0" w:line="12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Term-based license revenue increased 7% year over year, primarily driven by a 7% increase in revenue from transactions greater than $0.1 million. Revenue from transactions less than $0.1 million also increased 6% compared to the prior-year period. Term-based license revenue may fluctuate from period to period based on renewal timing, contract duration, and seasonal purchasing patterns across our global markets.</w:t>
      </w:r>
    </w:p>
    <w:p>
      <w:pPr>
        <w:spacing w:after="0" w:line="127"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These increases were partially offset by decreases of $3.5 million in perpetual license revenue and $13.0 million in perpetual support revenue, reflecting the continued transition of our business towards subscription-based offerings.</w:t>
      </w:r>
    </w:p>
    <w:p>
      <w:pPr>
        <w:spacing w:after="0" w:line="11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track total revenues on a geographic basis. Our Americas region includes the United States, Canada, and Latin America. Our International region primarily includes Europe, the Middle East, Africa, Australia, India, and Southeast Asia. Americas and International represented 61% and 39% of our total revenues, respectively, for the six months ended September 30, 2026. Total revenues increased 12% year over year in both the Americas and International regions.</w:t>
      </w:r>
    </w:p>
    <w:p>
      <w:pPr>
        <w:spacing w:after="0" w:line="127"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Revenue growth in the Americas region was primarily driven by 36% growth in SaaS revenue, 13% growth in term-based support revenue, and 4% growth in term-based license revenue, reflecting continued adoption of subscription-based offerings. These increases were partially offset by a decline in perpetual support revenue.</w:t>
      </w:r>
    </w:p>
    <w:p>
      <w:pPr>
        <w:spacing w:after="0" w:line="122"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Revenue growth in the International region was primarily driven by 34% growth in SaaS revenue, 23% growth in term-based support revenue, and 12% growth in term-based license revenue, reflecting continued adoption of subscription-based offerings. These increases were partially offset by decreases in perpetual license and perpetual support revenue.</w:t>
      </w:r>
    </w:p>
    <w:p>
      <w:pPr>
        <w:spacing w:after="0" w:line="202" w:lineRule="exact"/>
        <w:rPr>
          <w:sz w:val="20"/>
          <w:szCs w:val="20"/>
          <w:color w:val="auto"/>
        </w:rPr>
      </w:pPr>
    </w:p>
    <w:p>
      <w:pPr>
        <w:ind w:right="220" w:firstLine="636"/>
        <w:spacing w:after="0" w:line="274" w:lineRule="auto"/>
        <w:rPr>
          <w:sz w:val="20"/>
          <w:szCs w:val="20"/>
          <w:color w:val="auto"/>
        </w:rPr>
      </w:pPr>
      <w:r>
        <w:rPr>
          <w:rFonts w:ascii="Arial" w:cs="Arial" w:eastAsia="Arial" w:hAnsi="Arial"/>
          <w:sz w:val="18"/>
          <w:szCs w:val="18"/>
          <w:color w:val="auto"/>
        </w:rPr>
        <w:t>Our International revenues are subject to changes in foreign exchange rates as further discussed in the "Foreign Currency Exchange Rates’ Impact on Results of Operations."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844896"/>
        </w:rPr>
        <w:t>Cost of Revenues and Gross Margin ($ in millions)</w:t>
      </w:r>
    </w:p>
    <w:p>
      <w:pPr>
        <w:spacing w:after="0" w:line="379" w:lineRule="exact"/>
        <w:rPr>
          <w:sz w:val="20"/>
          <w:szCs w:val="20"/>
          <w:color w:val="auto"/>
        </w:rPr>
      </w:pPr>
    </w:p>
    <w:tbl>
      <w:tblPr>
        <w:tblLayout w:type="fixed"/>
        <w:tblInd w:w="5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6"/>
                <w:szCs w:val="16"/>
                <w:b w:val="1"/>
                <w:bCs w:val="1"/>
                <w:color w:val="auto"/>
                <w:w w:val="99"/>
              </w:rPr>
              <w:t>Six Months Ended September 30,</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2025</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640" w:type="dxa"/>
            <w:vAlign w:val="bottom"/>
            <w:gridSpan w:val="2"/>
            <w:vMerge w:val="restart"/>
          </w:tcPr>
          <w:p>
            <w:pPr>
              <w:jc w:val="right"/>
              <w:ind w:right="241"/>
              <w:spacing w:after="0"/>
              <w:rPr>
                <w:sz w:val="20"/>
                <w:szCs w:val="20"/>
                <w:color w:val="auto"/>
              </w:rPr>
            </w:pPr>
            <w:r>
              <w:rPr>
                <w:rFonts w:ascii="Arial" w:cs="Arial" w:eastAsia="Arial" w:hAnsi="Arial"/>
                <w:sz w:val="16"/>
                <w:szCs w:val="16"/>
                <w:color w:val="auto"/>
              </w:rPr>
              <w:t>Cost of Revenues</w:t>
            </w:r>
          </w:p>
        </w:tc>
        <w:tc>
          <w:tcPr>
            <w:tcW w:w="1240" w:type="dxa"/>
            <w:vAlign w:val="bottom"/>
          </w:tcPr>
          <w:p>
            <w:pPr>
              <w:jc w:val="center"/>
              <w:ind w:right="181"/>
              <w:spacing w:after="0" w:line="152" w:lineRule="exact"/>
              <w:rPr>
                <w:sz w:val="20"/>
                <w:szCs w:val="20"/>
                <w:color w:val="auto"/>
              </w:rPr>
            </w:pPr>
            <w:r>
              <w:rPr>
                <w:rFonts w:ascii="Arial" w:cs="Arial" w:eastAsia="Arial" w:hAnsi="Arial"/>
                <w:sz w:val="16"/>
                <w:szCs w:val="16"/>
                <w:color w:val="auto"/>
                <w:w w:val="98"/>
              </w:rPr>
              <w:t>Gross</w:t>
            </w:r>
          </w:p>
        </w:tc>
        <w:tc>
          <w:tcPr>
            <w:tcW w:w="100" w:type="dxa"/>
            <w:vAlign w:val="bottom"/>
          </w:tcPr>
          <w:p>
            <w:pPr>
              <w:spacing w:after="0"/>
              <w:rPr>
                <w:sz w:val="13"/>
                <w:szCs w:val="13"/>
                <w:color w:val="auto"/>
              </w:rPr>
            </w:pPr>
          </w:p>
        </w:tc>
        <w:tc>
          <w:tcPr>
            <w:tcW w:w="1740" w:type="dxa"/>
            <w:vAlign w:val="bottom"/>
            <w:gridSpan w:val="2"/>
            <w:vMerge w:val="restart"/>
          </w:tcPr>
          <w:p>
            <w:pPr>
              <w:jc w:val="right"/>
              <w:ind w:right="341"/>
              <w:spacing w:after="0"/>
              <w:rPr>
                <w:sz w:val="20"/>
                <w:szCs w:val="20"/>
                <w:color w:val="auto"/>
              </w:rPr>
            </w:pPr>
            <w:r>
              <w:rPr>
                <w:rFonts w:ascii="Arial" w:cs="Arial" w:eastAsia="Arial" w:hAnsi="Arial"/>
                <w:sz w:val="16"/>
                <w:szCs w:val="16"/>
                <w:color w:val="auto"/>
              </w:rPr>
              <w:t>Cost of Revenues</w:t>
            </w:r>
          </w:p>
        </w:tc>
        <w:tc>
          <w:tcPr>
            <w:tcW w:w="1140" w:type="dxa"/>
            <w:vAlign w:val="bottom"/>
          </w:tcPr>
          <w:p>
            <w:pPr>
              <w:jc w:val="right"/>
              <w:ind w:right="461"/>
              <w:spacing w:after="0" w:line="152" w:lineRule="exact"/>
              <w:rPr>
                <w:sz w:val="20"/>
                <w:szCs w:val="20"/>
                <w:color w:val="auto"/>
              </w:rPr>
            </w:pPr>
            <w:r>
              <w:rPr>
                <w:rFonts w:ascii="Arial" w:cs="Arial" w:eastAsia="Arial" w:hAnsi="Arial"/>
                <w:sz w:val="16"/>
                <w:szCs w:val="16"/>
                <w:color w:val="auto"/>
              </w:rPr>
              <w:t>Gross</w:t>
            </w:r>
          </w:p>
        </w:tc>
        <w:tc>
          <w:tcPr>
            <w:tcW w:w="0" w:type="dxa"/>
            <w:vAlign w:val="bottom"/>
          </w:tcPr>
          <w:p>
            <w:pPr>
              <w:spacing w:after="0"/>
              <w:rPr>
                <w:sz w:val="1"/>
                <w:szCs w:val="1"/>
                <w:color w:val="auto"/>
              </w:rPr>
            </w:pPr>
          </w:p>
        </w:tc>
      </w:tr>
      <w:tr>
        <w:trPr>
          <w:trHeight w:val="211"/>
        </w:trPr>
        <w:tc>
          <w:tcPr>
            <w:tcW w:w="43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color w:val="auto"/>
                <w:w w:val="98"/>
              </w:rPr>
              <w:t>Margin</w:t>
            </w:r>
          </w:p>
        </w:tc>
        <w:tc>
          <w:tcPr>
            <w:tcW w:w="1740" w:type="dxa"/>
            <w:vAlign w:val="bottom"/>
            <w:gridSpan w:val="2"/>
            <w:vMerge w:val="continue"/>
          </w:tcPr>
          <w:p>
            <w:pPr>
              <w:spacing w:after="0"/>
              <w:rPr>
                <w:sz w:val="18"/>
                <w:szCs w:val="18"/>
                <w:color w:val="auto"/>
              </w:rPr>
            </w:pPr>
          </w:p>
        </w:tc>
        <w:tc>
          <w:tcPr>
            <w:tcW w:w="1140" w:type="dxa"/>
            <w:vAlign w:val="bottom"/>
          </w:tcPr>
          <w:p>
            <w:pPr>
              <w:jc w:val="right"/>
              <w:ind w:right="441"/>
              <w:spacing w:after="0"/>
              <w:rPr>
                <w:sz w:val="20"/>
                <w:szCs w:val="20"/>
                <w:color w:val="auto"/>
              </w:rPr>
            </w:pPr>
            <w:r>
              <w:rPr>
                <w:rFonts w:ascii="Arial" w:cs="Arial" w:eastAsia="Arial" w:hAnsi="Arial"/>
                <w:sz w:val="16"/>
                <w:szCs w:val="16"/>
                <w:color w:val="auto"/>
              </w:rPr>
              <w:t>Margin</w:t>
            </w:r>
          </w:p>
        </w:tc>
        <w:tc>
          <w:tcPr>
            <w:tcW w:w="0" w:type="dxa"/>
            <w:vAlign w:val="bottom"/>
          </w:tcPr>
          <w:p>
            <w:pPr>
              <w:spacing w:after="0"/>
              <w:rPr>
                <w:sz w:val="1"/>
                <w:szCs w:val="1"/>
                <w:color w:val="auto"/>
              </w:rPr>
            </w:pPr>
          </w:p>
        </w:tc>
      </w:tr>
      <w:tr>
        <w:trPr>
          <w:trHeight w:val="206"/>
        </w:trPr>
        <w:tc>
          <w:tcPr>
            <w:tcW w:w="4320" w:type="dxa"/>
            <w:vAlign w:val="bottom"/>
            <w:tcBorders>
              <w:top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Term-based license</w:t>
            </w:r>
          </w:p>
        </w:tc>
        <w:tc>
          <w:tcPr>
            <w:tcW w:w="500" w:type="dxa"/>
            <w:vAlign w:val="bottom"/>
            <w:tcBorders>
              <w:top w:val="single" w:sz="8" w:color="auto"/>
            </w:tcBorders>
            <w:shd w:val="clear" w:color="auto" w:fill="EAEAEA"/>
          </w:tcPr>
          <w:p>
            <w:pPr>
              <w:jc w:val="right"/>
              <w:ind w:right="3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EAEAEA"/>
          </w:tcPr>
          <w:p>
            <w:pPr>
              <w:jc w:val="right"/>
              <w:ind w:right="261"/>
              <w:spacing w:after="0"/>
              <w:rPr>
                <w:sz w:val="20"/>
                <w:szCs w:val="20"/>
                <w:color w:val="auto"/>
              </w:rPr>
            </w:pPr>
            <w:r>
              <w:rPr>
                <w:rFonts w:ascii="Arial" w:cs="Arial" w:eastAsia="Arial" w:hAnsi="Arial"/>
                <w:sz w:val="16"/>
                <w:szCs w:val="16"/>
                <w:color w:val="auto"/>
              </w:rPr>
              <w:t>7.7</w:t>
            </w:r>
          </w:p>
        </w:tc>
        <w:tc>
          <w:tcPr>
            <w:tcW w:w="12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96.4 %</w:t>
            </w:r>
          </w:p>
        </w:tc>
        <w:tc>
          <w:tcPr>
            <w:tcW w:w="100" w:type="dxa"/>
            <w:vAlign w:val="bottom"/>
            <w:tcBorders>
              <w:top w:val="single" w:sz="8" w:color="EAEAEA"/>
            </w:tcBorders>
            <w:shd w:val="clear" w:color="auto" w:fill="EAEAEA"/>
          </w:tcPr>
          <w:p>
            <w:pPr>
              <w:spacing w:after="0"/>
              <w:rPr>
                <w:sz w:val="17"/>
                <w:szCs w:val="17"/>
                <w:color w:val="auto"/>
              </w:rPr>
            </w:pPr>
          </w:p>
        </w:tc>
        <w:tc>
          <w:tcPr>
            <w:tcW w:w="500" w:type="dxa"/>
            <w:vAlign w:val="bottom"/>
            <w:tcBorders>
              <w:top w:val="single" w:sz="8" w:color="auto"/>
            </w:tcBorders>
            <w:shd w:val="clear" w:color="auto" w:fill="EAEAEA"/>
          </w:tcPr>
          <w:p>
            <w:pPr>
              <w:jc w:val="right"/>
              <w:ind w:right="3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EAEAEA"/>
          </w:tcPr>
          <w:p>
            <w:pPr>
              <w:jc w:val="right"/>
              <w:ind w:right="341"/>
              <w:spacing w:after="0"/>
              <w:rPr>
                <w:sz w:val="20"/>
                <w:szCs w:val="20"/>
                <w:color w:val="auto"/>
              </w:rPr>
            </w:pPr>
            <w:r>
              <w:rPr>
                <w:rFonts w:ascii="Arial" w:cs="Arial" w:eastAsia="Arial" w:hAnsi="Arial"/>
                <w:sz w:val="16"/>
                <w:szCs w:val="16"/>
                <w:color w:val="auto"/>
              </w:rPr>
              <w:t>4.7</w:t>
            </w:r>
          </w:p>
        </w:tc>
        <w:tc>
          <w:tcPr>
            <w:tcW w:w="1140" w:type="dxa"/>
            <w:vAlign w:val="bottom"/>
            <w:tcBorders>
              <w:top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97.7 %</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Arial" w:cs="Arial" w:eastAsia="Arial" w:hAnsi="Arial"/>
                <w:sz w:val="16"/>
                <w:szCs w:val="16"/>
                <w:color w:val="auto"/>
              </w:rPr>
              <w:t>SaaS</w:t>
            </w:r>
          </w:p>
        </w:tc>
        <w:tc>
          <w:tcPr>
            <w:tcW w:w="500" w:type="dxa"/>
            <w:vAlign w:val="bottom"/>
          </w:tcPr>
          <w:p>
            <w:pPr>
              <w:spacing w:after="0"/>
              <w:rPr>
                <w:sz w:val="18"/>
                <w:szCs w:val="18"/>
                <w:color w:val="auto"/>
              </w:rPr>
            </w:pPr>
          </w:p>
        </w:tc>
        <w:tc>
          <w:tcPr>
            <w:tcW w:w="1140" w:type="dxa"/>
            <w:vAlign w:val="bottom"/>
          </w:tcPr>
          <w:p>
            <w:pPr>
              <w:jc w:val="right"/>
              <w:ind w:right="261"/>
              <w:spacing w:after="0"/>
              <w:rPr>
                <w:sz w:val="20"/>
                <w:szCs w:val="20"/>
                <w:color w:val="auto"/>
              </w:rPr>
            </w:pPr>
            <w:r>
              <w:rPr>
                <w:rFonts w:ascii="Arial" w:cs="Arial" w:eastAsia="Arial" w:hAnsi="Arial"/>
                <w:sz w:val="16"/>
                <w:szCs w:val="16"/>
                <w:color w:val="auto"/>
              </w:rPr>
              <w:t>61.5</w:t>
            </w:r>
          </w:p>
        </w:tc>
        <w:tc>
          <w:tcPr>
            <w:tcW w:w="1240" w:type="dxa"/>
            <w:vAlign w:val="bottom"/>
          </w:tcPr>
          <w:p>
            <w:pPr>
              <w:jc w:val="right"/>
              <w:spacing w:after="0"/>
              <w:rPr>
                <w:sz w:val="20"/>
                <w:szCs w:val="20"/>
                <w:color w:val="auto"/>
              </w:rPr>
            </w:pPr>
            <w:r>
              <w:rPr>
                <w:rFonts w:ascii="Arial" w:cs="Arial" w:eastAsia="Arial" w:hAnsi="Arial"/>
                <w:sz w:val="16"/>
                <w:szCs w:val="16"/>
                <w:color w:val="auto"/>
              </w:rPr>
              <w:t>70.3 %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55.2</w:t>
            </w:r>
          </w:p>
        </w:tc>
        <w:tc>
          <w:tcPr>
            <w:tcW w:w="1140" w:type="dxa"/>
            <w:vAlign w:val="bottom"/>
          </w:tcPr>
          <w:p>
            <w:pPr>
              <w:jc w:val="right"/>
              <w:spacing w:after="0"/>
              <w:rPr>
                <w:sz w:val="20"/>
                <w:szCs w:val="20"/>
                <w:color w:val="auto"/>
              </w:rPr>
            </w:pPr>
            <w:r>
              <w:rPr>
                <w:rFonts w:ascii="Arial" w:cs="Arial" w:eastAsia="Arial" w:hAnsi="Arial"/>
                <w:sz w:val="16"/>
                <w:szCs w:val="16"/>
                <w:color w:val="auto"/>
              </w:rPr>
              <w:t>63.8 %</w:t>
            </w:r>
          </w:p>
        </w:tc>
        <w:tc>
          <w:tcPr>
            <w:tcW w:w="0" w:type="dxa"/>
            <w:vAlign w:val="bottom"/>
          </w:tcPr>
          <w:p>
            <w:pPr>
              <w:spacing w:after="0"/>
              <w:rPr>
                <w:sz w:val="1"/>
                <w:szCs w:val="1"/>
                <w:color w:val="auto"/>
              </w:rPr>
            </w:pPr>
          </w:p>
        </w:tc>
      </w:tr>
      <w:tr>
        <w:trPr>
          <w:trHeight w:val="213"/>
        </w:trPr>
        <w:tc>
          <w:tcPr>
            <w:tcW w:w="4320" w:type="dxa"/>
            <w:vAlign w:val="bottom"/>
            <w:shd w:val="clear" w:color="auto" w:fill="EAEAEA"/>
          </w:tcPr>
          <w:p>
            <w:pPr>
              <w:ind w:left="20"/>
              <w:spacing w:after="0"/>
              <w:rPr>
                <w:sz w:val="20"/>
                <w:szCs w:val="20"/>
                <w:color w:val="auto"/>
              </w:rPr>
            </w:pPr>
            <w:r>
              <w:rPr>
                <w:rFonts w:ascii="Arial" w:cs="Arial" w:eastAsia="Arial" w:hAnsi="Arial"/>
                <w:sz w:val="16"/>
                <w:szCs w:val="16"/>
                <w:color w:val="auto"/>
              </w:rPr>
              <w:t>Perpetual license</w:t>
            </w:r>
          </w:p>
        </w:tc>
        <w:tc>
          <w:tcPr>
            <w:tcW w:w="500" w:type="dxa"/>
            <w:vAlign w:val="bottom"/>
            <w:shd w:val="clear" w:color="auto" w:fill="EAEAEA"/>
          </w:tcPr>
          <w:p>
            <w:pPr>
              <w:spacing w:after="0"/>
              <w:rPr>
                <w:sz w:val="18"/>
                <w:szCs w:val="18"/>
                <w:color w:val="auto"/>
              </w:rPr>
            </w:pPr>
          </w:p>
        </w:tc>
        <w:tc>
          <w:tcPr>
            <w:tcW w:w="1140" w:type="dxa"/>
            <w:vAlign w:val="bottom"/>
            <w:shd w:val="clear" w:color="auto" w:fill="EAEAEA"/>
          </w:tcPr>
          <w:p>
            <w:pPr>
              <w:jc w:val="right"/>
              <w:ind w:right="261"/>
              <w:spacing w:after="0"/>
              <w:rPr>
                <w:sz w:val="20"/>
                <w:szCs w:val="20"/>
                <w:color w:val="auto"/>
              </w:rPr>
            </w:pPr>
            <w:r>
              <w:rPr>
                <w:rFonts w:ascii="Arial" w:cs="Arial" w:eastAsia="Arial" w:hAnsi="Arial"/>
                <w:sz w:val="16"/>
                <w:szCs w:val="16"/>
                <w:color w:val="auto"/>
              </w:rPr>
              <w:t>0.4</w:t>
            </w:r>
          </w:p>
        </w:tc>
        <w:tc>
          <w:tcPr>
            <w:tcW w:w="12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97.5 %</w:t>
            </w:r>
          </w:p>
        </w:tc>
        <w:tc>
          <w:tcPr>
            <w:tcW w:w="100" w:type="dxa"/>
            <w:vAlign w:val="bottom"/>
            <w:shd w:val="clear" w:color="auto" w:fill="EAEAEA"/>
          </w:tcPr>
          <w:p>
            <w:pPr>
              <w:spacing w:after="0"/>
              <w:rPr>
                <w:sz w:val="18"/>
                <w:szCs w:val="18"/>
                <w:color w:val="auto"/>
              </w:rPr>
            </w:pPr>
          </w:p>
        </w:tc>
        <w:tc>
          <w:tcPr>
            <w:tcW w:w="500" w:type="dxa"/>
            <w:vAlign w:val="bottom"/>
            <w:shd w:val="clear" w:color="auto" w:fill="EAEAEA"/>
          </w:tcPr>
          <w:p>
            <w:pPr>
              <w:spacing w:after="0"/>
              <w:rPr>
                <w:sz w:val="18"/>
                <w:szCs w:val="18"/>
                <w:color w:val="auto"/>
              </w:rPr>
            </w:pPr>
          </w:p>
        </w:tc>
        <w:tc>
          <w:tcPr>
            <w:tcW w:w="1240" w:type="dxa"/>
            <w:vAlign w:val="bottom"/>
            <w:shd w:val="clear" w:color="auto" w:fill="EAEAEA"/>
          </w:tcPr>
          <w:p>
            <w:pPr>
              <w:jc w:val="right"/>
              <w:ind w:right="341"/>
              <w:spacing w:after="0"/>
              <w:rPr>
                <w:sz w:val="20"/>
                <w:szCs w:val="20"/>
                <w:color w:val="auto"/>
              </w:rPr>
            </w:pPr>
            <w:r>
              <w:rPr>
                <w:rFonts w:ascii="Arial" w:cs="Arial" w:eastAsia="Arial" w:hAnsi="Arial"/>
                <w:sz w:val="16"/>
                <w:szCs w:val="16"/>
                <w:color w:val="auto"/>
              </w:rPr>
              <w:t>0.4</w:t>
            </w:r>
          </w:p>
        </w:tc>
        <w:tc>
          <w:tcPr>
            <w:tcW w:w="1140" w:type="dxa"/>
            <w:vAlign w:val="bottom"/>
            <w:shd w:val="clear" w:color="auto" w:fill="EAEAEA"/>
          </w:tcPr>
          <w:p>
            <w:pPr>
              <w:jc w:val="right"/>
              <w:spacing w:after="0"/>
              <w:rPr>
                <w:sz w:val="20"/>
                <w:szCs w:val="20"/>
                <w:color w:val="auto"/>
              </w:rPr>
            </w:pPr>
            <w:r>
              <w:rPr>
                <w:rFonts w:ascii="Arial" w:cs="Arial" w:eastAsia="Arial" w:hAnsi="Arial"/>
                <w:sz w:val="16"/>
                <w:szCs w:val="16"/>
                <w:color w:val="auto"/>
              </w:rPr>
              <w:t>97.7 %</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Arial" w:cs="Arial" w:eastAsia="Arial" w:hAnsi="Arial"/>
                <w:sz w:val="16"/>
                <w:szCs w:val="16"/>
                <w:color w:val="auto"/>
              </w:rPr>
              <w:t>Customer support</w:t>
            </w:r>
          </w:p>
        </w:tc>
        <w:tc>
          <w:tcPr>
            <w:tcW w:w="500" w:type="dxa"/>
            <w:vAlign w:val="bottom"/>
          </w:tcPr>
          <w:p>
            <w:pPr>
              <w:spacing w:after="0"/>
              <w:rPr>
                <w:sz w:val="18"/>
                <w:szCs w:val="18"/>
                <w:color w:val="auto"/>
              </w:rPr>
            </w:pPr>
          </w:p>
        </w:tc>
        <w:tc>
          <w:tcPr>
            <w:tcW w:w="1140" w:type="dxa"/>
            <w:vAlign w:val="bottom"/>
          </w:tcPr>
          <w:p>
            <w:pPr>
              <w:jc w:val="right"/>
              <w:ind w:right="261"/>
              <w:spacing w:after="0"/>
              <w:rPr>
                <w:sz w:val="20"/>
                <w:szCs w:val="20"/>
                <w:color w:val="auto"/>
              </w:rPr>
            </w:pPr>
            <w:r>
              <w:rPr>
                <w:rFonts w:ascii="Arial" w:cs="Arial" w:eastAsia="Arial" w:hAnsi="Arial"/>
                <w:sz w:val="16"/>
                <w:szCs w:val="16"/>
                <w:color w:val="auto"/>
              </w:rPr>
              <w:t>29.0</w:t>
            </w:r>
          </w:p>
        </w:tc>
        <w:tc>
          <w:tcPr>
            <w:tcW w:w="1240" w:type="dxa"/>
            <w:vAlign w:val="bottom"/>
          </w:tcPr>
          <w:p>
            <w:pPr>
              <w:jc w:val="right"/>
              <w:spacing w:after="0"/>
              <w:rPr>
                <w:sz w:val="20"/>
                <w:szCs w:val="20"/>
                <w:color w:val="auto"/>
              </w:rPr>
            </w:pPr>
            <w:r>
              <w:rPr>
                <w:rFonts w:ascii="Arial" w:cs="Arial" w:eastAsia="Arial" w:hAnsi="Arial"/>
                <w:sz w:val="16"/>
                <w:szCs w:val="16"/>
                <w:color w:val="auto"/>
              </w:rPr>
              <w:t>82.1 %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29.1</w:t>
            </w:r>
          </w:p>
        </w:tc>
        <w:tc>
          <w:tcPr>
            <w:tcW w:w="1140" w:type="dxa"/>
            <w:vAlign w:val="bottom"/>
          </w:tcPr>
          <w:p>
            <w:pPr>
              <w:jc w:val="right"/>
              <w:spacing w:after="0"/>
              <w:rPr>
                <w:sz w:val="20"/>
                <w:szCs w:val="20"/>
                <w:color w:val="auto"/>
              </w:rPr>
            </w:pPr>
            <w:r>
              <w:rPr>
                <w:rFonts w:ascii="Arial" w:cs="Arial" w:eastAsia="Arial" w:hAnsi="Arial"/>
                <w:sz w:val="16"/>
                <w:szCs w:val="16"/>
                <w:color w:val="auto"/>
              </w:rPr>
              <w:t>81.8 %</w:t>
            </w:r>
          </w:p>
        </w:tc>
        <w:tc>
          <w:tcPr>
            <w:tcW w:w="0" w:type="dxa"/>
            <w:vAlign w:val="bottom"/>
          </w:tcPr>
          <w:p>
            <w:pPr>
              <w:spacing w:after="0"/>
              <w:rPr>
                <w:sz w:val="1"/>
                <w:szCs w:val="1"/>
                <w:color w:val="auto"/>
              </w:rPr>
            </w:pPr>
          </w:p>
        </w:tc>
      </w:tr>
      <w:tr>
        <w:trPr>
          <w:trHeight w:val="213"/>
        </w:trPr>
        <w:tc>
          <w:tcPr>
            <w:tcW w:w="4320" w:type="dxa"/>
            <w:vAlign w:val="bottom"/>
            <w:shd w:val="clear" w:color="auto" w:fill="EAEAEA"/>
          </w:tcPr>
          <w:p>
            <w:pPr>
              <w:ind w:left="20"/>
              <w:spacing w:after="0"/>
              <w:rPr>
                <w:sz w:val="20"/>
                <w:szCs w:val="20"/>
                <w:color w:val="auto"/>
              </w:rPr>
            </w:pPr>
            <w:r>
              <w:rPr>
                <w:rFonts w:ascii="Arial" w:cs="Arial" w:eastAsia="Arial" w:hAnsi="Arial"/>
                <w:sz w:val="16"/>
                <w:szCs w:val="16"/>
                <w:color w:val="auto"/>
              </w:rPr>
              <w:t>Other services</w:t>
            </w:r>
          </w:p>
        </w:tc>
        <w:tc>
          <w:tcPr>
            <w:tcW w:w="500" w:type="dxa"/>
            <w:vAlign w:val="bottom"/>
            <w:tcBorders>
              <w:bottom w:val="single" w:sz="8" w:color="auto"/>
            </w:tcBorders>
            <w:shd w:val="clear" w:color="auto" w:fill="EAEAEA"/>
          </w:tcPr>
          <w:p>
            <w:pPr>
              <w:spacing w:after="0"/>
              <w:rPr>
                <w:sz w:val="18"/>
                <w:szCs w:val="18"/>
                <w:color w:val="auto"/>
              </w:rPr>
            </w:pPr>
          </w:p>
        </w:tc>
        <w:tc>
          <w:tcPr>
            <w:tcW w:w="1140" w:type="dxa"/>
            <w:vAlign w:val="bottom"/>
            <w:tcBorders>
              <w:bottom w:val="single" w:sz="8" w:color="auto"/>
            </w:tcBorders>
            <w:shd w:val="clear" w:color="auto" w:fill="EAEAEA"/>
          </w:tcPr>
          <w:p>
            <w:pPr>
              <w:jc w:val="right"/>
              <w:ind w:right="261"/>
              <w:spacing w:after="0"/>
              <w:rPr>
                <w:sz w:val="20"/>
                <w:szCs w:val="20"/>
                <w:color w:val="auto"/>
              </w:rPr>
            </w:pPr>
            <w:r>
              <w:rPr>
                <w:rFonts w:ascii="Arial" w:cs="Arial" w:eastAsia="Arial" w:hAnsi="Arial"/>
                <w:sz w:val="16"/>
                <w:szCs w:val="16"/>
                <w:color w:val="auto"/>
              </w:rPr>
              <w:t>17.9</w:t>
            </w:r>
          </w:p>
        </w:tc>
        <w:tc>
          <w:tcPr>
            <w:tcW w:w="12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31.6 %</w:t>
            </w:r>
          </w:p>
        </w:tc>
        <w:tc>
          <w:tcPr>
            <w:tcW w:w="100" w:type="dxa"/>
            <w:vAlign w:val="bottom"/>
            <w:shd w:val="clear" w:color="auto" w:fill="EAEAEA"/>
          </w:tcPr>
          <w:p>
            <w:pPr>
              <w:spacing w:after="0"/>
              <w:rPr>
                <w:sz w:val="18"/>
                <w:szCs w:val="18"/>
                <w:color w:val="auto"/>
              </w:rPr>
            </w:pPr>
          </w:p>
        </w:tc>
        <w:tc>
          <w:tcPr>
            <w:tcW w:w="500" w:type="dxa"/>
            <w:vAlign w:val="bottom"/>
            <w:tcBorders>
              <w:bottom w:val="single" w:sz="8" w:color="auto"/>
            </w:tcBorders>
            <w:shd w:val="clear" w:color="auto" w:fill="EAEAEA"/>
          </w:tcPr>
          <w:p>
            <w:pPr>
              <w:spacing w:after="0"/>
              <w:rPr>
                <w:sz w:val="18"/>
                <w:szCs w:val="18"/>
                <w:color w:val="auto"/>
              </w:rPr>
            </w:pPr>
          </w:p>
        </w:tc>
        <w:tc>
          <w:tcPr>
            <w:tcW w:w="1240" w:type="dxa"/>
            <w:vAlign w:val="bottom"/>
            <w:tcBorders>
              <w:bottom w:val="single" w:sz="8" w:color="auto"/>
            </w:tcBorders>
            <w:shd w:val="clear" w:color="auto" w:fill="EAEAEA"/>
          </w:tcPr>
          <w:p>
            <w:pPr>
              <w:jc w:val="right"/>
              <w:ind w:right="341"/>
              <w:spacing w:after="0"/>
              <w:rPr>
                <w:sz w:val="20"/>
                <w:szCs w:val="20"/>
                <w:color w:val="auto"/>
              </w:rPr>
            </w:pPr>
            <w:r>
              <w:rPr>
                <w:rFonts w:ascii="Arial" w:cs="Arial" w:eastAsia="Arial" w:hAnsi="Arial"/>
                <w:sz w:val="16"/>
                <w:szCs w:val="16"/>
                <w:color w:val="auto"/>
              </w:rPr>
              <w:t>16.5</w:t>
            </w:r>
          </w:p>
        </w:tc>
        <w:tc>
          <w:tcPr>
            <w:tcW w:w="11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Arial" w:cs="Arial" w:eastAsia="Arial" w:hAnsi="Arial"/>
                <w:sz w:val="16"/>
                <w:szCs w:val="16"/>
                <w:color w:val="auto"/>
              </w:rPr>
              <w:t>Total cost of revenues</w:t>
            </w: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116.5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81.4 %</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105.8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Total cost of revenues increased $10.7 million for the six months ended September 30, 2026, primarily due to increased infrastructure costs associated with the continued expansion of our SaaS offerings and, to a lesser extent, higher royalty costs associated with certain term-based license revenue. Gross margin increased to 81.4% from 81.0% in the prior-year period.</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Cost of SaaS revenue increased $6.3 million for the six months ended September 30, 2026, primarily due to higher infrastructure costs to support growth in our SaaS offerings. SaaS gross margin increased to 70.3% from 63.8% in the prior-year period, reflecting infrastructure and product optimization initiatives, increased scale, and improved economics under strategic agreements with our hyperscale cloud partners. As our SaaS business continues to represent a larger percentage of total revenue, changes in hosting cost, utilization rates, and operating efficiencies may have a meaningful impact on consolidated gross margin.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Operating Expenses ($ in millions)</w:t>
      </w:r>
    </w:p>
    <w:p>
      <w:pPr>
        <w:spacing w:after="0" w:line="200" w:lineRule="exact"/>
        <w:rPr>
          <w:sz w:val="20"/>
          <w:szCs w:val="20"/>
          <w:color w:val="auto"/>
        </w:rPr>
      </w:pPr>
    </w:p>
    <w:p>
      <w:pPr>
        <w:spacing w:after="0" w:line="258"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Six Months Ended September 30,</w:t>
            </w:r>
          </w:p>
        </w:tc>
        <w:tc>
          <w:tcPr>
            <w:tcW w:w="1500" w:type="dxa"/>
            <w:vAlign w:val="bottom"/>
          </w:tcPr>
          <w:p>
            <w:pPr>
              <w:spacing w:after="0"/>
              <w:rPr>
                <w:sz w:val="18"/>
                <w:szCs w:val="18"/>
                <w:color w:val="auto"/>
              </w:rPr>
            </w:pPr>
          </w:p>
        </w:tc>
      </w:tr>
      <w:tr>
        <w:trPr>
          <w:trHeight w:val="205"/>
        </w:trPr>
        <w:tc>
          <w:tcPr>
            <w:tcW w:w="4720" w:type="dxa"/>
            <w:vAlign w:val="bottom"/>
            <w:tcBorders>
              <w:bottom w:val="single" w:sz="8" w:color="EAEAEA"/>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EAEAEA"/>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EAEAEA"/>
            </w:tcBorders>
          </w:tcPr>
          <w:p>
            <w:pPr>
              <w:spacing w:after="0"/>
              <w:rPr>
                <w:sz w:val="17"/>
                <w:szCs w:val="17"/>
                <w:color w:val="auto"/>
              </w:rPr>
            </w:pPr>
          </w:p>
        </w:tc>
        <w:tc>
          <w:tcPr>
            <w:tcW w:w="1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5"/>
        </w:trPr>
        <w:tc>
          <w:tcPr>
            <w:tcW w:w="4720" w:type="dxa"/>
            <w:vAlign w:val="bottom"/>
            <w:shd w:val="clear" w:color="auto" w:fill="EAEAEA"/>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275.3</w:t>
            </w:r>
          </w:p>
        </w:tc>
        <w:tc>
          <w:tcPr>
            <w:tcW w:w="100" w:type="dxa"/>
            <w:vAlign w:val="bottom"/>
            <w:shd w:val="clear" w:color="auto" w:fill="EAEAEA"/>
          </w:tcPr>
          <w:p>
            <w:pPr>
              <w:spacing w:after="0"/>
              <w:rPr>
                <w:sz w:val="17"/>
                <w:szCs w:val="17"/>
                <w:color w:val="auto"/>
              </w:rPr>
            </w:pPr>
          </w:p>
        </w:tc>
        <w:tc>
          <w:tcPr>
            <w:tcW w:w="34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244.7</w:t>
            </w:r>
          </w:p>
        </w:tc>
        <w:tc>
          <w:tcPr>
            <w:tcW w:w="100" w:type="dxa"/>
            <w:vAlign w:val="bottom"/>
            <w:shd w:val="clear" w:color="auto" w:fill="EAEAEA"/>
          </w:tcPr>
          <w:p>
            <w:pPr>
              <w:spacing w:after="0"/>
              <w:rPr>
                <w:sz w:val="17"/>
                <w:szCs w:val="17"/>
                <w:color w:val="auto"/>
              </w:rPr>
            </w:pPr>
          </w:p>
        </w:tc>
        <w:tc>
          <w:tcPr>
            <w:tcW w:w="15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13 %</w:t>
            </w:r>
          </w:p>
        </w:tc>
      </w:tr>
      <w:tr>
        <w:trPr>
          <w:trHeight w:val="211"/>
        </w:trPr>
        <w:tc>
          <w:tcPr>
            <w:tcW w:w="4720" w:type="dxa"/>
            <w:vAlign w:val="bottom"/>
          </w:tcPr>
          <w:p>
            <w:pPr>
              <w:jc w:val="center"/>
              <w:ind w:right="2701"/>
              <w:spacing w:after="0"/>
              <w:rPr>
                <w:sz w:val="20"/>
                <w:szCs w:val="20"/>
                <w:color w:val="auto"/>
              </w:rPr>
            </w:pPr>
            <w:r>
              <w:rPr>
                <w:rFonts w:ascii="Arial" w:cs="Arial" w:eastAsia="Arial" w:hAnsi="Arial"/>
                <w:sz w:val="16"/>
                <w:szCs w:val="16"/>
                <w:color w:val="auto"/>
              </w:rPr>
              <w:t>Percentage of revenues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720" w:type="dxa"/>
            <w:vAlign w:val="bottom"/>
            <w:shd w:val="clear" w:color="auto" w:fill="EAEAEA"/>
          </w:tcPr>
          <w:p>
            <w:pPr>
              <w:jc w:val="center"/>
              <w:ind w:right="2661"/>
              <w:spacing w:after="0"/>
              <w:rPr>
                <w:sz w:val="20"/>
                <w:szCs w:val="20"/>
                <w:color w:val="auto"/>
              </w:rPr>
            </w:pPr>
            <w:r>
              <w:rPr>
                <w:rFonts w:ascii="Arial" w:cs="Arial" w:eastAsia="Arial" w:hAnsi="Arial"/>
                <w:sz w:val="16"/>
                <w:szCs w:val="16"/>
                <w:color w:val="auto"/>
                <w:w w:val="99"/>
              </w:rPr>
              <w:t>Research and development</w:t>
            </w:r>
          </w:p>
        </w:tc>
        <w:tc>
          <w:tcPr>
            <w:tcW w:w="20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EAEAEA"/>
          </w:tcPr>
          <w:p>
            <w:pPr>
              <w:spacing w:after="0"/>
              <w:rPr>
                <w:sz w:val="18"/>
                <w:szCs w:val="18"/>
                <w:color w:val="auto"/>
              </w:rPr>
            </w:pPr>
          </w:p>
        </w:tc>
        <w:tc>
          <w:tcPr>
            <w:tcW w:w="34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EAEAEA"/>
          </w:tcPr>
          <w:p>
            <w:pPr>
              <w:spacing w:after="0"/>
              <w:rPr>
                <w:sz w:val="18"/>
                <w:szCs w:val="18"/>
                <w:color w:val="auto"/>
              </w:rPr>
            </w:pPr>
          </w:p>
        </w:tc>
        <w:tc>
          <w:tcPr>
            <w:tcW w:w="15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2 %</w:t>
            </w:r>
          </w:p>
        </w:tc>
      </w:tr>
      <w:tr>
        <w:trPr>
          <w:trHeight w:val="211"/>
        </w:trPr>
        <w:tc>
          <w:tcPr>
            <w:tcW w:w="4720" w:type="dxa"/>
            <w:vAlign w:val="bottom"/>
          </w:tcPr>
          <w:p>
            <w:pPr>
              <w:jc w:val="center"/>
              <w:ind w:right="2701"/>
              <w:spacing w:after="0"/>
              <w:rPr>
                <w:sz w:val="20"/>
                <w:szCs w:val="20"/>
                <w:color w:val="auto"/>
              </w:rPr>
            </w:pPr>
            <w:r>
              <w:rPr>
                <w:rFonts w:ascii="Arial" w:cs="Arial" w:eastAsia="Arial" w:hAnsi="Arial"/>
                <w:sz w:val="16"/>
                <w:szCs w:val="16"/>
                <w:color w:val="auto"/>
              </w:rPr>
              <w:t>Percentage of revenues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3"/>
        </w:trPr>
        <w:tc>
          <w:tcPr>
            <w:tcW w:w="4720" w:type="dxa"/>
            <w:vAlign w:val="bottom"/>
            <w:shd w:val="clear" w:color="auto" w:fill="EAEAEA"/>
          </w:tcPr>
          <w:p>
            <w:pPr>
              <w:jc w:val="center"/>
              <w:ind w:right="2701"/>
              <w:spacing w:after="0"/>
              <w:rPr>
                <w:sz w:val="20"/>
                <w:szCs w:val="20"/>
                <w:color w:val="auto"/>
              </w:rPr>
            </w:pPr>
            <w:r>
              <w:rPr>
                <w:rFonts w:ascii="Arial" w:cs="Arial" w:eastAsia="Arial" w:hAnsi="Arial"/>
                <w:sz w:val="16"/>
                <w:szCs w:val="16"/>
                <w:color w:val="auto"/>
                <w:w w:val="99"/>
              </w:rPr>
              <w:t>General and administrative</w:t>
            </w:r>
          </w:p>
        </w:tc>
        <w:tc>
          <w:tcPr>
            <w:tcW w:w="20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EAEAEA"/>
          </w:tcPr>
          <w:p>
            <w:pPr>
              <w:spacing w:after="0"/>
              <w:rPr>
                <w:sz w:val="18"/>
                <w:szCs w:val="18"/>
                <w:color w:val="auto"/>
              </w:rPr>
            </w:pPr>
          </w:p>
        </w:tc>
        <w:tc>
          <w:tcPr>
            <w:tcW w:w="340" w:type="dxa"/>
            <w:vAlign w:val="bottom"/>
            <w:shd w:val="clear" w:color="auto" w:fill="EAEAEA"/>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EAEAEA"/>
          </w:tcPr>
          <w:p>
            <w:pPr>
              <w:spacing w:after="0"/>
              <w:rPr>
                <w:sz w:val="18"/>
                <w:szCs w:val="18"/>
                <w:color w:val="auto"/>
              </w:rPr>
            </w:pPr>
          </w:p>
        </w:tc>
        <w:tc>
          <w:tcPr>
            <w:tcW w:w="15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6 %</w:t>
            </w:r>
          </w:p>
        </w:tc>
      </w:tr>
      <w:tr>
        <w:trPr>
          <w:trHeight w:val="210"/>
        </w:trPr>
        <w:tc>
          <w:tcPr>
            <w:tcW w:w="4720" w:type="dxa"/>
            <w:vAlign w:val="bottom"/>
          </w:tcPr>
          <w:p>
            <w:pPr>
              <w:jc w:val="center"/>
              <w:ind w:right="2701"/>
              <w:spacing w:after="0"/>
              <w:rPr>
                <w:sz w:val="20"/>
                <w:szCs w:val="20"/>
                <w:color w:val="auto"/>
              </w:rPr>
            </w:pPr>
            <w:r>
              <w:rPr>
                <w:rFonts w:ascii="Arial" w:cs="Arial" w:eastAsia="Arial" w:hAnsi="Arial"/>
                <w:sz w:val="16"/>
                <w:szCs w:val="16"/>
                <w:color w:val="auto"/>
              </w:rPr>
              <w:t>Percentage of revenues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396"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Sales and marketing expenses increased $30.6 million, or 13%, primarily driven by a $26.6 million increase in employee compensation and related expenses, including higher sales commissions, bonuses, and payroll taxes associated with increased headcount and higher revenue levels. Sales and marketing expenses also increased due to a $3.5 million increase in stock-based compensation. These increases were partially offset by a $0.8 million decrease in travel and entertainment expenses.</w:t>
      </w:r>
    </w:p>
    <w:p>
      <w:pPr>
        <w:spacing w:after="0" w:line="61" w:lineRule="exact"/>
        <w:rPr>
          <w:sz w:val="20"/>
          <w:szCs w:val="20"/>
          <w:color w:val="auto"/>
        </w:rPr>
      </w:pPr>
    </w:p>
    <w:p>
      <w:pPr>
        <w:ind w:left="640" w:hanging="318"/>
        <w:spacing w:after="0" w:line="260" w:lineRule="auto"/>
        <w:rPr>
          <w:sz w:val="20"/>
          <w:szCs w:val="20"/>
          <w:color w:val="auto"/>
        </w:rPr>
      </w:pPr>
      <w:r>
        <w:rPr>
          <w:rFonts w:ascii="Arial" w:cs="Arial" w:eastAsia="Arial" w:hAnsi="Arial"/>
          <w:sz w:val="18"/>
          <w:szCs w:val="18"/>
          <w:color w:val="auto"/>
        </w:rPr>
        <w:t>– Research and development expenses increased $1.9 million, or 2%, primarily driven by a $1.5 million increase in stock-based compensation and a $1.5 million increase in internal software and support expenses. These increases were partially offset by lower employee compensation and related expenses.</w:t>
      </w:r>
    </w:p>
    <w:p>
      <w:pPr>
        <w:spacing w:after="0" w:line="56"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$5.1 million, or 6%, primarily driven by a $2.7 million increase in third-party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a strategic pricing and packaging initiative, $2.6 million increase in employee compensation and related expenses, and a $3.3 million increase in stock-based compensation. These increases were partially offset by a $2.2 million decrease in third-party professional services compared to the prior-year period.</w:t>
      </w:r>
    </w:p>
    <w:p>
      <w:pPr>
        <w:spacing w:after="0" w:line="47" w:lineRule="exact"/>
        <w:rPr>
          <w:sz w:val="20"/>
          <w:szCs w:val="20"/>
          <w:color w:val="auto"/>
        </w:rPr>
      </w:pPr>
    </w:p>
    <w:p>
      <w:pPr>
        <w:ind w:left="640" w:hanging="318"/>
        <w:spacing w:after="0" w:line="253" w:lineRule="auto"/>
        <w:rPr>
          <w:sz w:val="20"/>
          <w:szCs w:val="20"/>
          <w:color w:val="auto"/>
        </w:rPr>
      </w:pPr>
      <w:r>
        <w:rPr>
          <w:rFonts w:ascii="Arial" w:cs="Arial" w:eastAsia="Arial" w:hAnsi="Arial"/>
          <w:sz w:val="18"/>
          <w:szCs w:val="18"/>
          <w:color w:val="auto"/>
        </w:rPr>
        <w:t>– Restructuring expenses were $2.7 million for the six months ended September 30, 2026, compared to $1.7 million for the prior-year period. These charges relate to our restructuring plan initiated in the third quarter of fiscal 2026 and consist of severance and associated costs from headcount reductions, including $0.7 million of stock-based compensation resulting from modifications to existing awards granted to certain employees. The majority of costs associated with this plan have been incurred, and the remaining activities are anticipated to be completed during fiscal 2027.</w:t>
      </w: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Interest Income</w:t>
      </w:r>
    </w:p>
    <w:p>
      <w:pPr>
        <w:spacing w:after="0" w:line="85"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Interest income was $16.1 million in the six months ended September 30, 2026 compared to $5.1 million in the six months ended September 30, 2025. The increase was primarily driven by investments in money market funds beginning in the third quarter of fiscal 2026.</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844896"/>
        </w:rPr>
        <w:t>Income Tax Expense</w:t>
      </w:r>
    </w:p>
    <w:p>
      <w:pPr>
        <w:spacing w:after="0" w:line="164"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Our effective tax rate ("ETR") was 29.2% and 8.9% for the six months ended September 30, 2026 and 2025, respectively. The increase in ETR compared to the prior year was primarily due to changes in the mix of our earnings and tax expenses between the U.S. and foreign countries, as well as changes in the tax impact of stock-based compensation.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Liquidity and Capital Resources</w:t>
      </w:r>
    </w:p>
    <w:p>
      <w:pPr>
        <w:spacing w:after="0" w:line="166"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As of September 30, 2026, our cash and cash equivalents balance was $897.3 million, of which approximately $318.6 million was held outside of the United States by our foreign legal entities. These balances are dispersed across approximately 35 international locations. We believe that such dispersion meets the current and anticipated future liquidity needs of our foreign legal entities. In the event we need to repatriate funds from outside of the United States, such repatriation would likely be subject to restrictions by local laws and/or tax consequences, including foreign withholding taxes. Our cash and cash equivalents consisted of cash deposits and money market funds, which are highly liquid and are intended to support our operating, investing, and financing needs.</w:t>
      </w:r>
    </w:p>
    <w:p>
      <w:pPr>
        <w:spacing w:after="0" w:line="132"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We maintain a $300.0 million senior secured revolving credit facility that expires in April 2030 (the "Credit Facility") with JPMorgan Chase Bank, N.A., as administrative agent, and the lenders party thereto. The Credit Facility is available for share repurchases, general corporate purposes, and letters of credit, and is subject to financial maintenance covenants and other customary terms and conditions. As of September 30, 2026, there were no borrowings under the Credit Facility and we were in compliance with all covenants. See Note 12 of the Notes to Consolidated Financial Statements included in Part I, Item 1 of this Quarterly Report on Form 10-Q for further details of the Credit Facility.</w:t>
      </w:r>
    </w:p>
    <w:p>
      <w:pPr>
        <w:spacing w:after="0" w:line="132"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We had $900.0 million aggregate principal amount of senior, unsecured convertible notes (the "Notes") outstanding as of September 30, 2026. The Notes do not bear regular interest; however, special interest and additional interest, if any, may accrue on the Notes upon the occurrence of certain events as described in the Indenture. The Notes mature on September 15, 2030, unless earlier converted, redeemed, or repurchased. There are no required principal payments on the Notes prior to their maturity. Upon conversion, consideration due will consist of cash, up to the principal amount of the Notes to be converted, and, for any conversion value in excess of principal, cash or shares of our common stock, at our election. See Note 12 of the Notes to Consolidated Financial Statements included in Part I, Item 1 of this Quarterly Report on Form 10-Q for further details of the Notes.</w:t>
      </w:r>
    </w:p>
    <w:p>
      <w:pPr>
        <w:spacing w:after="0" w:line="13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On April 15, 2026, the Board approved recommitting the existing share repurchase program, making $250.0 million available for future purchases. For the six months ended September 30, 2026, we repurchased $119.3 million of our common stock, of which $1.4 million was unsettled as of September 30, 2026 and paid in October 2026. As of September 30, 2026, $130.7 million remained available under the share repurchase program.</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summarized cash flow information is as follows (in millions):</w:t>
      </w:r>
    </w:p>
    <w:p>
      <w:pPr>
        <w:spacing w:after="0" w:line="299"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940" w:type="dxa"/>
            <w:vAlign w:val="bottom"/>
            <w:tcBorders>
              <w:bottom w:val="single" w:sz="8" w:color="auto"/>
            </w:tcBorders>
            <w:gridSpan w:val="5"/>
          </w:tcPr>
          <w:p>
            <w:pPr>
              <w:jc w:val="right"/>
              <w:ind w:right="141"/>
              <w:spacing w:after="0"/>
              <w:rPr>
                <w:sz w:val="20"/>
                <w:szCs w:val="20"/>
                <w:color w:val="auto"/>
              </w:rPr>
            </w:pPr>
            <w:r>
              <w:rPr>
                <w:rFonts w:ascii="Arial" w:cs="Arial" w:eastAsia="Arial" w:hAnsi="Arial"/>
                <w:sz w:val="16"/>
                <w:szCs w:val="16"/>
                <w:b w:val="1"/>
                <w:bCs w:val="1"/>
                <w:color w:val="auto"/>
              </w:rPr>
              <w:t>Six Months Ended September 30,</w:t>
            </w:r>
          </w:p>
        </w:tc>
      </w:tr>
      <w:tr>
        <w:trPr>
          <w:trHeight w:val="205"/>
        </w:trPr>
        <w:tc>
          <w:tcPr>
            <w:tcW w:w="6280" w:type="dxa"/>
            <w:vAlign w:val="bottom"/>
            <w:tcBorders>
              <w:bottom w:val="single" w:sz="8" w:color="EAEAEA"/>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EAEAEA"/>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r>
      <w:tr>
        <w:trPr>
          <w:trHeight w:val="205"/>
        </w:trPr>
        <w:tc>
          <w:tcPr>
            <w:tcW w:w="6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80" w:type="dxa"/>
            <w:vAlign w:val="bottom"/>
            <w:shd w:val="clear" w:color="auto" w:fill="EAEAEA"/>
          </w:tcPr>
          <w:p>
            <w:pPr>
              <w:jc w:val="right"/>
              <w:ind w:right="7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126.5</w:t>
            </w:r>
          </w:p>
        </w:tc>
        <w:tc>
          <w:tcPr>
            <w:tcW w:w="100" w:type="dxa"/>
            <w:vAlign w:val="bottom"/>
            <w:shd w:val="clear" w:color="auto" w:fill="EAEAEA"/>
          </w:tcPr>
          <w:p>
            <w:pPr>
              <w:spacing w:after="0"/>
              <w:rPr>
                <w:sz w:val="17"/>
                <w:szCs w:val="17"/>
                <w:color w:val="auto"/>
              </w:rPr>
            </w:pPr>
          </w:p>
        </w:tc>
        <w:tc>
          <w:tcPr>
            <w:tcW w:w="30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108.5</w:t>
            </w:r>
          </w:p>
        </w:tc>
      </w:tr>
      <w:tr>
        <w:trPr>
          <w:trHeight w:val="211"/>
        </w:trPr>
        <w:tc>
          <w:tcPr>
            <w:tcW w:w="62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6280" w:type="dxa"/>
            <w:vAlign w:val="bottom"/>
            <w:shd w:val="clear" w:color="auto" w:fill="EAEAEA"/>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shd w:val="clear" w:color="auto" w:fill="EAEAEA"/>
          </w:tcPr>
          <w:p>
            <w:pPr>
              <w:spacing w:after="0"/>
              <w:rPr>
                <w:sz w:val="18"/>
                <w:szCs w:val="18"/>
                <w:color w:val="auto"/>
              </w:rPr>
            </w:pPr>
          </w:p>
        </w:tc>
        <w:tc>
          <w:tcPr>
            <w:tcW w:w="540" w:type="dxa"/>
            <w:vAlign w:val="bottom"/>
            <w:shd w:val="clear" w:color="auto" w:fill="EAEAEA"/>
          </w:tcPr>
          <w:p>
            <w:pPr>
              <w:jc w:val="right"/>
              <w:spacing w:after="0"/>
              <w:rPr>
                <w:sz w:val="20"/>
                <w:szCs w:val="20"/>
                <w:color w:val="auto"/>
              </w:rPr>
            </w:pPr>
            <w:r>
              <w:rPr>
                <w:rFonts w:ascii="Arial" w:cs="Arial" w:eastAsia="Arial" w:hAnsi="Arial"/>
                <w:sz w:val="16"/>
                <w:szCs w:val="16"/>
                <w:color w:val="auto"/>
                <w:w w:val="94"/>
              </w:rPr>
              <w:t>(111.5)</w:t>
            </w:r>
          </w:p>
        </w:tc>
        <w:tc>
          <w:tcPr>
            <w:tcW w:w="100" w:type="dxa"/>
            <w:vAlign w:val="bottom"/>
            <w:shd w:val="clear" w:color="auto" w:fill="EAEAEA"/>
          </w:tcPr>
          <w:p>
            <w:pPr>
              <w:spacing w:after="0"/>
              <w:rPr>
                <w:sz w:val="18"/>
                <w:szCs w:val="18"/>
                <w:color w:val="auto"/>
              </w:rPr>
            </w:pPr>
          </w:p>
        </w:tc>
        <w:tc>
          <w:tcPr>
            <w:tcW w:w="300" w:type="dxa"/>
            <w:vAlign w:val="bottom"/>
            <w:shd w:val="clear" w:color="auto" w:fill="EAEAEA"/>
          </w:tcPr>
          <w:p>
            <w:pPr>
              <w:spacing w:after="0"/>
              <w:rPr>
                <w:sz w:val="18"/>
                <w:szCs w:val="18"/>
                <w:color w:val="auto"/>
              </w:rPr>
            </w:pPr>
          </w:p>
        </w:tc>
        <w:tc>
          <w:tcPr>
            <w:tcW w:w="1120" w:type="dxa"/>
            <w:vAlign w:val="bottom"/>
            <w:shd w:val="clear" w:color="auto" w:fill="EAEAEA"/>
          </w:tcPr>
          <w:p>
            <w:pPr>
              <w:jc w:val="right"/>
              <w:ind w:right="1"/>
              <w:spacing w:after="0"/>
              <w:rPr>
                <w:sz w:val="20"/>
                <w:szCs w:val="20"/>
                <w:color w:val="auto"/>
              </w:rPr>
            </w:pPr>
            <w:r>
              <w:rPr>
                <w:rFonts w:ascii="Arial" w:cs="Arial" w:eastAsia="Arial" w:hAnsi="Arial"/>
                <w:sz w:val="16"/>
                <w:szCs w:val="16"/>
                <w:color w:val="auto"/>
              </w:rPr>
              <w:t>639.0</w:t>
            </w:r>
          </w:p>
        </w:tc>
      </w:tr>
      <w:tr>
        <w:trPr>
          <w:trHeight w:val="211"/>
        </w:trPr>
        <w:tc>
          <w:tcPr>
            <w:tcW w:w="6280" w:type="dxa"/>
            <w:vAlign w:val="bottom"/>
            <w:tcBorders>
              <w:bottom w:val="single" w:sz="8" w:color="EAEAEA"/>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EA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w:t>
            </w:r>
          </w:p>
        </w:tc>
      </w:tr>
      <w:tr>
        <w:trPr>
          <w:trHeight w:val="230"/>
        </w:trPr>
        <w:tc>
          <w:tcPr>
            <w:tcW w:w="6280" w:type="dxa"/>
            <w:vAlign w:val="bottom"/>
            <w:tcBorders>
              <w:bottom w:val="single" w:sz="8" w:color="EAEAEA"/>
            </w:tcBorders>
            <w:shd w:val="clear" w:color="auto" w:fill="EAEAEA"/>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880" w:type="dxa"/>
            <w:vAlign w:val="bottom"/>
            <w:tcBorders>
              <w:bottom w:val="single" w:sz="8" w:color="auto"/>
            </w:tcBorders>
            <w:shd w:val="clear" w:color="auto" w:fill="EAEAEA"/>
          </w:tcPr>
          <w:p>
            <w:pPr>
              <w:jc w:val="right"/>
              <w:ind w:right="7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EAEAEA"/>
            </w:tcBorders>
            <w:shd w:val="clear" w:color="auto" w:fill="EAEAEA"/>
          </w:tcPr>
          <w:p>
            <w:pPr>
              <w:spacing w:after="0"/>
              <w:rPr>
                <w:sz w:val="19"/>
                <w:szCs w:val="19"/>
                <w:color w:val="auto"/>
              </w:rPr>
            </w:pPr>
          </w:p>
        </w:tc>
        <w:tc>
          <w:tcPr>
            <w:tcW w:w="300" w:type="dxa"/>
            <w:vAlign w:val="bottom"/>
            <w:tcBorders>
              <w:bottom w:val="single" w:sz="8" w:color="auto"/>
            </w:tcBorders>
            <w:shd w:val="clear" w:color="auto" w:fill="EAEAEA"/>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761.5</w:t>
            </w:r>
          </w:p>
        </w:tc>
      </w:tr>
      <w:tr>
        <w:trPr>
          <w:trHeight w:val="20"/>
        </w:trPr>
        <w:tc>
          <w:tcPr>
            <w:tcW w:w="6280" w:type="dxa"/>
            <w:vAlign w:val="bottom"/>
            <w:tcBorders>
              <w:top w:val="single" w:sz="8" w:color="EAEAEA"/>
            </w:tcBorders>
          </w:tcPr>
          <w:p>
            <w:pPr>
              <w:spacing w:after="0" w:line="20" w:lineRule="exact"/>
              <w:rPr>
                <w:sz w:val="1"/>
                <w:szCs w:val="1"/>
                <w:color w:val="auto"/>
              </w:rPr>
            </w:pPr>
          </w:p>
        </w:tc>
        <w:tc>
          <w:tcPr>
            <w:tcW w:w="880" w:type="dxa"/>
            <w:vAlign w:val="bottom"/>
            <w:tcBorders>
              <w:top w:val="single" w:sz="8" w:color="EAEAEA"/>
              <w:bottom w:val="single" w:sz="8" w:color="auto"/>
            </w:tcBorders>
          </w:tcPr>
          <w:p>
            <w:pPr>
              <w:spacing w:after="0" w:line="20" w:lineRule="exact"/>
              <w:rPr>
                <w:sz w:val="1"/>
                <w:szCs w:val="1"/>
                <w:color w:val="auto"/>
              </w:rPr>
            </w:pPr>
          </w:p>
        </w:tc>
        <w:tc>
          <w:tcPr>
            <w:tcW w:w="540" w:type="dxa"/>
            <w:vAlign w:val="bottom"/>
            <w:tcBorders>
              <w:top w:val="single" w:sz="8" w:color="EAEAEA"/>
              <w:bottom w:val="single" w:sz="8" w:color="auto"/>
            </w:tcBorders>
          </w:tcPr>
          <w:p>
            <w:pPr>
              <w:spacing w:after="0" w:line="20" w:lineRule="exact"/>
              <w:rPr>
                <w:sz w:val="1"/>
                <w:szCs w:val="1"/>
                <w:color w:val="auto"/>
              </w:rPr>
            </w:pPr>
          </w:p>
        </w:tc>
        <w:tc>
          <w:tcPr>
            <w:tcW w:w="100" w:type="dxa"/>
            <w:vAlign w:val="bottom"/>
            <w:tcBorders>
              <w:top w:val="single" w:sz="8" w:color="EAEAEA"/>
            </w:tcBorders>
          </w:tcPr>
          <w:p>
            <w:pPr>
              <w:spacing w:after="0" w:line="20" w:lineRule="exact"/>
              <w:rPr>
                <w:sz w:val="1"/>
                <w:szCs w:val="1"/>
                <w:color w:val="auto"/>
              </w:rPr>
            </w:pPr>
          </w:p>
        </w:tc>
        <w:tc>
          <w:tcPr>
            <w:tcW w:w="300" w:type="dxa"/>
            <w:vAlign w:val="bottom"/>
            <w:tcBorders>
              <w:top w:val="single" w:sz="8" w:color="EAEAEA"/>
              <w:bottom w:val="single" w:sz="8" w:color="auto"/>
            </w:tcBorders>
          </w:tcPr>
          <w:p>
            <w:pPr>
              <w:spacing w:after="0" w:line="20" w:lineRule="exact"/>
              <w:rPr>
                <w:sz w:val="1"/>
                <w:szCs w:val="1"/>
                <w:color w:val="auto"/>
              </w:rPr>
            </w:pPr>
          </w:p>
        </w:tc>
        <w:tc>
          <w:tcPr>
            <w:tcW w:w="1120" w:type="dxa"/>
            <w:vAlign w:val="bottom"/>
            <w:tcBorders>
              <w:top w:val="single" w:sz="8" w:color="EAEAEA"/>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40" w:hanging="318"/>
        <w:spacing w:after="0" w:line="216" w:lineRule="exact"/>
        <w:rPr>
          <w:sz w:val="20"/>
          <w:szCs w:val="20"/>
          <w:color w:val="auto"/>
        </w:rPr>
      </w:pPr>
      <w:r>
        <w:rPr>
          <w:rFonts w:ascii="Arial" w:cs="Arial" w:eastAsia="Arial" w:hAnsi="Arial"/>
          <w:sz w:val="18"/>
          <w:szCs w:val="18"/>
          <w:color w:val="auto"/>
        </w:rPr>
        <w:t>– Net cash provided by operating activities was driven by net income adjusted for non-cash charges and a decrease in accounts receivable, partially offset by decreases in accrued liabilities and deferred revenue. Cash from operating activities can fluctuate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including when customer payments are received and when certain expenses are paid. These working capital impacts are primarily timing</w:t>
      </w:r>
      <w:r>
        <w:rPr>
          <w:rFonts w:ascii="MS PGothic" w:cs="MS PGothic" w:eastAsia="MS PGothic" w:hAnsi="MS PGothic"/>
          <w:sz w:val="18"/>
          <w:szCs w:val="18"/>
          <w:color w:val="auto"/>
        </w:rPr>
        <w:t>‑</w:t>
      </w:r>
      <w:r>
        <w:rPr>
          <w:rFonts w:ascii="Arial" w:cs="Arial" w:eastAsia="Arial" w:hAnsi="Arial"/>
          <w:sz w:val="18"/>
          <w:szCs w:val="18"/>
          <w:color w:val="auto"/>
        </w:rPr>
        <w:t>based and reflect the normal course of our business operations. Management considers operating cash flow trends over multiple periods, as quarterly results may reflect normal variability in billing and collection cycles.</w:t>
      </w:r>
    </w:p>
    <w:p>
      <w:pPr>
        <w:spacing w:after="0" w:line="74" w:lineRule="exact"/>
        <w:rPr>
          <w:sz w:val="20"/>
          <w:szCs w:val="20"/>
          <w:color w:val="auto"/>
        </w:rPr>
      </w:pPr>
    </w:p>
    <w:p>
      <w:pPr>
        <w:ind w:left="640" w:hanging="318"/>
        <w:spacing w:after="0" w:line="274" w:lineRule="auto"/>
        <w:rPr>
          <w:sz w:val="20"/>
          <w:szCs w:val="20"/>
          <w:color w:val="auto"/>
        </w:rPr>
      </w:pPr>
      <w:r>
        <w:rPr>
          <w:rFonts w:ascii="Arial" w:cs="Arial" w:eastAsia="Arial" w:hAnsi="Arial"/>
          <w:sz w:val="18"/>
          <w:szCs w:val="18"/>
          <w:color w:val="auto"/>
        </w:rPr>
        <w:t>– Net cash used in investing activities was the result of $8.0 million for the purchase of investments and $4.5 million of capital expenditures.</w:t>
      </w:r>
    </w:p>
    <w:p>
      <w:pPr>
        <w:spacing w:after="0" w:line="44" w:lineRule="exact"/>
        <w:rPr>
          <w:sz w:val="20"/>
          <w:szCs w:val="20"/>
          <w:color w:val="auto"/>
        </w:rPr>
      </w:pPr>
    </w:p>
    <w:p>
      <w:pPr>
        <w:ind w:left="640" w:hanging="318"/>
        <w:spacing w:after="0" w:line="274" w:lineRule="auto"/>
        <w:rPr>
          <w:sz w:val="20"/>
          <w:szCs w:val="20"/>
          <w:color w:val="auto"/>
        </w:rPr>
      </w:pPr>
      <w:r>
        <w:rPr>
          <w:rFonts w:ascii="Arial" w:cs="Arial" w:eastAsia="Arial" w:hAnsi="Arial"/>
          <w:sz w:val="18"/>
          <w:szCs w:val="18"/>
          <w:color w:val="auto"/>
        </w:rPr>
        <w:t>– Net cash used in financing activities was primarily the result of $117.9 million of repurchases of our common stock, partially offset by $6.6 million of proceeds from the Employee Stock Purchase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36"/>
        <w:spacing w:after="0" w:line="260" w:lineRule="auto"/>
        <w:rPr>
          <w:sz w:val="20"/>
          <w:szCs w:val="20"/>
          <w:color w:val="auto"/>
        </w:rPr>
      </w:pPr>
      <w:r>
        <w:rPr>
          <w:rFonts w:ascii="Arial" w:cs="Arial" w:eastAsia="Arial" w:hAnsi="Arial"/>
          <w:sz w:val="18"/>
          <w:szCs w:val="18"/>
          <w:color w:val="auto"/>
        </w:rPr>
        <w:t>Working capital decreased $28.0 million from $628.3 million as of March 31, 2026 to $600.3 million as of September 30, 2026. The net decrease in working capital was primarily the result of a decrease in accounts receivable, partially offset by decreases in accrued liabilities and the current portion of deferred revenue.</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Our primary cash needs over the next twelve months and longer term include working capital requirements, income taxes, capital expenditures, potential stock repurchases, and the potential cash portion of consideration upon conversion or at maturity of the Notes. We have discretion to settle conversion consideration above principal in cash, stock, or a combination; the timing and amount of any related cash outflows will depend on our stock price, conversion activity, and our financing strategy. We believe our existing cash and cash flows from operations are sufficient to meet these cash requirements for at least the next twelve months.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Impact of Recently Issued Accounting Standards</w:t>
      </w:r>
    </w:p>
    <w:p>
      <w:pPr>
        <w:spacing w:after="0" w:line="87" w:lineRule="exact"/>
        <w:rPr>
          <w:sz w:val="20"/>
          <w:szCs w:val="20"/>
          <w:color w:val="auto"/>
        </w:rPr>
      </w:pPr>
    </w:p>
    <w:p>
      <w:pPr>
        <w:jc w:val="both"/>
        <w:ind w:firstLine="437"/>
        <w:spacing w:after="0" w:line="274" w:lineRule="auto"/>
        <w:rPr>
          <w:sz w:val="20"/>
          <w:szCs w:val="20"/>
          <w:color w:val="auto"/>
        </w:rPr>
      </w:pPr>
      <w:r>
        <w:rPr>
          <w:rFonts w:ascii="Arial" w:cs="Arial" w:eastAsia="Arial" w:hAnsi="Arial"/>
          <w:sz w:val="18"/>
          <w:szCs w:val="18"/>
          <w:color w:val="auto"/>
        </w:rPr>
        <w:t>See Note 2 of the Notes to Consolidated Financial Statements included in Part I, Item 1 of this Quarterly Report on Form 10-Q for a discussion of the impact of recently issued accounting standards.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3. Quantitative and Qualitative Disclosures about Market Risk</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164"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44% of our sales were outside the United States for the six months ended September 30, 2026. Our primary exposures are to fluctuations in exchange rates for the U.S. dollar versus the Euro, and to a lesser extent, British pound sterling, the Australian dollar, Canadian dollar,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164"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 Foreign currency transaction gains and losses are recorded in general and administrative expenses in the Consolidated Statements of Operations. We recognized net foreign currency transaction losses of approximately $0.2 million and $ 0.9 million for the three months ended September 30, 2026 and 2025, respectively. We recognized net foreign currency transaction losses of approximately $0.1 million and $2.1 million for the six months ended September 30, 2026 and 2025, respectively.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4. Controls and Procedures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amended, as of September 30, 2026. Based on that evaluation, the Chief Executive Officer and Chief Financial Officer concluded that our disclosure controls and procedures were effective as of September 30, 2026.</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fiscal 2027 that has materially affected, or is reasonably likely to materially affect, our internal control over financial reporting.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16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or detect all error and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844896"/>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1. Legal Proceedings</w:t>
      </w:r>
    </w:p>
    <w:p>
      <w:pPr>
        <w:spacing w:after="0" w:line="166" w:lineRule="exact"/>
        <w:rPr>
          <w:sz w:val="20"/>
          <w:szCs w:val="20"/>
          <w:color w:val="auto"/>
        </w:rPr>
      </w:pPr>
    </w:p>
    <w:p>
      <w:pPr>
        <w:jc w:val="both"/>
        <w:ind w:right="100" w:firstLine="636"/>
        <w:spacing w:after="0" w:line="255"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Except as discussed in Note 6 of the Notes to Consolidated Financial Statements included in Part I, Item 1 of this Quarterly Report on Form 10-Q, we do not believe that we are currently party to any pending legal action that could reasonably be expected to have a material adverse effect on our business, operating results, or financial condition.</w:t>
      </w:r>
    </w:p>
    <w:p>
      <w:pPr>
        <w:spacing w:after="0" w:line="127" w:lineRule="exact"/>
        <w:rPr>
          <w:sz w:val="20"/>
          <w:szCs w:val="20"/>
          <w:color w:val="auto"/>
        </w:rPr>
      </w:pPr>
    </w:p>
    <w:p>
      <w:pPr>
        <w:jc w:val="both"/>
        <w:ind w:right="120" w:firstLine="636"/>
        <w:spacing w:after="0" w:line="274" w:lineRule="auto"/>
        <w:rPr>
          <w:sz w:val="20"/>
          <w:szCs w:val="20"/>
          <w:color w:val="auto"/>
        </w:rPr>
      </w:pPr>
      <w:r>
        <w:rPr>
          <w:rFonts w:ascii="Arial" w:cs="Arial" w:eastAsia="Arial" w:hAnsi="Arial"/>
          <w:sz w:val="18"/>
          <w:szCs w:val="18"/>
          <w:color w:val="auto"/>
        </w:rPr>
        <w:t>The information required by this item is incorporated herein by reference to Note 6, "Commitments and Contingencies," of the Notes to Consolidated Financial Statements included in Part I, Item 1 of this Quarterly Report on Form 10-Q.</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1A. Risk Factors</w:t>
      </w:r>
    </w:p>
    <w:p>
      <w:pPr>
        <w:spacing w:after="0" w:line="166" w:lineRule="exact"/>
        <w:rPr>
          <w:sz w:val="20"/>
          <w:szCs w:val="20"/>
          <w:color w:val="auto"/>
        </w:rPr>
      </w:pPr>
    </w:p>
    <w:p>
      <w:pPr>
        <w:jc w:val="both"/>
        <w:ind w:right="100" w:firstLine="636"/>
        <w:spacing w:after="0" w:line="250"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of our Annual Report on Form 10-K for the fiscal year ended March 31, 2026, which are incorporated herein by reference, and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negatively affected. In that case, the trading price of our stock could decline, and our stockholders may lose part or all of their investment. There have been no material changes from the risk factors set forth in Part I, "Item 1A. Risk Factors" of our Annual Report on Form 10-K for the fiscal year ended March 31, 2026.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2. Unregistered Sales of Equity Securities and Use of Proceeds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4" w:lineRule="exact"/>
        <w:rPr>
          <w:sz w:val="20"/>
          <w:szCs w:val="20"/>
          <w:color w:val="auto"/>
        </w:rPr>
      </w:pPr>
    </w:p>
    <w:p>
      <w:pPr>
        <w:jc w:val="both"/>
        <w:ind w:right="100" w:firstLine="636"/>
        <w:spacing w:after="0" w:line="255" w:lineRule="auto"/>
        <w:rPr>
          <w:sz w:val="20"/>
          <w:szCs w:val="20"/>
          <w:color w:val="auto"/>
        </w:rPr>
      </w:pPr>
      <w:r>
        <w:rPr>
          <w:rFonts w:ascii="Arial" w:cs="Arial" w:eastAsia="Arial" w:hAnsi="Arial"/>
          <w:sz w:val="18"/>
          <w:szCs w:val="18"/>
          <w:color w:val="auto"/>
        </w:rPr>
        <w:t>On April 15, 2026, the Board approved recommitting the existing share repurchase program, making $250.0 million available for future repurchases. During the three months ended September 30, 2026, we repurchased $109.2 million of common stock, or approximately 0.8 million shares, under our share repurchase program. As of September 30, 2026, $130.7 million remained available under the share repurchase program. The following table summarizes our repurchases of common stock for the three months ended September 30, 2026:</w:t>
      </w:r>
    </w:p>
    <w:tbl>
      <w:tblPr>
        <w:tblLayout w:type="fixed"/>
        <w:tblInd w:w="32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00" w:type="dxa"/>
            <w:vAlign w:val="bottom"/>
          </w:tcPr>
          <w:p>
            <w:pPr>
              <w:spacing w:after="0"/>
              <w:rPr>
                <w:sz w:val="14"/>
                <w:szCs w:val="14"/>
                <w:color w:val="auto"/>
              </w:rPr>
            </w:pPr>
          </w:p>
        </w:tc>
        <w:tc>
          <w:tcPr>
            <w:tcW w:w="152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Approximate dolla</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value of shares tha</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9"/>
              </w:rPr>
              <w:t>Total number of</w:t>
            </w:r>
          </w:p>
        </w:tc>
        <w:tc>
          <w:tcPr>
            <w:tcW w:w="18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Average price paid per</w:t>
            </w:r>
          </w:p>
        </w:tc>
        <w:tc>
          <w:tcPr>
            <w:tcW w:w="17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shares purchased as</w:t>
            </w:r>
          </w:p>
        </w:tc>
        <w:tc>
          <w:tcPr>
            <w:tcW w:w="100" w:type="dxa"/>
            <w:vAlign w:val="bottom"/>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may yet be purchas</w:t>
            </w:r>
          </w:p>
        </w:tc>
        <w:tc>
          <w:tcPr>
            <w:tcW w:w="0" w:type="dxa"/>
            <w:vAlign w:val="bottom"/>
          </w:tcPr>
          <w:p>
            <w:pPr>
              <w:spacing w:after="0"/>
              <w:rPr>
                <w:sz w:val="1"/>
                <w:szCs w:val="1"/>
                <w:color w:val="auto"/>
              </w:rPr>
            </w:pPr>
          </w:p>
        </w:tc>
      </w:tr>
      <w:tr>
        <w:trPr>
          <w:trHeight w:val="159"/>
        </w:trPr>
        <w:tc>
          <w:tcPr>
            <w:tcW w:w="3960" w:type="dxa"/>
            <w:vAlign w:val="bottom"/>
            <w:gridSpan w:val="2"/>
            <w:vMerge w:val="restart"/>
          </w:tcPr>
          <w:p>
            <w:pPr>
              <w:ind w:left="1700"/>
              <w:spacing w:after="0"/>
              <w:rPr>
                <w:sz w:val="20"/>
                <w:szCs w:val="20"/>
                <w:color w:val="auto"/>
              </w:rPr>
            </w:pPr>
            <w:r>
              <w:rPr>
                <w:rFonts w:ascii="Arial" w:cs="Arial" w:eastAsia="Arial" w:hAnsi="Arial"/>
                <w:sz w:val="16"/>
                <w:szCs w:val="16"/>
                <w:b w:val="1"/>
                <w:bCs w:val="1"/>
                <w:color w:val="auto"/>
              </w:rPr>
              <w:t>Period</w:t>
            </w:r>
          </w:p>
        </w:tc>
        <w:tc>
          <w:tcPr>
            <w:tcW w:w="1840" w:type="dxa"/>
            <w:vAlign w:val="bottom"/>
            <w:gridSpan w:val="2"/>
            <w:vMerge w:val="continue"/>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part of publicly</w:t>
            </w:r>
          </w:p>
        </w:tc>
        <w:tc>
          <w:tcPr>
            <w:tcW w:w="100" w:type="dxa"/>
            <w:vAlign w:val="bottom"/>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under the program</w:t>
            </w:r>
          </w:p>
        </w:tc>
        <w:tc>
          <w:tcPr>
            <w:tcW w:w="0" w:type="dxa"/>
            <w:vAlign w:val="bottom"/>
          </w:tcPr>
          <w:p>
            <w:pPr>
              <w:spacing w:after="0"/>
              <w:rPr>
                <w:sz w:val="1"/>
                <w:szCs w:val="1"/>
                <w:color w:val="auto"/>
              </w:rPr>
            </w:pPr>
          </w:p>
        </w:tc>
      </w:tr>
      <w:tr>
        <w:trPr>
          <w:trHeight w:val="212"/>
        </w:trPr>
        <w:tc>
          <w:tcPr>
            <w:tcW w:w="3960" w:type="dxa"/>
            <w:vAlign w:val="bottom"/>
            <w:gridSpan w:val="2"/>
            <w:vMerge w:val="continue"/>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shares purchased</w:t>
            </w:r>
          </w:p>
        </w:tc>
        <w:tc>
          <w:tcPr>
            <w:tcW w:w="40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 programs</w:t>
            </w:r>
          </w:p>
        </w:tc>
        <w:tc>
          <w:tcPr>
            <w:tcW w:w="100" w:type="dxa"/>
            <w:vAlign w:val="bottom"/>
          </w:tcPr>
          <w:p>
            <w:pPr>
              <w:spacing w:after="0"/>
              <w:rPr>
                <w:sz w:val="18"/>
                <w:szCs w:val="18"/>
                <w:color w:val="auto"/>
              </w:rPr>
            </w:pPr>
          </w:p>
        </w:tc>
        <w:tc>
          <w:tcPr>
            <w:tcW w:w="1520" w:type="dxa"/>
            <w:vAlign w:val="bottom"/>
          </w:tcPr>
          <w:p>
            <w:pPr>
              <w:jc w:val="right"/>
              <w:ind w:right="2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5"/>
        </w:trPr>
        <w:tc>
          <w:tcPr>
            <w:tcW w:w="3880" w:type="dxa"/>
            <w:vAlign w:val="bottom"/>
            <w:tcBorders>
              <w:top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July 1, 2026 - July 31, 2026</w:t>
            </w:r>
          </w:p>
        </w:tc>
        <w:tc>
          <w:tcPr>
            <w:tcW w:w="80" w:type="dxa"/>
            <w:vAlign w:val="bottom"/>
            <w:tcBorders>
              <w:top w:val="single" w:sz="8" w:color="EAEAEA"/>
            </w:tcBorders>
            <w:shd w:val="clear" w:color="auto" w:fill="EAEAEA"/>
          </w:tcPr>
          <w:p>
            <w:pPr>
              <w:spacing w:after="0"/>
              <w:rPr>
                <w:sz w:val="17"/>
                <w:szCs w:val="17"/>
                <w:color w:val="auto"/>
              </w:rPr>
            </w:pPr>
          </w:p>
        </w:tc>
        <w:tc>
          <w:tcPr>
            <w:tcW w:w="1760" w:type="dxa"/>
            <w:vAlign w:val="bottom"/>
            <w:tcBorders>
              <w:top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3,208</w:t>
            </w:r>
          </w:p>
        </w:tc>
        <w:tc>
          <w:tcPr>
            <w:tcW w:w="80" w:type="dxa"/>
            <w:vAlign w:val="bottom"/>
            <w:tcBorders>
              <w:top w:val="single" w:sz="8" w:color="EAEAEA"/>
            </w:tcBorders>
            <w:shd w:val="clear" w:color="auto" w:fill="EAEAEA"/>
          </w:tcPr>
          <w:p>
            <w:pPr>
              <w:spacing w:after="0"/>
              <w:rPr>
                <w:sz w:val="17"/>
                <w:szCs w:val="17"/>
                <w:color w:val="auto"/>
              </w:rPr>
            </w:pPr>
          </w:p>
        </w:tc>
        <w:tc>
          <w:tcPr>
            <w:tcW w:w="400" w:type="dxa"/>
            <w:vAlign w:val="bottom"/>
            <w:tcBorders>
              <w:top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114.66</w:t>
            </w:r>
          </w:p>
        </w:tc>
        <w:tc>
          <w:tcPr>
            <w:tcW w:w="80" w:type="dxa"/>
            <w:vAlign w:val="bottom"/>
            <w:tcBorders>
              <w:top w:val="single" w:sz="8" w:color="EAEAEA"/>
            </w:tcBorders>
            <w:shd w:val="clear" w:color="auto" w:fill="EAEAEA"/>
          </w:tcPr>
          <w:p>
            <w:pPr>
              <w:spacing w:after="0"/>
              <w:rPr>
                <w:sz w:val="17"/>
                <w:szCs w:val="17"/>
                <w:color w:val="auto"/>
              </w:rPr>
            </w:pPr>
          </w:p>
        </w:tc>
        <w:tc>
          <w:tcPr>
            <w:tcW w:w="1760" w:type="dxa"/>
            <w:vAlign w:val="bottom"/>
            <w:tcBorders>
              <w:top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3,208</w:t>
            </w:r>
          </w:p>
        </w:tc>
        <w:tc>
          <w:tcPr>
            <w:tcW w:w="100" w:type="dxa"/>
            <w:vAlign w:val="bottom"/>
            <w:tcBorders>
              <w:top w:val="single" w:sz="8" w:color="EAEAEA"/>
            </w:tcBorders>
            <w:shd w:val="clear" w:color="auto" w:fill="EAEAEA"/>
          </w:tcPr>
          <w:p>
            <w:pPr>
              <w:spacing w:after="0"/>
              <w:rPr>
                <w:sz w:val="17"/>
                <w:szCs w:val="17"/>
                <w:color w:val="auto"/>
              </w:rPr>
            </w:pPr>
          </w:p>
        </w:tc>
        <w:tc>
          <w:tcPr>
            <w:tcW w:w="1520" w:type="dxa"/>
            <w:vAlign w:val="bottom"/>
            <w:tcBorders>
              <w:top w:val="single" w:sz="8" w:color="auto"/>
            </w:tcBorders>
            <w:shd w:val="clear" w:color="auto" w:fill="EAEAEA"/>
          </w:tcPr>
          <w:p>
            <w:pPr>
              <w:jc w:val="right"/>
              <w:ind w:right="241"/>
              <w:spacing w:after="0"/>
              <w:rPr>
                <w:sz w:val="20"/>
                <w:szCs w:val="20"/>
                <w:color w:val="auto"/>
              </w:rPr>
            </w:pPr>
            <w:r>
              <w:rPr>
                <w:rFonts w:ascii="Arial" w:cs="Arial" w:eastAsia="Arial" w:hAnsi="Arial"/>
                <w:sz w:val="16"/>
                <w:szCs w:val="16"/>
                <w:color w:val="auto"/>
              </w:rPr>
              <w:t>$239,502</w:t>
            </w:r>
          </w:p>
        </w:tc>
        <w:tc>
          <w:tcPr>
            <w:tcW w:w="0" w:type="dxa"/>
            <w:vAlign w:val="bottom"/>
          </w:tcPr>
          <w:p>
            <w:pPr>
              <w:spacing w:after="0"/>
              <w:rPr>
                <w:sz w:val="1"/>
                <w:szCs w:val="1"/>
                <w:color w:val="auto"/>
              </w:rPr>
            </w:pPr>
          </w:p>
        </w:tc>
      </w:tr>
      <w:tr>
        <w:trPr>
          <w:trHeight w:val="211"/>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August 1, 2026 - August 31, 2026</w:t>
            </w: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446,951</w:t>
            </w:r>
          </w:p>
        </w:tc>
        <w:tc>
          <w:tcPr>
            <w:tcW w:w="8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133.94</w:t>
            </w:r>
          </w:p>
        </w:tc>
        <w:tc>
          <w:tcPr>
            <w:tcW w:w="8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446,951</w:t>
            </w:r>
          </w:p>
        </w:tc>
        <w:tc>
          <w:tcPr>
            <w:tcW w:w="1620" w:type="dxa"/>
            <w:vAlign w:val="bottom"/>
            <w:gridSpan w:val="2"/>
          </w:tcPr>
          <w:p>
            <w:pPr>
              <w:jc w:val="right"/>
              <w:ind w:right="241"/>
              <w:spacing w:after="0"/>
              <w:rPr>
                <w:sz w:val="20"/>
                <w:szCs w:val="20"/>
                <w:color w:val="auto"/>
              </w:rPr>
            </w:pPr>
            <w:r>
              <w:rPr>
                <w:rFonts w:ascii="Arial" w:cs="Arial" w:eastAsia="Arial" w:hAnsi="Arial"/>
                <w:sz w:val="16"/>
                <w:szCs w:val="16"/>
                <w:color w:val="auto"/>
              </w:rPr>
              <w:t>$179,637</w:t>
            </w:r>
          </w:p>
        </w:tc>
        <w:tc>
          <w:tcPr>
            <w:tcW w:w="0" w:type="dxa"/>
            <w:vAlign w:val="bottom"/>
          </w:tcPr>
          <w:p>
            <w:pPr>
              <w:spacing w:after="0"/>
              <w:rPr>
                <w:sz w:val="1"/>
                <w:szCs w:val="1"/>
                <w:color w:val="auto"/>
              </w:rPr>
            </w:pPr>
          </w:p>
        </w:tc>
      </w:tr>
      <w:tr>
        <w:trPr>
          <w:trHeight w:val="213"/>
        </w:trPr>
        <w:tc>
          <w:tcPr>
            <w:tcW w:w="3960" w:type="dxa"/>
            <w:vAlign w:val="bottom"/>
            <w:gridSpan w:val="2"/>
            <w:shd w:val="clear" w:color="auto" w:fill="EAEAEA"/>
          </w:tcPr>
          <w:p>
            <w:pPr>
              <w:ind w:left="20"/>
              <w:spacing w:after="0"/>
              <w:rPr>
                <w:sz w:val="20"/>
                <w:szCs w:val="20"/>
                <w:color w:val="auto"/>
              </w:rPr>
            </w:pPr>
            <w:r>
              <w:rPr>
                <w:rFonts w:ascii="Arial" w:cs="Arial" w:eastAsia="Arial" w:hAnsi="Arial"/>
                <w:sz w:val="16"/>
                <w:szCs w:val="16"/>
                <w:color w:val="auto"/>
              </w:rPr>
              <w:t>September 1, 2026 - September 30, 2026</w:t>
            </w:r>
          </w:p>
        </w:tc>
        <w:tc>
          <w:tcPr>
            <w:tcW w:w="17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358,404</w:t>
            </w:r>
          </w:p>
        </w:tc>
        <w:tc>
          <w:tcPr>
            <w:tcW w:w="80" w:type="dxa"/>
            <w:vAlign w:val="bottom"/>
            <w:shd w:val="clear" w:color="auto" w:fill="EAEAEA"/>
          </w:tcPr>
          <w:p>
            <w:pPr>
              <w:spacing w:after="0"/>
              <w:rPr>
                <w:sz w:val="18"/>
                <w:szCs w:val="18"/>
                <w:color w:val="auto"/>
              </w:rPr>
            </w:pPr>
          </w:p>
        </w:tc>
        <w:tc>
          <w:tcPr>
            <w:tcW w:w="40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136.52</w:t>
            </w:r>
          </w:p>
        </w:tc>
        <w:tc>
          <w:tcPr>
            <w:tcW w:w="80" w:type="dxa"/>
            <w:vAlign w:val="bottom"/>
            <w:shd w:val="clear" w:color="auto" w:fill="EAEAEA"/>
          </w:tcPr>
          <w:p>
            <w:pPr>
              <w:spacing w:after="0"/>
              <w:rPr>
                <w:sz w:val="18"/>
                <w:szCs w:val="18"/>
                <w:color w:val="auto"/>
              </w:rPr>
            </w:pPr>
          </w:p>
        </w:tc>
        <w:tc>
          <w:tcPr>
            <w:tcW w:w="1760" w:type="dxa"/>
            <w:vAlign w:val="bottom"/>
            <w:tcBorders>
              <w:bottom w:val="single" w:sz="8" w:color="auto"/>
            </w:tcBorders>
            <w:shd w:val="clear" w:color="auto" w:fill="EAEAEA"/>
          </w:tcPr>
          <w:p>
            <w:pPr>
              <w:jc w:val="right"/>
              <w:ind w:right="1"/>
              <w:spacing w:after="0"/>
              <w:rPr>
                <w:sz w:val="20"/>
                <w:szCs w:val="20"/>
                <w:color w:val="auto"/>
              </w:rPr>
            </w:pPr>
            <w:r>
              <w:rPr>
                <w:rFonts w:ascii="Arial" w:cs="Arial" w:eastAsia="Arial" w:hAnsi="Arial"/>
                <w:sz w:val="16"/>
                <w:szCs w:val="16"/>
                <w:color w:val="auto"/>
              </w:rPr>
              <w:t>358,404</w:t>
            </w:r>
          </w:p>
        </w:tc>
        <w:tc>
          <w:tcPr>
            <w:tcW w:w="1620" w:type="dxa"/>
            <w:vAlign w:val="bottom"/>
            <w:gridSpan w:val="2"/>
            <w:shd w:val="clear" w:color="auto" w:fill="EAEAEA"/>
          </w:tcPr>
          <w:p>
            <w:pPr>
              <w:jc w:val="right"/>
              <w:ind w:right="241"/>
              <w:spacing w:after="0"/>
              <w:rPr>
                <w:sz w:val="20"/>
                <w:szCs w:val="20"/>
                <w:color w:val="auto"/>
              </w:rPr>
            </w:pPr>
            <w:r>
              <w:rPr>
                <w:rFonts w:ascii="Arial" w:cs="Arial" w:eastAsia="Arial" w:hAnsi="Arial"/>
                <w:sz w:val="16"/>
                <w:szCs w:val="16"/>
                <w:color w:val="auto"/>
              </w:rPr>
              <w:t>$130,709</w:t>
            </w:r>
          </w:p>
        </w:tc>
        <w:tc>
          <w:tcPr>
            <w:tcW w:w="0" w:type="dxa"/>
            <w:vAlign w:val="bottom"/>
          </w:tcPr>
          <w:p>
            <w:pPr>
              <w:spacing w:after="0"/>
              <w:rPr>
                <w:sz w:val="1"/>
                <w:szCs w:val="1"/>
                <w:color w:val="auto"/>
              </w:rPr>
            </w:pPr>
          </w:p>
        </w:tc>
      </w:tr>
      <w:tr>
        <w:trPr>
          <w:trHeight w:val="204"/>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Three months ended September 30, 2026</w:t>
            </w:r>
          </w:p>
        </w:tc>
        <w:tc>
          <w:tcPr>
            <w:tcW w:w="1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808,563</w:t>
            </w:r>
          </w:p>
        </w:tc>
        <w:tc>
          <w:tcPr>
            <w:tcW w:w="8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135.01</w:t>
            </w:r>
          </w:p>
        </w:tc>
        <w:tc>
          <w:tcPr>
            <w:tcW w:w="80" w:type="dxa"/>
            <w:vAlign w:val="bottom"/>
          </w:tcPr>
          <w:p>
            <w:pPr>
              <w:spacing w:after="0"/>
              <w:rPr>
                <w:sz w:val="17"/>
                <w:szCs w:val="17"/>
                <w:color w:val="auto"/>
              </w:rPr>
            </w:pPr>
          </w:p>
        </w:tc>
        <w:tc>
          <w:tcPr>
            <w:tcW w:w="1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808,563</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3. Defaults upon Senior Securities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4. Mine Safety Disclosures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5. Other Information</w:t>
      </w:r>
    </w:p>
    <w:p>
      <w:pPr>
        <w:spacing w:after="0" w:line="166" w:lineRule="exact"/>
        <w:rPr>
          <w:sz w:val="20"/>
          <w:szCs w:val="20"/>
          <w:color w:val="auto"/>
        </w:rPr>
      </w:pPr>
    </w:p>
    <w:p>
      <w:pPr>
        <w:ind w:firstLine="636"/>
        <w:spacing w:after="0" w:line="274" w:lineRule="auto"/>
        <w:rPr>
          <w:sz w:val="20"/>
          <w:szCs w:val="20"/>
          <w:color w:val="auto"/>
        </w:rPr>
      </w:pPr>
      <w:r>
        <w:rPr>
          <w:rFonts w:ascii="Arial" w:cs="Arial" w:eastAsia="Arial" w:hAnsi="Arial"/>
          <w:sz w:val="18"/>
          <w:szCs w:val="18"/>
          <w:color w:val="auto"/>
        </w:rPr>
        <w:t>During the three months ended September 30, 2026, no directors or officers of the Company adopted, modified, or terminated any "Rule 10b5-1 trading arrangement" or "non-Rule 10b5-1 trading arrangement" as each term is defined in Item 408 of Regulation S-K.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Item 6. Exhibits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gridSpan w:val="3"/>
          </w:tcPr>
          <w:p>
            <w:pPr>
              <w:spacing w:after="0"/>
              <w:rPr>
                <w:sz w:val="20"/>
                <w:szCs w:val="20"/>
                <w:color w:val="auto"/>
              </w:rPr>
            </w:pPr>
            <w:r>
              <w:rPr>
                <w:rFonts w:ascii="Arial" w:cs="Arial" w:eastAsia="Arial" w:hAnsi="Arial"/>
                <w:sz w:val="16"/>
                <w:szCs w:val="16"/>
                <w:b w:val="1"/>
                <w:bCs w:val="1"/>
                <w:color w:val="auto"/>
                <w:w w:val="98"/>
              </w:rPr>
              <w:t>Exhibit No.</w:t>
            </w:r>
          </w:p>
        </w:tc>
        <w:tc>
          <w:tcPr>
            <w:tcW w:w="320" w:type="dxa"/>
            <w:vAlign w:val="bottom"/>
          </w:tcPr>
          <w:p>
            <w:pPr>
              <w:spacing w:after="0"/>
              <w:rPr>
                <w:sz w:val="16"/>
                <w:szCs w:val="16"/>
                <w:color w:val="auto"/>
              </w:rPr>
            </w:pPr>
          </w:p>
        </w:tc>
        <w:tc>
          <w:tcPr>
            <w:tcW w:w="992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192"/>
        </w:trPr>
        <w:tc>
          <w:tcPr>
            <w:tcW w:w="320" w:type="dxa"/>
            <w:vAlign w:val="bottom"/>
            <w:tcBorders>
              <w:bottom w:val="single" w:sz="8" w:color="0000FF"/>
            </w:tcBorders>
          </w:tcPr>
          <w:p>
            <w:pPr>
              <w:spacing w:after="0"/>
              <w:rPr>
                <w:rFonts w:ascii="Arial" w:cs="Arial" w:eastAsia="Arial" w:hAnsi="Arial"/>
                <w:sz w:val="16"/>
                <w:szCs w:val="16"/>
                <w:color w:val="0000FF"/>
                <w:w w:val="96"/>
              </w:rPr>
            </w:pPr>
            <w:hyperlink r:id="rId5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w w:val="99"/>
              </w:rPr>
              <w:t>Commvault Systems, Inc. 2026 Equity Plan (incorporated by reference to Exhibit 1 to the Company's Definitive Proxy Statement on Schedule</w:t>
            </w:r>
          </w:p>
        </w:tc>
      </w:tr>
      <w:tr>
        <w:trPr>
          <w:trHeight w:val="178"/>
        </w:trPr>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920" w:type="dxa"/>
            <w:vAlign w:val="bottom"/>
            <w:gridSpan w:val="2"/>
          </w:tcPr>
          <w:p>
            <w:pPr>
              <w:spacing w:after="0" w:line="178" w:lineRule="exact"/>
              <w:rPr>
                <w:sz w:val="20"/>
                <w:szCs w:val="20"/>
                <w:color w:val="auto"/>
              </w:rPr>
            </w:pPr>
            <w:r>
              <w:rPr>
                <w:rFonts w:ascii="Arial" w:cs="Arial" w:eastAsia="Arial" w:hAnsi="Arial"/>
                <w:sz w:val="16"/>
                <w:szCs w:val="16"/>
                <w:color w:val="auto"/>
              </w:rPr>
              <w:t>14A for the 2026 Annual Meeting of Stockholders, filed on June 24, 2026)</w:t>
            </w:r>
          </w:p>
        </w:tc>
      </w:tr>
      <w:tr>
        <w:trPr>
          <w:trHeight w:val="173"/>
        </w:trPr>
        <w:tc>
          <w:tcPr>
            <w:tcW w:w="320" w:type="dxa"/>
            <w:vAlign w:val="bottom"/>
            <w:tcBorders>
              <w:bottom w:val="single" w:sz="8" w:color="0000FF"/>
            </w:tcBorders>
          </w:tcPr>
          <w:p>
            <w:pPr>
              <w:spacing w:after="0" w:line="173" w:lineRule="exact"/>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920" w:type="dxa"/>
            <w:vAlign w:val="bottom"/>
            <w:gridSpan w:val="2"/>
          </w:tcPr>
          <w:p>
            <w:pPr>
              <w:spacing w:after="0" w:line="173" w:lineRule="exact"/>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192"/>
        </w:trPr>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192"/>
        </w:trPr>
        <w:tc>
          <w:tcPr>
            <w:tcW w:w="3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192"/>
        </w:trPr>
        <w:tc>
          <w:tcPr>
            <w:tcW w:w="3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79"/>
        </w:trPr>
        <w:tc>
          <w:tcPr>
            <w:tcW w:w="1160" w:type="dxa"/>
            <w:vAlign w:val="bottom"/>
            <w:gridSpan w:val="4"/>
          </w:tcPr>
          <w:p>
            <w:pPr>
              <w:spacing w:after="0" w:line="179" w:lineRule="exact"/>
              <w:rPr>
                <w:sz w:val="20"/>
                <w:szCs w:val="20"/>
                <w:color w:val="auto"/>
              </w:rPr>
            </w:pPr>
            <w:r>
              <w:rPr>
                <w:rFonts w:ascii="Arial" w:cs="Arial" w:eastAsia="Arial" w:hAnsi="Arial"/>
                <w:sz w:val="16"/>
                <w:szCs w:val="16"/>
                <w:color w:val="auto"/>
              </w:rPr>
              <w:t>101.INS</w:t>
            </w:r>
          </w:p>
        </w:tc>
        <w:tc>
          <w:tcPr>
            <w:tcW w:w="9920" w:type="dxa"/>
            <w:vAlign w:val="bottom"/>
            <w:gridSpan w:val="2"/>
          </w:tcPr>
          <w:p>
            <w:pPr>
              <w:spacing w:after="0" w:line="179"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0"/>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rPr>
              <w:t>within the Inline XBRL document</w:t>
            </w:r>
          </w:p>
        </w:tc>
      </w:tr>
      <w:tr>
        <w:trPr>
          <w:trHeight w:val="211"/>
        </w:trPr>
        <w:tc>
          <w:tcPr>
            <w:tcW w:w="1160" w:type="dxa"/>
            <w:vAlign w:val="bottom"/>
            <w:gridSpan w:val="4"/>
          </w:tcPr>
          <w:p>
            <w:pPr>
              <w:spacing w:after="0"/>
              <w:rPr>
                <w:sz w:val="20"/>
                <w:szCs w:val="20"/>
                <w:color w:val="auto"/>
              </w:rPr>
            </w:pPr>
            <w:r>
              <w:rPr>
                <w:rFonts w:ascii="Arial" w:cs="Arial" w:eastAsia="Arial" w:hAnsi="Arial"/>
                <w:sz w:val="16"/>
                <w:szCs w:val="16"/>
                <w:color w:val="auto"/>
              </w:rPr>
              <w:t>101.SCH</w:t>
            </w:r>
          </w:p>
        </w:tc>
        <w:tc>
          <w:tcPr>
            <w:tcW w:w="9920" w:type="dxa"/>
            <w:vAlign w:val="bottom"/>
            <w:gridSpan w:val="2"/>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2"/>
        </w:trPr>
        <w:tc>
          <w:tcPr>
            <w:tcW w:w="1160" w:type="dxa"/>
            <w:vAlign w:val="bottom"/>
            <w:gridSpan w:val="4"/>
          </w:tcPr>
          <w:p>
            <w:pPr>
              <w:spacing w:after="0"/>
              <w:rPr>
                <w:sz w:val="20"/>
                <w:szCs w:val="20"/>
                <w:color w:val="auto"/>
              </w:rPr>
            </w:pPr>
            <w:r>
              <w:rPr>
                <w:rFonts w:ascii="Arial" w:cs="Arial" w:eastAsia="Arial" w:hAnsi="Arial"/>
                <w:sz w:val="16"/>
                <w:szCs w:val="16"/>
                <w:color w:val="auto"/>
              </w:rPr>
              <w:t>101.CAL</w:t>
            </w:r>
          </w:p>
        </w:tc>
        <w:tc>
          <w:tcPr>
            <w:tcW w:w="9920" w:type="dxa"/>
            <w:vAlign w:val="bottom"/>
            <w:gridSpan w:val="2"/>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2"/>
        </w:trPr>
        <w:tc>
          <w:tcPr>
            <w:tcW w:w="1160" w:type="dxa"/>
            <w:vAlign w:val="bottom"/>
            <w:gridSpan w:val="4"/>
          </w:tcPr>
          <w:p>
            <w:pPr>
              <w:spacing w:after="0"/>
              <w:rPr>
                <w:sz w:val="20"/>
                <w:szCs w:val="20"/>
                <w:color w:val="auto"/>
              </w:rPr>
            </w:pPr>
            <w:r>
              <w:rPr>
                <w:rFonts w:ascii="Arial" w:cs="Arial" w:eastAsia="Arial" w:hAnsi="Arial"/>
                <w:sz w:val="16"/>
                <w:szCs w:val="16"/>
                <w:color w:val="auto"/>
              </w:rPr>
              <w:t>101.DEF</w:t>
            </w:r>
          </w:p>
        </w:tc>
        <w:tc>
          <w:tcPr>
            <w:tcW w:w="9920" w:type="dxa"/>
            <w:vAlign w:val="bottom"/>
            <w:gridSpan w:val="2"/>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2"/>
        </w:trPr>
        <w:tc>
          <w:tcPr>
            <w:tcW w:w="1160" w:type="dxa"/>
            <w:vAlign w:val="bottom"/>
            <w:gridSpan w:val="4"/>
          </w:tcPr>
          <w:p>
            <w:pPr>
              <w:spacing w:after="0"/>
              <w:rPr>
                <w:sz w:val="20"/>
                <w:szCs w:val="20"/>
                <w:color w:val="auto"/>
              </w:rPr>
            </w:pPr>
            <w:r>
              <w:rPr>
                <w:rFonts w:ascii="Arial" w:cs="Arial" w:eastAsia="Arial" w:hAnsi="Arial"/>
                <w:sz w:val="16"/>
                <w:szCs w:val="16"/>
                <w:color w:val="auto"/>
              </w:rPr>
              <w:t>101.LAB</w:t>
            </w:r>
          </w:p>
        </w:tc>
        <w:tc>
          <w:tcPr>
            <w:tcW w:w="9920" w:type="dxa"/>
            <w:vAlign w:val="bottom"/>
            <w:gridSpan w:val="2"/>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2"/>
        </w:trPr>
        <w:tc>
          <w:tcPr>
            <w:tcW w:w="1160" w:type="dxa"/>
            <w:vAlign w:val="bottom"/>
            <w:gridSpan w:val="4"/>
          </w:tcPr>
          <w:p>
            <w:pPr>
              <w:spacing w:after="0"/>
              <w:rPr>
                <w:sz w:val="20"/>
                <w:szCs w:val="20"/>
                <w:color w:val="auto"/>
              </w:rPr>
            </w:pPr>
            <w:r>
              <w:rPr>
                <w:rFonts w:ascii="Arial" w:cs="Arial" w:eastAsia="Arial" w:hAnsi="Arial"/>
                <w:sz w:val="16"/>
                <w:szCs w:val="16"/>
                <w:color w:val="auto"/>
              </w:rPr>
              <w:t>101.PRE</w:t>
            </w:r>
          </w:p>
        </w:tc>
        <w:tc>
          <w:tcPr>
            <w:tcW w:w="9920" w:type="dxa"/>
            <w:vAlign w:val="bottom"/>
            <w:gridSpan w:val="2"/>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 w:lineRule="exact"/>
        <w:rPr>
          <w:sz w:val="20"/>
          <w:szCs w:val="20"/>
          <w:color w:val="auto"/>
        </w:rPr>
      </w:pPr>
    </w:p>
    <w:p>
      <w:pPr>
        <w:ind w:left="20" w:right="3800" w:firstLine="4"/>
        <w:spacing w:after="0" w:line="569" w:lineRule="auto"/>
        <w:tabs>
          <w:tab w:leader="none" w:pos="11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 * Furnished herewith</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219710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100" w:lineRule="exact"/>
        <w:rPr>
          <w:sz w:val="20"/>
          <w:szCs w:val="20"/>
          <w:color w:val="auto"/>
        </w:rPr>
      </w:pPr>
    </w:p>
    <w:p>
      <w:pPr>
        <w:ind w:right="20" w:firstLine="636"/>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060" w:type="dxa"/>
            <w:vAlign w:val="bottom"/>
            <w:gridSpan w:val="3"/>
          </w:tcPr>
          <w:p>
            <w:pPr>
              <w:ind w:left="1480"/>
              <w:spacing w:after="0"/>
              <w:rPr>
                <w:sz w:val="20"/>
                <w:szCs w:val="20"/>
                <w:color w:val="auto"/>
              </w:rPr>
            </w:pPr>
            <w:r>
              <w:rPr>
                <w:rFonts w:ascii="Arial" w:cs="Arial" w:eastAsia="Arial" w:hAnsi="Arial"/>
                <w:sz w:val="18"/>
                <w:szCs w:val="18"/>
                <w:color w:val="auto"/>
              </w:rPr>
              <w:t>Commvault Systems, Inc.</w:t>
            </w:r>
          </w:p>
        </w:tc>
      </w:tr>
      <w:tr>
        <w:trPr>
          <w:trHeight w:val="48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20"/>
              <w:spacing w:after="0"/>
              <w:rPr>
                <w:sz w:val="20"/>
                <w:szCs w:val="20"/>
                <w:color w:val="auto"/>
              </w:rPr>
            </w:pPr>
            <w:r>
              <w:rPr>
                <w:rFonts w:ascii="Arial" w:cs="Arial" w:eastAsia="Arial" w:hAnsi="Arial"/>
                <w:sz w:val="18"/>
                <w:szCs w:val="18"/>
                <w:color w:val="auto"/>
              </w:rPr>
              <w:t>October 28, 2026</w:t>
            </w:r>
          </w:p>
        </w:tc>
        <w:tc>
          <w:tcPr>
            <w:tcW w:w="1760" w:type="dxa"/>
            <w:vAlign w:val="bottom"/>
          </w:tcPr>
          <w:p>
            <w:pPr>
              <w:ind w:left="1480"/>
              <w:spacing w:after="0"/>
              <w:rPr>
                <w:sz w:val="20"/>
                <w:szCs w:val="20"/>
                <w:color w:val="auto"/>
              </w:rPr>
            </w:pPr>
            <w:r>
              <w:rPr>
                <w:rFonts w:ascii="Arial" w:cs="Arial" w:eastAsia="Arial" w:hAnsi="Arial"/>
                <w:sz w:val="18"/>
                <w:szCs w:val="18"/>
                <w:color w:val="auto"/>
                <w:w w:val="99"/>
              </w:rPr>
              <w:t>By:</w:t>
            </w:r>
          </w:p>
        </w:tc>
        <w:tc>
          <w:tcPr>
            <w:tcW w:w="30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Mirchandani</w:t>
            </w:r>
          </w:p>
        </w:tc>
      </w:tr>
      <w:tr>
        <w:trPr>
          <w:trHeight w:val="215"/>
        </w:trPr>
        <w:tc>
          <w:tcPr>
            <w:tcW w:w="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Sanjay Mirchandani</w:t>
            </w:r>
          </w:p>
        </w:tc>
      </w:tr>
      <w:tr>
        <w:trPr>
          <w:trHeight w:val="225"/>
        </w:trPr>
        <w:tc>
          <w:tcPr>
            <w:tcW w:w="6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Director, President and Chief Executive Officer</w:t>
            </w:r>
          </w:p>
        </w:tc>
      </w:tr>
      <w:tr>
        <w:trPr>
          <w:trHeight w:val="232"/>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20"/>
              <w:spacing w:after="0"/>
              <w:rPr>
                <w:sz w:val="20"/>
                <w:szCs w:val="20"/>
                <w:color w:val="auto"/>
              </w:rPr>
            </w:pPr>
            <w:r>
              <w:rPr>
                <w:rFonts w:ascii="Arial" w:cs="Arial" w:eastAsia="Arial" w:hAnsi="Arial"/>
                <w:sz w:val="18"/>
                <w:szCs w:val="18"/>
                <w:color w:val="auto"/>
              </w:rPr>
              <w:t>October 28, 2026</w:t>
            </w:r>
          </w:p>
        </w:tc>
        <w:tc>
          <w:tcPr>
            <w:tcW w:w="1760" w:type="dxa"/>
            <w:vAlign w:val="bottom"/>
          </w:tcPr>
          <w:p>
            <w:pPr>
              <w:ind w:left="1480"/>
              <w:spacing w:after="0"/>
              <w:rPr>
                <w:sz w:val="20"/>
                <w:szCs w:val="20"/>
                <w:color w:val="auto"/>
              </w:rPr>
            </w:pPr>
            <w:r>
              <w:rPr>
                <w:rFonts w:ascii="Arial" w:cs="Arial" w:eastAsia="Arial" w:hAnsi="Arial"/>
                <w:sz w:val="18"/>
                <w:szCs w:val="18"/>
                <w:color w:val="auto"/>
                <w:w w:val="99"/>
              </w:rPr>
              <w:t>By:</w:t>
            </w:r>
          </w:p>
        </w:tc>
        <w:tc>
          <w:tcPr>
            <w:tcW w:w="30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Merrill</w:t>
            </w:r>
          </w:p>
        </w:tc>
      </w:tr>
      <w:tr>
        <w:trPr>
          <w:trHeight w:val="215"/>
        </w:trPr>
        <w:tc>
          <w:tcPr>
            <w:tcW w:w="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Gary Merrill</w:t>
            </w:r>
          </w:p>
        </w:tc>
      </w:tr>
      <w:tr>
        <w:trPr>
          <w:trHeight w:val="225"/>
        </w:trPr>
        <w:tc>
          <w:tcPr>
            <w:tcW w:w="6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2"/>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610"/>
        </w:trPr>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37</w:t>
            </w:r>
          </w:p>
        </w:tc>
        <w:tc>
          <w:tcPr>
            <w:tcW w:w="5000" w:type="dxa"/>
            <w:vAlign w:val="bottom"/>
          </w:tcPr>
          <w:p>
            <w:pPr>
              <w:spacing w:after="0"/>
              <w:rPr>
                <w:sz w:val="24"/>
                <w:szCs w:val="24"/>
                <w:color w:val="auto"/>
              </w:rPr>
            </w:pPr>
          </w:p>
        </w:tc>
      </w:tr>
    </w:tbl>
    <w:p>
      <w:pPr>
        <w:sectPr>
          <w:pgSz w:w="11900" w:h="16838" w:orient="portrait"/>
          <w:cols w:equalWidth="0" w:num="1">
            <w:col w:w="10800"/>
          </w:cols>
          <w:pgMar w:left="320" w:top="122" w:right="7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17"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17" w:lineRule="exact"/>
        <w:rPr>
          <w:rFonts w:ascii="Arial" w:cs="Arial" w:eastAsia="Arial" w:hAnsi="Arial"/>
          <w:sz w:val="18"/>
          <w:szCs w:val="18"/>
          <w:color w:val="auto"/>
        </w:rPr>
      </w:pPr>
    </w:p>
    <w:p>
      <w:pPr>
        <w:jc w:val="both"/>
        <w:ind w:left="640" w:hanging="634"/>
        <w:spacing w:after="0" w:line="260"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640" w:right="20" w:hanging="634"/>
        <w:spacing w:after="0" w:line="304" w:lineRule="auto"/>
        <w:tabs>
          <w:tab w:leader="none" w:pos="6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7"/>
          <w:szCs w:val="17"/>
          <w:color w:val="auto"/>
        </w:rPr>
      </w:pPr>
    </w:p>
    <w:p>
      <w:pPr>
        <w:jc w:val="both"/>
        <w:ind w:left="640" w:hanging="634"/>
        <w:spacing w:after="0" w:line="270" w:lineRule="auto"/>
        <w:tabs>
          <w:tab w:leader="none" w:pos="6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1" w:lineRule="exact"/>
        <w:rPr>
          <w:rFonts w:ascii="Arial" w:cs="Arial" w:eastAsia="Arial" w:hAnsi="Arial"/>
          <w:sz w:val="17"/>
          <w:szCs w:val="17"/>
          <w:color w:val="auto"/>
        </w:rPr>
      </w:pPr>
    </w:p>
    <w:p>
      <w:pPr>
        <w:jc w:val="both"/>
        <w:ind w:left="1280" w:hanging="320"/>
        <w:spacing w:after="0" w:line="251" w:lineRule="auto"/>
        <w:tabs>
          <w:tab w:leader="none" w:pos="12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1280" w:hanging="320"/>
        <w:spacing w:after="0" w:line="250" w:lineRule="auto"/>
        <w:tabs>
          <w:tab w:leader="none" w:pos="12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jc w:val="both"/>
        <w:ind w:left="640" w:hanging="634"/>
        <w:spacing w:after="0" w:line="260"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82" w:lineRule="exact"/>
        <w:rPr>
          <w:rFonts w:ascii="Arial" w:cs="Arial" w:eastAsia="Arial" w:hAnsi="Arial"/>
          <w:sz w:val="18"/>
          <w:szCs w:val="18"/>
          <w:color w:val="auto"/>
        </w:rPr>
      </w:pPr>
    </w:p>
    <w:p>
      <w:pPr>
        <w:jc w:val="both"/>
        <w:ind w:left="1280" w:hanging="320"/>
        <w:spacing w:after="0" w:line="251" w:lineRule="auto"/>
        <w:tabs>
          <w:tab w:leader="none" w:pos="12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hanging="320"/>
        <w:spacing w:after="0" w:line="256" w:lineRule="auto"/>
        <w:tabs>
          <w:tab w:leader="none" w:pos="12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3213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Sanjay Mirchandani</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President and Chief Executive Officer</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2026</w:t>
      </w:r>
    </w:p>
    <w:p>
      <w:pPr>
        <w:sectPr>
          <w:pgSz w:w="11900" w:h="16838" w:orient="portrait"/>
          <w:cols w:equalWidth="0" w:num="1">
            <w:col w:w="11240"/>
          </w:cols>
          <w:pgMar w:left="320" w:top="87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Gary Merrill, certify that:</w:t>
      </w:r>
    </w:p>
    <w:p>
      <w:pPr>
        <w:spacing w:after="0" w:line="217" w:lineRule="exact"/>
        <w:rPr>
          <w:sz w:val="20"/>
          <w:szCs w:val="20"/>
          <w:color w:val="auto"/>
        </w:rPr>
      </w:pPr>
    </w:p>
    <w:p>
      <w:pPr>
        <w:ind w:left="640" w:hanging="63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17" w:lineRule="exact"/>
        <w:rPr>
          <w:rFonts w:ascii="Arial" w:cs="Arial" w:eastAsia="Arial" w:hAnsi="Arial"/>
          <w:sz w:val="18"/>
          <w:szCs w:val="18"/>
          <w:color w:val="auto"/>
        </w:rPr>
      </w:pPr>
    </w:p>
    <w:p>
      <w:pPr>
        <w:jc w:val="both"/>
        <w:ind w:left="640" w:hanging="634"/>
        <w:spacing w:after="0" w:line="260"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640" w:right="20" w:hanging="634"/>
        <w:spacing w:after="0" w:line="304" w:lineRule="auto"/>
        <w:tabs>
          <w:tab w:leader="none" w:pos="6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7"/>
          <w:szCs w:val="17"/>
          <w:color w:val="auto"/>
        </w:rPr>
      </w:pPr>
    </w:p>
    <w:p>
      <w:pPr>
        <w:jc w:val="both"/>
        <w:ind w:left="640" w:hanging="634"/>
        <w:spacing w:after="0" w:line="270" w:lineRule="auto"/>
        <w:tabs>
          <w:tab w:leader="none" w:pos="6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1" w:lineRule="exact"/>
        <w:rPr>
          <w:rFonts w:ascii="Arial" w:cs="Arial" w:eastAsia="Arial" w:hAnsi="Arial"/>
          <w:sz w:val="17"/>
          <w:szCs w:val="17"/>
          <w:color w:val="auto"/>
        </w:rPr>
      </w:pPr>
    </w:p>
    <w:p>
      <w:pPr>
        <w:jc w:val="both"/>
        <w:ind w:left="1280" w:hanging="320"/>
        <w:spacing w:after="0" w:line="251" w:lineRule="auto"/>
        <w:tabs>
          <w:tab w:leader="none" w:pos="12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1280" w:hanging="320"/>
        <w:spacing w:after="0" w:line="250" w:lineRule="auto"/>
        <w:tabs>
          <w:tab w:leader="none" w:pos="12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8"/>
          <w:szCs w:val="18"/>
          <w:color w:val="auto"/>
        </w:rPr>
      </w:pPr>
    </w:p>
    <w:p>
      <w:pPr>
        <w:jc w:val="both"/>
        <w:ind w:left="640" w:hanging="634"/>
        <w:spacing w:after="0" w:line="260"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82" w:lineRule="exact"/>
        <w:rPr>
          <w:rFonts w:ascii="Arial" w:cs="Arial" w:eastAsia="Arial" w:hAnsi="Arial"/>
          <w:sz w:val="18"/>
          <w:szCs w:val="18"/>
          <w:color w:val="auto"/>
        </w:rPr>
      </w:pPr>
    </w:p>
    <w:p>
      <w:pPr>
        <w:jc w:val="both"/>
        <w:ind w:left="1280" w:hanging="320"/>
        <w:spacing w:after="0" w:line="251" w:lineRule="auto"/>
        <w:tabs>
          <w:tab w:leader="none" w:pos="12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hanging="320"/>
        <w:spacing w:after="0" w:line="256" w:lineRule="auto"/>
        <w:tabs>
          <w:tab w:leader="none" w:pos="12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13970</wp:posOffset>
            </wp:positionV>
            <wp:extent cx="3213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Gary Merrill</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2026</w:t>
      </w:r>
    </w:p>
    <w:p>
      <w:pPr>
        <w:sectPr>
          <w:pgSz w:w="11900" w:h="16838" w:orient="portrait"/>
          <w:cols w:equalWidth="0" w:num="1">
            <w:col w:w="11240"/>
          </w:cols>
          <w:pgMar w:left="320" w:top="876"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1" w:lineRule="exact"/>
        <w:rPr>
          <w:sz w:val="20"/>
          <w:szCs w:val="20"/>
          <w:color w:val="auto"/>
        </w:rPr>
      </w:pPr>
    </w:p>
    <w:p>
      <w:pPr>
        <w:jc w:val="both"/>
        <w:ind w:firstLine="437"/>
        <w:spacing w:after="0" w:line="282" w:lineRule="auto"/>
        <w:rPr>
          <w:sz w:val="20"/>
          <w:szCs w:val="20"/>
          <w:color w:val="auto"/>
        </w:rPr>
      </w:pPr>
      <w:r>
        <w:rPr>
          <w:rFonts w:ascii="Arial" w:cs="Arial" w:eastAsia="Arial" w:hAnsi="Arial"/>
          <w:sz w:val="17"/>
          <w:szCs w:val="17"/>
          <w:color w:val="auto"/>
        </w:rPr>
        <w:t>In connection with the Quarterly Report of Commvault Systems, Inc. (the “Company”) on Form 10-Q for the period ended September 30, 2026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79" w:lineRule="exact"/>
        <w:rPr>
          <w:sz w:val="20"/>
          <w:szCs w:val="20"/>
          <w:color w:val="auto"/>
        </w:rPr>
      </w:pPr>
    </w:p>
    <w:p>
      <w:pPr>
        <w:ind w:left="560" w:hanging="31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560" w:hanging="316"/>
        <w:spacing w:after="0" w:line="256" w:lineRule="auto"/>
        <w:tabs>
          <w:tab w:leader="none" w:pos="5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3407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p>
      <w:pPr>
        <w:sectPr>
          <w:pgSz w:w="11900" w:h="16838" w:orient="portrait"/>
          <w:cols w:equalWidth="0" w:num="1">
            <w:col w:w="11240"/>
          </w:cols>
          <w:pgMar w:left="320" w:top="87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1" w:lineRule="exact"/>
        <w:rPr>
          <w:sz w:val="20"/>
          <w:szCs w:val="20"/>
          <w:color w:val="auto"/>
        </w:rPr>
      </w:pPr>
    </w:p>
    <w:p>
      <w:pPr>
        <w:jc w:val="both"/>
        <w:ind w:firstLine="437"/>
        <w:spacing w:after="0" w:line="260"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2026 as filed with the Securities and Exchange Commission (the “Report”), I, Gary Merrill, Chief Financial Officer of the Company, certify, pursuant to 18 U.S.C. § 1350, as adopted pursuant to § 906 of the Sarbanes-Oxley Act of 2002, that:</w:t>
      </w:r>
    </w:p>
    <w:p>
      <w:pPr>
        <w:spacing w:after="0" w:line="96" w:lineRule="exact"/>
        <w:rPr>
          <w:sz w:val="20"/>
          <w:szCs w:val="20"/>
          <w:color w:val="auto"/>
        </w:rPr>
      </w:pPr>
    </w:p>
    <w:p>
      <w:pPr>
        <w:ind w:left="560" w:hanging="316"/>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 w:lineRule="exact"/>
        <w:rPr>
          <w:rFonts w:ascii="Arial" w:cs="Arial" w:eastAsia="Arial" w:hAnsi="Arial"/>
          <w:sz w:val="18"/>
          <w:szCs w:val="18"/>
          <w:color w:val="auto"/>
        </w:rPr>
      </w:pPr>
    </w:p>
    <w:p>
      <w:pPr>
        <w:ind w:left="560" w:hanging="316"/>
        <w:spacing w:after="0" w:line="256" w:lineRule="auto"/>
        <w:tabs>
          <w:tab w:leader="none" w:pos="5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Gary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3407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Gary Merrill</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October 28, 2026</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5"/>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endash "/>
      <w:numFmt w:val="bullet"/>
      <w:start w:val="1"/>
    </w:lvl>
  </w:abstractNum>
  <w:abstractNum w:abstractNumId="15">
    <w:nsid w:val="7C83E458"/>
    <w:multiLevelType w:val="hybridMultilevel"/>
    <w:lvl w:ilvl="0">
      <w:lvlJc w:val="left"/>
      <w:lvlText w:val="\endash "/>
      <w:numFmt w:val="bullet"/>
      <w:start w:val="1"/>
    </w:lvl>
  </w:abstractNum>
  <w:abstractNum w:abstractNumId="16">
    <w:nsid w:val="257130A3"/>
    <w:multiLevelType w:val="hybridMultilevel"/>
    <w:lvl w:ilvl="0">
      <w:lvlJc w:val="left"/>
      <w:lvlText w:val="\endash "/>
      <w:numFmt w:val="bullet"/>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2" Type="http://schemas.openxmlformats.org/officeDocument/2006/relationships/hyperlink" Target="https://www.sec.gov/Archives/edgar/data/1169561/000116956126000018/a2026equity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2026-10-28T15:56:33Z</dcterms:created>
  <dcterms:modified xsi:type="dcterms:W3CDTF">2026-10-28T15:56:33Z</dcterms:modified>
</cp:coreProperties>
</file>